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8"/>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6"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8"/>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2" w:lineRule="exact"/>
        <w:rPr>
          <w:sz w:val="24"/>
          <w:szCs w:val="24"/>
          <w:color w:val="auto"/>
        </w:rPr>
      </w:pPr>
    </w:p>
    <w:p>
      <w:pPr>
        <w:ind w:left="969" w:right="140" w:hanging="969"/>
        <w:spacing w:after="0" w:line="248" w:lineRule="auto"/>
        <w:tabs>
          <w:tab w:leader="none" w:pos="1036"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For the fiscal year ended January 31, 2019</w:t>
      </w:r>
    </w:p>
    <w:p>
      <w:pPr>
        <w:spacing w:after="0" w:line="4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969" w:right="1000" w:hanging="969"/>
        <w:spacing w:after="0" w:line="249" w:lineRule="auto"/>
        <w:tabs>
          <w:tab w:leader="none" w:pos="1036"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tbl>
      <w:tblPr>
        <w:tblLayout w:type="fixed"/>
        <w:tblInd w:w="989" w:type="dxa"/>
        <w:tblCellMar>
          <w:top w:w="0" w:type="dxa"/>
          <w:left w:w="0" w:type="dxa"/>
          <w:bottom w:w="0" w:type="dxa"/>
          <w:right w:w="0" w:type="dxa"/>
        </w:tblCellMar>
      </w:tblPr>
      <w:tr>
        <w:trPr>
          <w:trHeight w:val="281"/>
        </w:trPr>
        <w:tc>
          <w:tcPr>
            <w:tcW w:w="5920" w:type="dxa"/>
            <w:vAlign w:val="bottom"/>
          </w:tcPr>
          <w:p>
            <w:pPr>
              <w:ind w:left="2100"/>
              <w:spacing w:after="0"/>
              <w:rPr>
                <w:sz w:val="20"/>
                <w:szCs w:val="20"/>
                <w:color w:val="auto"/>
              </w:rPr>
            </w:pPr>
            <w:r>
              <w:rPr>
                <w:rFonts w:ascii="Arial" w:cs="Arial" w:eastAsia="Arial" w:hAnsi="Arial"/>
                <w:sz w:val="22"/>
                <w:szCs w:val="22"/>
                <w:b w:val="1"/>
                <w:bCs w:val="1"/>
                <w:color w:val="auto"/>
              </w:rPr>
              <w:t>For the transition period from</w:t>
            </w:r>
          </w:p>
        </w:tc>
        <w:tc>
          <w:tcPr>
            <w:tcW w:w="1720" w:type="dxa"/>
            <w:vAlign w:val="bottom"/>
          </w:tcPr>
          <w:p>
            <w:pPr>
              <w:ind w:left="220"/>
              <w:spacing w:after="0"/>
              <w:rPr>
                <w:sz w:val="20"/>
                <w:szCs w:val="20"/>
                <w:color w:val="auto"/>
              </w:rPr>
            </w:pPr>
            <w:r>
              <w:rPr>
                <w:rFonts w:ascii="Arial" w:cs="Arial" w:eastAsia="Arial" w:hAnsi="Arial"/>
                <w:sz w:val="22"/>
                <w:szCs w:val="22"/>
                <w:b w:val="1"/>
                <w:bCs w:val="1"/>
                <w:color w:val="auto"/>
              </w:rPr>
              <w:t>to</w:t>
            </w:r>
          </w:p>
        </w:tc>
      </w:tr>
      <w:tr>
        <w:trPr>
          <w:trHeight w:val="230"/>
        </w:trPr>
        <w:tc>
          <w:tcPr>
            <w:tcW w:w="5920" w:type="dxa"/>
            <w:vAlign w:val="bottom"/>
          </w:tcPr>
          <w:p>
            <w:pPr>
              <w:jc w:val="center"/>
              <w:ind w:left="2398"/>
              <w:spacing w:after="0" w:line="207" w:lineRule="exact"/>
              <w:rPr>
                <w:sz w:val="20"/>
                <w:szCs w:val="20"/>
                <w:color w:val="auto"/>
              </w:rPr>
            </w:pPr>
            <w:r>
              <w:rPr>
                <w:rFonts w:ascii="Arial" w:cs="Arial" w:eastAsia="Arial" w:hAnsi="Arial"/>
                <w:sz w:val="18"/>
                <w:szCs w:val="18"/>
                <w:b w:val="1"/>
                <w:bCs w:val="1"/>
                <w:color w:val="auto"/>
                <w:w w:val="90"/>
              </w:rPr>
              <w:t>Commission file number 0</w:t>
            </w:r>
            <w:r>
              <w:rPr>
                <w:rFonts w:ascii="MS PGothic" w:cs="MS PGothic" w:eastAsia="MS PGothic" w:hAnsi="MS PGothic"/>
                <w:sz w:val="18"/>
                <w:szCs w:val="18"/>
                <w:b w:val="1"/>
                <w:bCs w:val="1"/>
                <w:color w:val="auto"/>
                <w:w w:val="90"/>
              </w:rPr>
              <w:t>‑</w:t>
            </w:r>
            <w:r>
              <w:rPr>
                <w:rFonts w:ascii="Arial" w:cs="Arial" w:eastAsia="Arial" w:hAnsi="Arial"/>
                <w:sz w:val="18"/>
                <w:szCs w:val="18"/>
                <w:b w:val="1"/>
                <w:bCs w:val="1"/>
                <w:color w:val="auto"/>
                <w:w w:val="90"/>
              </w:rPr>
              <w:t>18183</w:t>
            </w:r>
          </w:p>
        </w:tc>
        <w:tc>
          <w:tcPr>
            <w:tcW w:w="1720" w:type="dxa"/>
            <w:vAlign w:val="bottom"/>
          </w:tcPr>
          <w:p>
            <w:pPr>
              <w:spacing w:after="0"/>
              <w:rPr>
                <w:sz w:val="20"/>
                <w:szCs w:val="20"/>
                <w:color w:val="auto"/>
              </w:rPr>
            </w:pPr>
          </w:p>
        </w:tc>
      </w:tr>
      <w:tr>
        <w:trPr>
          <w:trHeight w:val="565"/>
        </w:trPr>
        <w:tc>
          <w:tcPr>
            <w:tcW w:w="7640" w:type="dxa"/>
            <w:vAlign w:val="bottom"/>
            <w:gridSpan w:val="2"/>
          </w:tcPr>
          <w:p>
            <w:pPr>
              <w:jc w:val="center"/>
              <w:ind w:left="678"/>
              <w:spacing w:after="0"/>
              <w:rPr>
                <w:sz w:val="20"/>
                <w:szCs w:val="20"/>
                <w:color w:val="auto"/>
              </w:rPr>
            </w:pPr>
            <w:r>
              <w:rPr>
                <w:rFonts w:ascii="Arial" w:cs="Arial" w:eastAsia="Arial" w:hAnsi="Arial"/>
                <w:sz w:val="43"/>
                <w:szCs w:val="43"/>
                <w:b w:val="1"/>
                <w:bCs w:val="1"/>
                <w:color w:val="auto"/>
                <w:w w:val="99"/>
              </w:rPr>
              <w:t>G-III APPAREL GROUP, LTD.</w:t>
            </w:r>
          </w:p>
        </w:tc>
      </w:tr>
      <w:tr>
        <w:trPr>
          <w:trHeight w:val="182"/>
        </w:trPr>
        <w:tc>
          <w:tcPr>
            <w:tcW w:w="5920" w:type="dxa"/>
            <w:vAlign w:val="bottom"/>
          </w:tcPr>
          <w:p>
            <w:pPr>
              <w:jc w:val="center"/>
              <w:ind w:left="239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1720" w:type="dxa"/>
            <w:vAlign w:val="bottom"/>
          </w:tcPr>
          <w:p>
            <w:pPr>
              <w:spacing w:after="0"/>
              <w:rPr>
                <w:sz w:val="15"/>
                <w:szCs w:val="15"/>
                <w:color w:val="auto"/>
              </w:rPr>
            </w:pPr>
          </w:p>
        </w:tc>
      </w:tr>
      <w:tr>
        <w:trPr>
          <w:trHeight w:val="227"/>
        </w:trPr>
        <w:tc>
          <w:tcPr>
            <w:tcW w:w="5920" w:type="dxa"/>
            <w:vAlign w:val="bottom"/>
          </w:tcPr>
          <w:p>
            <w:pPr>
              <w:jc w:val="center"/>
              <w:ind w:right="2578"/>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center"/>
              <w:ind w:left="190"/>
              <w:spacing w:after="0" w:line="207" w:lineRule="exact"/>
              <w:rPr>
                <w:sz w:val="20"/>
                <w:szCs w:val="20"/>
                <w:color w:val="auto"/>
              </w:rPr>
            </w:pPr>
            <w:r>
              <w:rPr>
                <w:rFonts w:ascii="Arial" w:cs="Arial" w:eastAsia="Arial" w:hAnsi="Arial"/>
                <w:sz w:val="18"/>
                <w:szCs w:val="18"/>
                <w:b w:val="1"/>
                <w:bCs w:val="1"/>
                <w:color w:val="auto"/>
                <w:w w:val="91"/>
              </w:rPr>
              <w:t>41</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1590959</w:t>
            </w:r>
          </w:p>
        </w:tc>
      </w:tr>
      <w:tr>
        <w:trPr>
          <w:trHeight w:val="216"/>
        </w:trPr>
        <w:tc>
          <w:tcPr>
            <w:tcW w:w="5920" w:type="dxa"/>
            <w:vAlign w:val="bottom"/>
          </w:tcPr>
          <w:p>
            <w:pPr>
              <w:jc w:val="center"/>
              <w:ind w:right="2438"/>
              <w:spacing w:after="0"/>
              <w:rPr>
                <w:sz w:val="20"/>
                <w:szCs w:val="20"/>
                <w:color w:val="auto"/>
              </w:rPr>
            </w:pPr>
            <w:r>
              <w:rPr>
                <w:rFonts w:ascii="Arial" w:cs="Arial" w:eastAsia="Arial" w:hAnsi="Arial"/>
                <w:sz w:val="18"/>
                <w:szCs w:val="18"/>
                <w:i w:val="1"/>
                <w:iCs w:val="1"/>
                <w:color w:val="auto"/>
                <w:w w:val="93"/>
              </w:rPr>
              <w:t>(State or other jurisdiction of</w:t>
            </w:r>
          </w:p>
        </w:tc>
        <w:tc>
          <w:tcPr>
            <w:tcW w:w="1720" w:type="dxa"/>
            <w:vAlign w:val="bottom"/>
          </w:tcPr>
          <w:p>
            <w:pPr>
              <w:jc w:val="center"/>
              <w:ind w:left="2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5920" w:type="dxa"/>
            <w:vAlign w:val="bottom"/>
          </w:tcPr>
          <w:p>
            <w:pPr>
              <w:jc w:val="center"/>
              <w:ind w:right="2438"/>
              <w:spacing w:after="0"/>
              <w:rPr>
                <w:sz w:val="20"/>
                <w:szCs w:val="20"/>
                <w:color w:val="auto"/>
              </w:rPr>
            </w:pPr>
            <w:r>
              <w:rPr>
                <w:rFonts w:ascii="Arial" w:cs="Arial" w:eastAsia="Arial" w:hAnsi="Arial"/>
                <w:sz w:val="18"/>
                <w:szCs w:val="18"/>
                <w:i w:val="1"/>
                <w:iCs w:val="1"/>
                <w:color w:val="auto"/>
                <w:w w:val="94"/>
              </w:rPr>
              <w:t>incorporation or organization)</w:t>
            </w:r>
          </w:p>
        </w:tc>
        <w:tc>
          <w:tcPr>
            <w:tcW w:w="1720" w:type="dxa"/>
            <w:vAlign w:val="bottom"/>
          </w:tcPr>
          <w:p>
            <w:pPr>
              <w:jc w:val="center"/>
              <w:ind w:left="310"/>
              <w:spacing w:after="0"/>
              <w:rPr>
                <w:sz w:val="20"/>
                <w:szCs w:val="20"/>
                <w:color w:val="auto"/>
              </w:rPr>
            </w:pPr>
            <w:r>
              <w:rPr>
                <w:rFonts w:ascii="Arial" w:cs="Arial" w:eastAsia="Arial" w:hAnsi="Arial"/>
                <w:sz w:val="18"/>
                <w:szCs w:val="18"/>
                <w:i w:val="1"/>
                <w:iCs w:val="1"/>
                <w:color w:val="auto"/>
                <w:w w:val="94"/>
              </w:rPr>
              <w:t>Identification No.)</w:t>
            </w:r>
          </w:p>
        </w:tc>
      </w:tr>
      <w:tr>
        <w:trPr>
          <w:trHeight w:val="251"/>
        </w:trPr>
        <w:tc>
          <w:tcPr>
            <w:tcW w:w="5920" w:type="dxa"/>
            <w:vAlign w:val="bottom"/>
          </w:tcPr>
          <w:p>
            <w:pPr>
              <w:jc w:val="center"/>
              <w:ind w:right="2578"/>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17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10018</w:t>
            </w:r>
          </w:p>
        </w:tc>
      </w:tr>
      <w:tr>
        <w:trPr>
          <w:trHeight w:val="182"/>
        </w:trPr>
        <w:tc>
          <w:tcPr>
            <w:tcW w:w="5920" w:type="dxa"/>
            <w:vAlign w:val="bottom"/>
          </w:tcPr>
          <w:p>
            <w:pPr>
              <w:jc w:val="center"/>
              <w:ind w:right="243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720" w:type="dxa"/>
            <w:vAlign w:val="bottom"/>
          </w:tcPr>
          <w:p>
            <w:pPr>
              <w:jc w:val="center"/>
              <w:ind w:left="170"/>
              <w:spacing w:after="0"/>
              <w:rPr>
                <w:sz w:val="20"/>
                <w:szCs w:val="20"/>
                <w:color w:val="auto"/>
              </w:rPr>
            </w:pPr>
            <w:r>
              <w:rPr>
                <w:rFonts w:ascii="Arial" w:cs="Arial" w:eastAsia="Arial" w:hAnsi="Arial"/>
                <w:sz w:val="14"/>
                <w:szCs w:val="14"/>
                <w:i w:val="1"/>
                <w:iCs w:val="1"/>
                <w:color w:val="auto"/>
                <w:w w:val="93"/>
              </w:rPr>
              <w:t>(Zip Code)</w:t>
            </w:r>
          </w:p>
        </w:tc>
      </w:tr>
    </w:tbl>
    <w:p>
      <w:pPr>
        <w:spacing w:after="0" w:line="8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(212) 403</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0500</w:t>
      </w:r>
    </w:p>
    <w:p>
      <w:pPr>
        <w:spacing w:after="0" w:line="1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2" w:lineRule="exact"/>
        <w:rPr>
          <w:sz w:val="24"/>
          <w:szCs w:val="24"/>
          <w:color w:val="auto"/>
        </w:rPr>
      </w:pPr>
    </w:p>
    <w:tbl>
      <w:tblPr>
        <w:tblLayout w:type="fixed"/>
        <w:tblInd w:w="1449"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860" w:type="dxa"/>
            <w:vAlign w:val="bottom"/>
            <w:gridSpan w:val="3"/>
          </w:tcPr>
          <w:p>
            <w:pPr>
              <w:jc w:val="center"/>
              <w:ind w:left="1368"/>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Common</w:t>
            </w: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Stock, $0.01</w:t>
            </w:r>
          </w:p>
        </w:tc>
        <w:tc>
          <w:tcPr>
            <w:tcW w:w="2220" w:type="dxa"/>
            <w:vAlign w:val="bottom"/>
          </w:tcPr>
          <w:p>
            <w:pPr>
              <w:ind w:left="100"/>
              <w:spacing w:after="0"/>
              <w:rPr>
                <w:sz w:val="20"/>
                <w:szCs w:val="20"/>
                <w:color w:val="auto"/>
              </w:rPr>
            </w:pPr>
            <w:r>
              <w:rPr>
                <w:rFonts w:ascii="Arial" w:cs="Arial" w:eastAsia="Arial" w:hAnsi="Arial"/>
                <w:sz w:val="18"/>
                <w:szCs w:val="18"/>
                <w:color w:val="auto"/>
              </w:rPr>
              <w:t>par value</w:t>
            </w:r>
          </w:p>
        </w:tc>
        <w:tc>
          <w:tcPr>
            <w:tcW w:w="146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20" w:type="dxa"/>
            <w:vAlign w:val="bottom"/>
          </w:tcPr>
          <w:p>
            <w:pPr>
              <w:spacing w:after="0"/>
              <w:rPr>
                <w:sz w:val="19"/>
                <w:szCs w:val="19"/>
                <w:color w:val="auto"/>
              </w:rPr>
            </w:pPr>
          </w:p>
        </w:tc>
      </w:tr>
    </w:tbl>
    <w:p>
      <w:pPr>
        <w:spacing w:after="0" w:line="8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None.</w:t>
      </w:r>
    </w:p>
    <w:p>
      <w:pPr>
        <w:spacing w:after="0" w:line="17" w:lineRule="exact"/>
        <w:rPr>
          <w:sz w:val="24"/>
          <w:szCs w:val="24"/>
          <w:color w:val="auto"/>
        </w:rPr>
      </w:pPr>
    </w:p>
    <w:p>
      <w:pPr>
        <w:ind w:left="9" w:right="276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9"/>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w:t>
      </w:r>
    </w:p>
    <w:p>
      <w:pPr>
        <w:spacing w:after="0" w:line="19" w:lineRule="exact"/>
        <w:rPr>
          <w:sz w:val="24"/>
          <w:szCs w:val="24"/>
          <w:color w:val="auto"/>
        </w:rPr>
      </w:pPr>
    </w:p>
    <w:p>
      <w:pPr>
        <w:ind w:left="9"/>
        <w:spacing w:after="0" w:line="150" w:lineRule="exact"/>
        <w:rPr>
          <w:sz w:val="20"/>
          <w:szCs w:val="20"/>
          <w:color w:val="auto"/>
        </w:rPr>
      </w:pPr>
      <w:r>
        <w:rPr>
          <w:rFonts w:ascii="Arial" w:cs="Arial" w:eastAsia="Arial" w:hAnsi="Arial"/>
          <w:sz w:val="13"/>
          <w:szCs w:val="13"/>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ind w:left="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left="9" w:right="40"/>
        <w:spacing w:after="0" w:line="181" w:lineRule="exact"/>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 any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 xml:space="preserve">K. </w:t>
      </w:r>
      <w:r>
        <w:rPr>
          <w:rFonts w:ascii="MS PGothic" w:cs="MS PGothic" w:eastAsia="MS PGothic" w:hAnsi="MS PGothic"/>
          <w:sz w:val="13"/>
          <w:szCs w:val="13"/>
          <w:color w:val="auto"/>
        </w:rPr>
        <w:t>☒</w:t>
      </w:r>
    </w:p>
    <w:p>
      <w:pPr>
        <w:spacing w:after="0" w:line="18" w:lineRule="exact"/>
        <w:rPr>
          <w:sz w:val="24"/>
          <w:szCs w:val="24"/>
          <w:color w:val="auto"/>
        </w:rPr>
      </w:pPr>
    </w:p>
    <w:p>
      <w:pPr>
        <w:ind w:left="9"/>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9"/>
        <w:spacing w:after="0" w:line="161" w:lineRule="exact"/>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0389"/>
          </w:cols>
          <w:pgMar w:left="751" w:top="233" w:right="759" w:bottom="1440" w:gutter="0" w:footer="0" w:header="0"/>
        </w:sectPr>
      </w:pPr>
    </w:p>
    <w:p>
      <w:pPr>
        <w:spacing w:after="0" w:line="29" w:lineRule="exact"/>
        <w:rPr>
          <w:sz w:val="24"/>
          <w:szCs w:val="24"/>
          <w:color w:val="auto"/>
        </w:rPr>
      </w:pPr>
    </w:p>
    <w:p>
      <w:pPr>
        <w:ind w:left="329"/>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88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649" w:space="720"/>
            <w:col w:w="5020"/>
          </w:cols>
          <w:pgMar w:left="751" w:top="233" w:right="759" w:bottom="1440" w:gutter="0" w:footer="0" w:header="0"/>
          <w:type w:val="continuous"/>
        </w:sectPr>
      </w:pPr>
    </w:p>
    <w:p>
      <w:pPr>
        <w:ind w:left="329"/>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sectPr>
          <w:pgSz w:w="11900" w:h="16838" w:orient="portrait"/>
          <w:cols w:equalWidth="0" w:num="2">
            <w:col w:w="4649" w:space="720"/>
            <w:col w:w="5020"/>
          </w:cols>
          <w:pgMar w:left="751" w:top="233" w:right="759" w:bottom="1440" w:gutter="0" w:footer="0" w:header="0"/>
          <w:type w:val="continuous"/>
        </w:sectPr>
      </w:pPr>
    </w:p>
    <w:p>
      <w:pPr>
        <w:ind w:left="329"/>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389"/>
          </w:cols>
          <w:pgMar w:left="751" w:top="233" w:right="759" w:bottom="1440" w:gutter="0" w:footer="0" w:header="0"/>
          <w:type w:val="continuous"/>
        </w:sectPr>
      </w:pPr>
    </w:p>
    <w:p>
      <w:pPr>
        <w:spacing w:after="0" w:line="57" w:lineRule="exact"/>
        <w:rPr>
          <w:sz w:val="24"/>
          <w:szCs w:val="24"/>
          <w:color w:val="auto"/>
        </w:rPr>
      </w:pPr>
    </w:p>
    <w:p>
      <w:pPr>
        <w:ind w:left="9"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9"/>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9" w:right="400"/>
        <w:spacing w:after="0" w:line="259" w:lineRule="auto"/>
        <w:rPr>
          <w:sz w:val="20"/>
          <w:szCs w:val="20"/>
          <w:color w:val="auto"/>
        </w:rPr>
      </w:pPr>
      <w:r>
        <w:rPr>
          <w:rFonts w:ascii="Arial" w:cs="Arial" w:eastAsia="Arial" w:hAnsi="Arial"/>
          <w:sz w:val="14"/>
          <w:szCs w:val="14"/>
          <w:b w:val="1"/>
          <w:bCs w:val="1"/>
          <w:color w:val="auto"/>
        </w:rPr>
        <w:t>As of July 31, 2018, the aggregate market value of the registrant’s voting stock held by non-affiliates of the registrant (based on the last sale price for such shares as quoted by the Nasdaq Global Select Market) was approximately $2,069,366,515.</w:t>
      </w:r>
    </w:p>
    <w:p>
      <w:pPr>
        <w:spacing w:after="0" w:line="8" w:lineRule="exact"/>
        <w:rPr>
          <w:sz w:val="24"/>
          <w:szCs w:val="24"/>
          <w:color w:val="auto"/>
        </w:rPr>
      </w:pPr>
    </w:p>
    <w:p>
      <w:pPr>
        <w:ind w:left="9"/>
        <w:spacing w:after="0"/>
        <w:rPr>
          <w:sz w:val="20"/>
          <w:szCs w:val="20"/>
          <w:color w:val="auto"/>
        </w:rPr>
      </w:pPr>
      <w:r>
        <w:rPr>
          <w:rFonts w:ascii="Arial" w:cs="Arial" w:eastAsia="Arial" w:hAnsi="Arial"/>
          <w:sz w:val="14"/>
          <w:szCs w:val="14"/>
          <w:color w:val="auto"/>
        </w:rPr>
        <w:t>The number of outstanding shares of the registrant’s Common Stock as of March 25, 2019 was 48,708,410.</w:t>
      </w:r>
    </w:p>
    <w:p>
      <w:pPr>
        <w:spacing w:after="0" w:line="42" w:lineRule="exact"/>
        <w:rPr>
          <w:sz w:val="24"/>
          <w:szCs w:val="24"/>
          <w:color w:val="auto"/>
        </w:rPr>
      </w:pPr>
    </w:p>
    <w:p>
      <w:pPr>
        <w:jc w:val="both"/>
        <w:ind w:left="9" w:right="160"/>
        <w:spacing w:after="0" w:line="238" w:lineRule="auto"/>
        <w:rPr>
          <w:sz w:val="20"/>
          <w:szCs w:val="20"/>
          <w:color w:val="auto"/>
        </w:rPr>
      </w:pPr>
      <w:r>
        <w:rPr>
          <w:rFonts w:ascii="Arial" w:cs="Arial" w:eastAsia="Arial" w:hAnsi="Arial"/>
          <w:sz w:val="14"/>
          <w:szCs w:val="14"/>
          <w:color w:val="auto"/>
        </w:rPr>
        <w:t>Documents incorporated by reference: Certain portions of the registrant’s definitive Proxy Statement relating to the registrant’s Annual Meeting of Stockholders to be held on or about June 13, 2019,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85090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454025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Various statements contained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incorporated by reference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 and the following:</w:t>
      </w:r>
    </w:p>
    <w:p>
      <w:pPr>
        <w:spacing w:after="0" w:line="99"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60" w:right="48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and the bankruptcy of a number of prominent retailers;</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60" w:right="20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9" w:lineRule="exact"/>
        <w:rPr>
          <w:rFonts w:ascii="Arial" w:cs="Arial" w:eastAsia="Arial" w:hAnsi="Arial"/>
          <w:sz w:val="18"/>
          <w:szCs w:val="18"/>
          <w:color w:val="auto"/>
        </w:rPr>
      </w:pPr>
    </w:p>
    <w:p>
      <w:pPr>
        <w:ind w:left="660" w:right="160" w:hanging="333"/>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strategies to realize the anticipated benefits of the acquisition of Donna Karan International Inc. (“DKI”).</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w:t>
      </w:r>
      <w:r>
        <w:rPr>
          <w:rFonts w:ascii="MS PGothic" w:cs="MS PGothic" w:eastAsia="MS PGothic" w:hAnsi="MS PGothic"/>
          <w:sz w:val="16"/>
          <w:szCs w:val="16"/>
          <w:color w:val="auto"/>
        </w:rPr>
        <w:t>‑</w:t>
      </w:r>
      <w:r>
        <w:rPr>
          <w:rFonts w:ascii="Arial" w:cs="Arial" w:eastAsia="Arial" w:hAnsi="Arial"/>
          <w:sz w:val="16"/>
          <w:szCs w:val="16"/>
          <w:color w:val="auto"/>
        </w:rPr>
        <w:t>K under the heading “Risk Factors.”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website is www.g-iii.com. We make available, free of charge, on our website (under the heading “Investors”)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31st Floor, New York, New York 10018. The SEC maintains an Internet site that contains reports, proxy and information statements, and other information regarding issuers that file electronically with the SEC. The address of the SEC’s website is http://www.sec.gov.</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r>
        <w:rPr>
          <w:rFonts w:ascii="Arial" w:cs="Arial" w:eastAsia="Arial" w:hAnsi="Arial"/>
          <w:sz w:val="17"/>
          <w:szCs w:val="17"/>
          <w:b w:val="1"/>
          <w:bCs w:val="1"/>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“G-III,” “us,” “we” and “our” refer to G-III Apparel Group,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is referred to as “fiscal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G-III Apparel Group, Ltd. is a Delaware corporation that was formed in 1989. We and our predecessors have conducted our business since 1974.</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All share and per share data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have been retroactively adjusted to reflect our two-for-one stock split effected on May 1,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 of distribution including brick and mortar and online channels.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own proprietary brands include DKNY, Donna Karan, Vilebrequin, G.H. Bass, Andrew Marc, Marc New York, Eliza J and Jessica Howard.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Starter and over 150 U.S. colleges and universities. We also sell products under private retail labels for retailers such as Costco, Ross Stores and Nordstrom.</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products are sold through a cross section of leading retailers such as Macy’s, Dillard’s, Hudson’s Bay Company, including their Lord &amp; Taylor and Saks Fifth Avenue divisions, Nordstrom, TJX Companies, Ross Stores and Burlington. We also sell our products over the web through retail partners such as macys.com and nordstrom.com, each of which has a substantial online business. In addition, we sell to pure play online retail partners such as Amazon and Fanatics.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distribute apparel and other products through our own retail stores. Substantially all of our DKNY, Wilsons Leather and G.H. Bass stores are operated as outlet stores. As of January 31, 2019, we operated 139 Wilsons Leather stores, 111 G.H. Bass stores, 42 DKNY stores, 11 Karl Lagerfeld Paris stores and 5 Calvin Klein Performance stores, of which 300 were located in the continental United States and 8 are located internationally. Wilsons Leather, G.H. Bass, DKNY and Karl Lagerfeld Paris each operates its own online store. In addition, as of January 31, 2019, Vilebrequin products were distributed through 96 company-operated stores, as well as through 68 franchised locations and e-commerce stores in Europe and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wholesale operations segment includes sales of products under brands licensed by us from third parties and sales of products under our own brands and private label brands, as well as sales related to the Vilebrequin business. Wholesale revenues also include royalty revenues from license agreements related to trademarks owned by the DKNY, Donna Karan, Vilebrequin, G.H. Bass and Andrew Marc businesses.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operations segment includes direct sales to consumers through company-operated stores and product sales through our owned websites for the DKNY, Donna Karan, Wilsons Leather, G.H. Bass and Karl Lagerfeld Paris businesses. Our retail operations segment consists primarily of our Wilsons Leather, G.H. Bass and DKNY stores, substantially all of which are operated as outlet stores, as well as a limited number of Calvin Klein Performance and Karl Lagerfeld Paris stores.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focused on the following strategic initiatives, which we believe are critical to our long-term success:</w:t>
      </w:r>
    </w:p>
    <w:p>
      <w:pPr>
        <w:spacing w:after="0" w:line="104" w:lineRule="exact"/>
        <w:rPr>
          <w:sz w:val="20"/>
          <w:szCs w:val="20"/>
          <w:color w:val="auto"/>
        </w:rPr>
      </w:pPr>
    </w:p>
    <w:p>
      <w:pPr>
        <w:ind w:left="660" w:hanging="333"/>
        <w:spacing w:after="0" w:line="30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Owning brands: </w:t>
      </w:r>
      <w:r>
        <w:rPr>
          <w:rFonts w:ascii="Arial" w:cs="Arial" w:eastAsia="Arial" w:hAnsi="Arial"/>
          <w:sz w:val="17"/>
          <w:szCs w:val="17"/>
          <w:color w:val="auto"/>
        </w:rPr>
        <w:t>We now own a portfolio of proprietary brands, including DKNY, Donna Karan, Vilebrequin, 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Bass and Andrew Marc. Owning our own brands is advantageous to us for several reasons:</w:t>
      </w:r>
    </w:p>
    <w:p>
      <w:pPr>
        <w:spacing w:after="0" w:line="1" w:lineRule="exact"/>
        <w:rPr>
          <w:rFonts w:ascii="Arial" w:cs="Arial" w:eastAsia="Arial" w:hAnsi="Arial"/>
          <w:sz w:val="17"/>
          <w:szCs w:val="17"/>
          <w:color w:val="auto"/>
        </w:rPr>
      </w:pPr>
    </w:p>
    <w:p>
      <w:pPr>
        <w:jc w:val="both"/>
        <w:ind w:left="1300" w:hanging="325"/>
        <w:spacing w:after="0" w:line="264" w:lineRule="auto"/>
        <w:tabs>
          <w:tab w:leader="none" w:pos="1300" w:val="left"/>
        </w:tabs>
        <w:numPr>
          <w:ilvl w:val="1"/>
          <w:numId w:val="4"/>
        </w:numPr>
        <w:rPr>
          <w:rFonts w:ascii="Courier New" w:cs="Courier New" w:eastAsia="Courier New" w:hAnsi="Courier New"/>
          <w:sz w:val="17"/>
          <w:szCs w:val="17"/>
          <w:color w:val="auto"/>
        </w:rPr>
      </w:pPr>
      <w:r>
        <w:rPr>
          <w:rFonts w:ascii="Arial" w:cs="Arial" w:eastAsia="Arial" w:hAnsi="Arial"/>
          <w:sz w:val="17"/>
          <w:szCs w:val="17"/>
          <w:color w:val="auto"/>
        </w:rPr>
        <w:t>We can realize significantly higher operating margins because we are not required to pay licensing fees on sales by us of our proprietary products and can also generate licensing revenues (which have no related cost of goods sold) for classes of products not manufactured by us.</w:t>
      </w:r>
    </w:p>
    <w:p>
      <w:pPr>
        <w:ind w:left="1300" w:hanging="325"/>
        <w:spacing w:after="0" w:line="241" w:lineRule="auto"/>
        <w:tabs>
          <w:tab w:leader="none" w:pos="13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There are no channel restrictions, permitting us to market our products internationally, and to utilize a variety of different distribution channels, including online and off-price channels.</w:t>
      </w:r>
    </w:p>
    <w:p>
      <w:pPr>
        <w:ind w:left="1300" w:hanging="325"/>
        <w:spacing w:after="0"/>
        <w:tabs>
          <w:tab w:leader="none" w:pos="1300" w:val="left"/>
        </w:tabs>
        <w:numPr>
          <w:ilvl w:val="1"/>
          <w:numId w:val="4"/>
        </w:numPr>
        <w:rPr>
          <w:rFonts w:ascii="Courier New" w:cs="Courier New" w:eastAsia="Courier New" w:hAnsi="Courier New"/>
          <w:sz w:val="16"/>
          <w:szCs w:val="16"/>
          <w:color w:val="auto"/>
        </w:rPr>
      </w:pPr>
      <w:r>
        <w:rPr>
          <w:rFonts w:ascii="Arial" w:cs="Arial" w:eastAsia="Arial" w:hAnsi="Arial"/>
          <w:sz w:val="16"/>
          <w:szCs w:val="16"/>
          <w:color w:val="auto"/>
        </w:rPr>
        <w:t>We are able to license our proprietary brands in new categories and geographies to best in class licensees.</w:t>
      </w:r>
    </w:p>
    <w:p>
      <w:pPr>
        <w:spacing w:after="0" w:line="17" w:lineRule="exact"/>
        <w:rPr>
          <w:rFonts w:ascii="Courier New" w:cs="Courier New" w:eastAsia="Courier New" w:hAnsi="Courier New"/>
          <w:sz w:val="16"/>
          <w:szCs w:val="16"/>
          <w:color w:val="auto"/>
        </w:rPr>
      </w:pPr>
    </w:p>
    <w:p>
      <w:pPr>
        <w:ind w:left="1300" w:hanging="325"/>
        <w:spacing w:after="0" w:line="232" w:lineRule="auto"/>
        <w:tabs>
          <w:tab w:leader="none" w:pos="130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We are able to build equity in these brands to benefit the long-term interests of our stockholders.</w:t>
      </w:r>
    </w:p>
    <w:p>
      <w:pPr>
        <w:spacing w:after="0" w:line="107" w:lineRule="exact"/>
        <w:rPr>
          <w:rFonts w:ascii="Courier New" w:cs="Courier New" w:eastAsia="Courier New" w:hAnsi="Courier New"/>
          <w:sz w:val="18"/>
          <w:szCs w:val="18"/>
          <w:color w:val="auto"/>
        </w:rPr>
      </w:pPr>
    </w:p>
    <w:p>
      <w:pPr>
        <w:ind w:left="660" w:hanging="333"/>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Focusing on our five global power brands: </w:t>
      </w:r>
      <w:r>
        <w:rPr>
          <w:rFonts w:ascii="Arial" w:cs="Arial" w:eastAsia="Arial" w:hAnsi="Arial"/>
          <w:sz w:val="16"/>
          <w:szCs w:val="16"/>
          <w:color w:val="auto"/>
        </w:rPr>
        <w:t>While we sell products under more than  30 licensed and proprietary</w:t>
      </w:r>
    </w:p>
    <w:p>
      <w:pPr>
        <w:spacing w:after="0" w:line="46"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brands, five global power brands anchor our business: DKNY, Donna Karan, Calvin Klein, Tommy Hilfiger and Karl Lagerfeld Paris. Each of these brands has substantial name recognition and is well-known in the marketplace. We believe each brand also provides us with significant growth opportunities.</w:t>
      </w:r>
    </w:p>
    <w:p>
      <w:pPr>
        <w:spacing w:after="0" w:line="68"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international business: </w:t>
      </w:r>
      <w:r>
        <w:rPr>
          <w:rFonts w:ascii="Arial" w:cs="Arial" w:eastAsia="Arial" w:hAnsi="Arial"/>
          <w:sz w:val="18"/>
          <w:szCs w:val="18"/>
          <w:color w:val="auto"/>
        </w:rPr>
        <w:t>We continue to expand our international business and enter into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worldwide. We believe that the international sales and profit opportunity is quite significant for our DKNY and Donna Karan businesses.</w:t>
      </w:r>
    </w:p>
    <w:p>
      <w:pPr>
        <w:spacing w:after="0" w:line="86" w:lineRule="exact"/>
        <w:rPr>
          <w:rFonts w:ascii="Arial" w:cs="Arial" w:eastAsia="Arial" w:hAnsi="Arial"/>
          <w:sz w:val="18"/>
          <w:szCs w:val="18"/>
          <w:color w:val="auto"/>
        </w:rPr>
      </w:pPr>
    </w:p>
    <w:p>
      <w:pPr>
        <w:jc w:val="both"/>
        <w:ind w:left="660" w:hanging="333"/>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online business opportunities: </w:t>
      </w:r>
      <w:r>
        <w:rPr>
          <w:rFonts w:ascii="Arial" w:cs="Arial" w:eastAsia="Arial" w:hAnsi="Arial"/>
          <w:sz w:val="17"/>
          <w:szCs w:val="17"/>
          <w:color w:val="auto"/>
        </w:rPr>
        <w:t>We are continuing to make changes to our business to address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challenges and opportunities created by the evolving role of the online marketplace in the retail sector and expect to increase the sale of our products in an omni-channel environment. We are investing in digital personnel, marketing, logistics, planning and distribution. We believe that consumers are increasingly engaging with brands through online channels, and that this trend will continue to grow in the coming years. The five global power brands that serve as the anchor of our business position us to be the direct beneficiaries of this trend, whether by continuing to leverage our partnerships with the online businesses operated by our licensors and major retailers to facilitate customer engagement or by building out our own online capabilities.</w:t>
      </w:r>
    </w:p>
    <w:p>
      <w:pPr>
        <w:spacing w:after="0" w:line="97" w:lineRule="exact"/>
        <w:rPr>
          <w:rFonts w:ascii="Arial" w:cs="Arial" w:eastAsia="Arial" w:hAnsi="Arial"/>
          <w:sz w:val="17"/>
          <w:szCs w:val="17"/>
          <w:color w:val="auto"/>
        </w:rPr>
      </w:pPr>
    </w:p>
    <w:p>
      <w:pPr>
        <w:jc w:val="both"/>
        <w:ind w:left="660" w:hanging="333"/>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Reducing the losses in our retail business: </w:t>
      </w:r>
      <w:r>
        <w:rPr>
          <w:rFonts w:ascii="Arial" w:cs="Arial" w:eastAsia="Arial" w:hAnsi="Arial"/>
          <w:sz w:val="17"/>
          <w:szCs w:val="17"/>
          <w:color w:val="auto"/>
        </w:rPr>
        <w:t>We are also focusing on significantly reducing the losses of our retail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with the goal of attaining profitability by terminating or renegotiating long-term leases as they come up for renewal, implementing cost-cutting initiatives, revising our merchandising strategies and repurposing certain Wilsons and G.H. Bass stores for our Karl Lagerfeld Paris or DKNY brands. We also hired a new President of our retail business who is an industry veteran with a proven track record at leading retailers.</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ongoing development of the DKI businesses serves as a pillar of our strategic efforts. The acquisition of DKI added two proprietary power brands to our growing portfolio and the ability to expand our footprint globally, while enabling us to compete more effectively in omni-channel retail. The acquisition of DKI fit squarely into our strategy to diversify and expand our business and to increase our ownership of brands. We believe that DKNY and Donna Karan are two of the most iconic and recognizable power brands and that we are well positioned to unlock their potential, resulting in a much bigger opportunity than their previous management had realized. We are focusing on the expansion of the DKNY brand, while continuing to re-establish Donna Karan and other associated brands. We are leveraging our demonstrated ability to drive organic growth and develop talent throughout our company to maximize the potential of the DKNY and Donna Karan brands.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2018 and fiscal 2019, we restructured and repositioned the DKNY and Donna Karan brands. We re-launched the DKNY apparel line and also re-launched Donna Karan as an aspirational luxury brand that is priced above DKNY and targeted to fine department stores globally. These steps began paying off in the second half of fiscal 2018 and through fiscal 2019. Our strategy is for DKNY and Donna Karan to be more accessible brands, both designed and priced to reach a wider range of customers. We believe there is untapped global licensing and distribution potential for these brands and intend to grow royalty streams in the DKNY and Donna Karan businesses through expansion of additional categories with existing licensees, as well as new categories with new licensees. We are committed to making DKNY the premier fashion and lifestyle brand.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entered into a joint venture to produce and market women’s and men’s apparel and accessories under a long-term license for DKNY and Donna Karan in the People’s Republic of China, including Macau, Hong Kong and Taiwan. The operators of the joint venture were formerly executives of Tommy Hilfiger and were instrumental in the expansion of the Tommy Hilfiger brand in China. This joint venture is the exclusive seller of women’s and men’s apparel, handbags, luggage and certain accessories under the DKNY and Donna Karan brands in the territory. The joint venture commenced operations in the second half of fiscal 2018 and was operating approximately 50 points of sale as of January 31, 2019.</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of DKI was not our only recent important strategic initiative. We have continually expanded our relationship with Calvin Klein, our most important license relationship representing over $1 billion of our sales in fiscal 2019. Initially, we had licenses for Calvin Klein men’s and women’s outerwear. We subsequently added licenses for women’s suits, dresses, women’s performance wear, women’s better sportswear, men’s and women’s swimwear, women’s handbags and small leather goods and luggage, as well as to operate Calvin Klein Performance retail stores in the United States.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continued to expand our partnership with the Karl Lagerfeld Paris brand as we now design, source and produce women’s apparel, women’s handbags, men’s apparel and women’s and men’s footwear. We have expanded our licensing relationship with Tommy Hilfiger which includes all women’s apparel categories (excluding intimates, sleepwear and accessories) in the United States and Canada. This expansion complemented our other Tommy Hilfiger licenses for men’s and women’s outerwear and luggage.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retailers today are seeking resources with the size and power to partner effectively on all aspects of the supply chain, from design, sourcing and quality control to logistics and warehousing. We believe that G-III is a partner of choice in these endeavors, and that we are able to capitalize on the following competitive strengths to expand our position as an all-season diversified apparel company: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Broad portfolio of recognized brands. </w:t>
      </w:r>
      <w:r>
        <w:rPr>
          <w:rFonts w:ascii="Arial" w:cs="Arial" w:eastAsia="Arial" w:hAnsi="Arial"/>
          <w:sz w:val="17"/>
          <w:szCs w:val="17"/>
          <w:color w:val="auto"/>
        </w:rPr>
        <w:t>In an environment of rapidly changing consumer fashion trends, we benefit from a</w:t>
      </w:r>
      <w:r>
        <w:rPr>
          <w:rFonts w:ascii="Arial" w:cs="Arial" w:eastAsia="Arial" w:hAnsi="Arial"/>
          <w:sz w:val="17"/>
          <w:szCs w:val="17"/>
          <w:i w:val="1"/>
          <w:iCs w:val="1"/>
          <w:color w:val="auto"/>
        </w:rPr>
        <w:t xml:space="preserve"> </w:t>
      </w:r>
      <w:r>
        <w:rPr>
          <w:rFonts w:ascii="Arial" w:cs="Arial" w:eastAsia="Arial" w:hAnsi="Arial"/>
          <w:sz w:val="17"/>
          <w:szCs w:val="17"/>
          <w:color w:val="auto"/>
        </w:rPr>
        <w:t>balanced mix of more than 30 licensed and proprietary brands anchored by five global power brands: DKNY, Donna Karan, Calvin Klein, Tommy Hilfiger and Karl Lagerfeld Paris. We believe we are a licensee of choice for well-known brands, as demonstrated by our partnerships with such brands as Calvin Klein, Tommy Hilfiger, Karl Lagerfeld Paris, Kenneth Cole, Cole Haan, Guess?, Vince Camuto, Levi’s and Dockers that have built a loyal following of both fashion-conscious consumers and retailers who desire high quality, well designed products. In addition to our licensed brands, we own a number of proprietary brands, including DKNY, Donna Karan, Vilebrequin, G.H. Bass, Andrew Marc, Marc New York, Eliza J and Jessica Howard. Our experience in developing and acquiring licensed brands and proprietary labels, as well as our reputation for producing high quality, well-designed apparel, has led major department stores and retailers to select us as a designer and manufacturer for their own private label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currently market apparel and other products under, among others, the following licensed and proprietary brand names: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Women's</w:t>
            </w:r>
          </w:p>
        </w:tc>
        <w:tc>
          <w:tcPr>
            <w:tcW w:w="3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Men's</w:t>
            </w:r>
          </w:p>
        </w:tc>
        <w:tc>
          <w:tcPr>
            <w:tcW w:w="3040" w:type="dxa"/>
            <w:vAlign w:val="bottom"/>
            <w:gridSpan w:val="2"/>
          </w:tcPr>
          <w:p>
            <w:pPr>
              <w:ind w:left="220"/>
              <w:spacing w:after="0"/>
              <w:rPr>
                <w:sz w:val="20"/>
                <w:szCs w:val="20"/>
                <w:color w:val="auto"/>
              </w:rPr>
            </w:pPr>
            <w:r>
              <w:rPr>
                <w:rFonts w:ascii="Arial" w:cs="Arial" w:eastAsia="Arial" w:hAnsi="Arial"/>
                <w:sz w:val="14"/>
                <w:szCs w:val="14"/>
                <w:b w:val="1"/>
                <w:bCs w:val="1"/>
                <w:color w:val="auto"/>
              </w:rPr>
              <w:t>Team Sports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Licensed Brands</w:t>
            </w:r>
          </w:p>
        </w:tc>
        <w:tc>
          <w:tcPr>
            <w:tcW w:w="24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Calvin Klein</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Calvin Klein</w:t>
            </w:r>
          </w:p>
        </w:tc>
        <w:tc>
          <w:tcPr>
            <w:tcW w:w="3040" w:type="dxa"/>
            <w:vAlign w:val="bottom"/>
            <w:gridSpan w:val="2"/>
          </w:tcPr>
          <w:p>
            <w:pPr>
              <w:ind w:left="220"/>
              <w:spacing w:after="0"/>
              <w:rPr>
                <w:sz w:val="20"/>
                <w:szCs w:val="20"/>
                <w:color w:val="auto"/>
              </w:rPr>
            </w:pPr>
            <w:r>
              <w:rPr>
                <w:rFonts w:ascii="Arial" w:cs="Arial" w:eastAsia="Arial" w:hAnsi="Arial"/>
                <w:sz w:val="16"/>
                <w:szCs w:val="16"/>
                <w:color w:val="auto"/>
              </w:rPr>
              <w:t>National Football League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Tommy Hilfiger</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Tommy Hilfiger</w:t>
            </w: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Major League Baseball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Karl Lagerfeld Paris</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Karl Lagerfeld Paris</w:t>
            </w:r>
          </w:p>
        </w:tc>
        <w:tc>
          <w:tcPr>
            <w:tcW w:w="3040" w:type="dxa"/>
            <w:vAlign w:val="bottom"/>
            <w:gridSpan w:val="2"/>
          </w:tcPr>
          <w:p>
            <w:pPr>
              <w:ind w:left="220"/>
              <w:spacing w:after="0"/>
              <w:rPr>
                <w:sz w:val="20"/>
                <w:szCs w:val="20"/>
                <w:color w:val="auto"/>
              </w:rPr>
            </w:pPr>
            <w:r>
              <w:rPr>
                <w:rFonts w:ascii="Arial" w:cs="Arial" w:eastAsia="Arial" w:hAnsi="Arial"/>
                <w:sz w:val="16"/>
                <w:szCs w:val="16"/>
                <w:color w:val="auto"/>
              </w:rPr>
              <w:t>National Basketball Association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Guess?</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Guess?</w:t>
            </w: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National Hockey League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Kenneth Cole</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Kenneth Cole</w:t>
            </w:r>
          </w:p>
        </w:tc>
        <w:tc>
          <w:tcPr>
            <w:tcW w:w="3040" w:type="dxa"/>
            <w:vAlign w:val="bottom"/>
            <w:gridSpan w:val="2"/>
          </w:tcPr>
          <w:p>
            <w:pPr>
              <w:ind w:left="220"/>
              <w:spacing w:after="0"/>
              <w:rPr>
                <w:sz w:val="20"/>
                <w:szCs w:val="20"/>
                <w:color w:val="auto"/>
              </w:rPr>
            </w:pPr>
            <w:r>
              <w:rPr>
                <w:rFonts w:ascii="Arial" w:cs="Arial" w:eastAsia="Arial" w:hAnsi="Arial"/>
                <w:sz w:val="16"/>
                <w:szCs w:val="16"/>
                <w:color w:val="auto"/>
              </w:rPr>
              <w:t>Touch by Alyssa Milano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Cole Haan</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Cole Haan</w:t>
            </w: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Collegiate Licensing Company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Levi's</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Levi's</w:t>
            </w:r>
          </w:p>
        </w:tc>
        <w:tc>
          <w:tcPr>
            <w:tcW w:w="3040" w:type="dxa"/>
            <w:vAlign w:val="bottom"/>
            <w:gridSpan w:val="2"/>
          </w:tcPr>
          <w:p>
            <w:pPr>
              <w:ind w:left="220"/>
              <w:spacing w:after="0"/>
              <w:rPr>
                <w:sz w:val="20"/>
                <w:szCs w:val="20"/>
                <w:color w:val="auto"/>
              </w:rPr>
            </w:pPr>
            <w:r>
              <w:rPr>
                <w:rFonts w:ascii="Arial" w:cs="Arial" w:eastAsia="Arial" w:hAnsi="Arial"/>
                <w:sz w:val="16"/>
                <w:szCs w:val="16"/>
                <w:color w:val="auto"/>
              </w:rPr>
              <w:t>Starter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Vince Camuto</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Dockers</w:t>
            </w: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Alliance of American Football</w:t>
            </w: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Kensie</w:t>
            </w: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i w:val="1"/>
                <w:iCs w:val="1"/>
                <w:color w:val="auto"/>
              </w:rPr>
              <w:t>Proprietary Brands</w:t>
            </w:r>
          </w:p>
        </w:tc>
        <w:tc>
          <w:tcPr>
            <w:tcW w:w="2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DKNY</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DKNY</w:t>
            </w:r>
          </w:p>
        </w:tc>
        <w:tc>
          <w:tcPr>
            <w:tcW w:w="3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G-III Sports by Carl Banks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Donna Karan</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Andrew Marc</w:t>
            </w:r>
          </w:p>
        </w:tc>
        <w:tc>
          <w:tcPr>
            <w:tcW w:w="3040" w:type="dxa"/>
            <w:vAlign w:val="bottom"/>
            <w:gridSpan w:val="2"/>
          </w:tcPr>
          <w:p>
            <w:pPr>
              <w:ind w:left="220"/>
              <w:spacing w:after="0"/>
              <w:rPr>
                <w:sz w:val="20"/>
                <w:szCs w:val="20"/>
                <w:color w:val="auto"/>
              </w:rPr>
            </w:pPr>
            <w:r>
              <w:rPr>
                <w:rFonts w:ascii="Arial" w:cs="Arial" w:eastAsia="Arial" w:hAnsi="Arial"/>
                <w:sz w:val="16"/>
                <w:szCs w:val="16"/>
                <w:color w:val="auto"/>
              </w:rPr>
              <w:t>G-III for 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Andrew Marc</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Marc New York</w:t>
            </w: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Marc New York</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Vilebrequin</w:t>
            </w: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Vilebrequin</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 H. Bass</w:t>
            </w: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G. H. Bass</w:t>
            </w:r>
          </w:p>
        </w:tc>
        <w:tc>
          <w:tcPr>
            <w:tcW w:w="3160" w:type="dxa"/>
            <w:vAlign w:val="bottom"/>
            <w:gridSpan w:val="2"/>
          </w:tcPr>
          <w:p>
            <w:pPr>
              <w:ind w:left="240"/>
              <w:spacing w:after="0"/>
              <w:rPr>
                <w:sz w:val="20"/>
                <w:szCs w:val="20"/>
                <w:color w:val="auto"/>
              </w:rPr>
            </w:pPr>
            <w:r>
              <w:rPr>
                <w:rFonts w:ascii="Arial" w:cs="Arial" w:eastAsia="Arial" w:hAnsi="Arial"/>
                <w:sz w:val="16"/>
                <w:szCs w:val="16"/>
                <w:color w:val="auto"/>
              </w:rPr>
              <w:t>Black Rivet</w:t>
            </w: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Eliza J</w:t>
            </w:r>
          </w:p>
        </w:tc>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Wilsons</w:t>
            </w:r>
          </w:p>
        </w:tc>
        <w:tc>
          <w:tcPr>
            <w:tcW w:w="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Arial" w:cs="Arial" w:eastAsia="Arial" w:hAnsi="Arial"/>
                <w:sz w:val="16"/>
                <w:szCs w:val="16"/>
                <w:color w:val="auto"/>
              </w:rPr>
              <w:t>Jessica Howard</w:t>
            </w: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Wilsons</w:t>
            </w: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Diversified distribution base. </w:t>
      </w:r>
      <w:r>
        <w:rPr>
          <w:rFonts w:ascii="Arial" w:cs="Arial" w:eastAsia="Arial" w:hAnsi="Arial"/>
          <w:sz w:val="18"/>
          <w:szCs w:val="18"/>
          <w:color w:val="auto"/>
        </w:rPr>
        <w:t>We market our products at multiple price points and across multiple channels of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provide products to a broad range of consumers. Our products are sold to approximately 2,000 customers, including a cross section of retailers such as Macy’s, Dillard’s, Hudson’s Bay Company, including their Lord &amp; Taylor and Saks Fifth Avenue divisions, Nordstrom, TJX Companies, Ross Stores and Burlington, as well as membership clubs such as Costco and Sam’s Club. We also sell to pure play online retail partners such as Amazon and Fanatics. Our strong relationships with retailers have been established through many years of personal customer service and adherence to meeting or exceeding retailer expectations.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selling our products through a diverse range of other retailers, our store network provides us with our own retail channel. We recognize that the retail landscape continues to evolve, and we are changing our retail strategy to significantly reduce our losses with the goal of attaining profitability in this segment. We are in the process of executing a turn-around of this segment of our business, including the termination and renegotiation of long-term leases as they come up for renewal, overall cost cutting, improved merchandising strategies and re-purposing certain Wilsons Leather and G.H. Bass stores for our Karl Lagerfeld Paris and/or DKNY brands. We have hired a new President of our retail business who is an industry veteran with a proven track record at leading retailers. In addition, we continue to make changes to our business to address the additional challenges and opportunities created by the evolving role of the online marketplace in the retail sector and expect to expand the sale of our products in an omni-channel environment.</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Superior design, sourcing and quality control. </w:t>
      </w:r>
      <w:r>
        <w:rPr>
          <w:rFonts w:ascii="Arial" w:cs="Arial" w:eastAsia="Arial" w:hAnsi="Arial"/>
          <w:sz w:val="18"/>
          <w:szCs w:val="18"/>
          <w:color w:val="auto"/>
        </w:rPr>
        <w:t>Our in-house design and merchandising teams design substantially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proprietary and private label products. Our designers work closely with our licensors and private label customers to create designs and styles that represent the look they want. We have a network of worldwide suppliers that allows us to negotiate competitive terms without relying on any single vendor. In addition, we employ a quality control team and a sourcing group in China to ensure the quality of our products. We believe we have developed a significant customer following and positive reputation in the industry as a result of our design capabilities, sourcing expertise, on-time delivery and high standards of quality control.</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Leadership position in the wholesale business. </w:t>
      </w:r>
      <w:r>
        <w:rPr>
          <w:rFonts w:ascii="Arial" w:cs="Arial" w:eastAsia="Arial" w:hAnsi="Arial"/>
          <w:sz w:val="17"/>
          <w:szCs w:val="17"/>
          <w:color w:val="auto"/>
        </w:rPr>
        <w:t>As one of the largest wholesalers of outerwear, dresses and sportswear, we are</w:t>
      </w:r>
      <w:r>
        <w:rPr>
          <w:rFonts w:ascii="Arial" w:cs="Arial" w:eastAsia="Arial" w:hAnsi="Arial"/>
          <w:sz w:val="17"/>
          <w:szCs w:val="17"/>
          <w:i w:val="1"/>
          <w:iCs w:val="1"/>
          <w:color w:val="auto"/>
        </w:rPr>
        <w:t xml:space="preserve"> </w:t>
      </w:r>
      <w:r>
        <w:rPr>
          <w:rFonts w:ascii="Arial" w:cs="Arial" w:eastAsia="Arial" w:hAnsi="Arial"/>
          <w:sz w:val="17"/>
          <w:szCs w:val="17"/>
          <w:color w:val="auto"/>
        </w:rPr>
        <w:t>widely recognized within the apparel industry for our high-quality and well-designed products. Our expertise and reputation in designing, sourcing and marketing apparel has enabled us to build strong customer relationships and to become one of the leading dress and sportswear suppliers in the United States over the past several years. We have also expanded into other women’s and men’s apparel categories, as well as to non-apparel categories such as handbags, footwear, small leather goods, cold weather accessories and luggage.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executive management team has worked together for a significant period of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extensive experience in the apparel industry. Morris Goldfarb, our Chairman and Chief Executive Officer, has been with us for 45 years. Sammy Aaron, our Vice Chairman and President, joined us in 2005 when we acquired Marvin Richards, Wayne S. Miller, our Chief Operating Officer, has been with us for over 20 years, Neal S. Nackman, our Chief Financial Officer, has been with us for 15 years and Jeffrey Goldfarb, our Executive Vice President, has been with us for over 15 years. Our leadership team has demonstrated experience in successfully acquiring, managing, integrating and positioning new businesses having completed nine acquisitions and several joint ventures over the last 14 years, while also adding numerous new licenses and licensed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for more than 25 years. In August 2018, we renewed our license agreements with Guess? for an additional five-year term and in September 2018, we renewed our license agreement with Kenneth Cole for an additional four-year term. We also recently extended our license agreements with the National Hockey League through 2022 and for the Starter brand through 2023. Further, in November 2018, we were granted an additional five-year renewal option for our Vince Camuto dress license, through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License</w:t>
            </w: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Date Current</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Date Potential Renewal</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Term Ends</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Term Ends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Fashion Licenses</w:t>
            </w: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Calvin Klein (Men's outerwear)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Calvin Klein (Women's outerwear)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Calvin Klein (Women's dresses)</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Calvin Klein (Women's suits)</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Calvin Klein (Women's performance wear)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Calvin Klein (Women's better sportswear)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Calvin Klein (Better luggage)</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Calvin Klein (Women's handbags and small leather goods)</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Calvin Klein (Women's performance retail)</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Calvin Klein (Men's and women's swimwear)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Cole Haan (Men's and women's outerwear)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2020</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Dockers (Men's outerwear)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November 30, 2021</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Guess/Guess? (Men's and women's outerwear)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Guess/Guess? (Women's dresses)</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Karl Lagerfeld Paris (Women's and men's apparel, women's handbags,</w:t>
            </w:r>
          </w:p>
        </w:tc>
        <w:tc>
          <w:tcPr>
            <w:tcW w:w="17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December 31, 2020</w:t>
            </w:r>
          </w:p>
        </w:tc>
        <w:tc>
          <w:tcPr>
            <w:tcW w:w="17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December 31, 2030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women's and men's footwear)</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w w:val="92"/>
              </w:rPr>
              <w:t>Kenneth Cole NY/Reaction Kenneth Cole (Men's and women's outerwear)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2022</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w w:val="94"/>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Kensie (Women's sportswear, dresses, suits, activewear and sweaters)</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31, 2021</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Levi's (Men's and women's outerwear)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November 30, 2021</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Tommy Hilfiger (Men's and women's outerwear)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2021</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Tommy Hilfiger (Luggage)</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2020</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Tommy Hilfiger (Women's apparel)</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2021</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Vince Camuto (Women's dresses)</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2020</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w w:val="94"/>
              </w:rPr>
              <w:t>December 31,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Team Sports Licenses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Collegiate Licensing Company</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4"/>
              </w:rPr>
              <w:t>December 31, 2019</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Major League Baseball</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2019</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National Basketball Association</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1"/>
              </w:rPr>
              <w:t>September 30, 2020</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National Football League</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31, 2020</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National Hockey League</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June 30, 2022</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Starter</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December 31, 2023</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2028</w:t>
            </w:r>
          </w:p>
        </w:tc>
        <w:tc>
          <w:tcPr>
            <w:tcW w:w="0" w:type="dxa"/>
            <w:vAlign w:val="bottom"/>
          </w:tcPr>
          <w:p>
            <w:pPr>
              <w:spacing w:after="0"/>
              <w:rPr>
                <w:sz w:val="1"/>
                <w:szCs w:val="1"/>
                <w:color w:val="auto"/>
              </w:rPr>
            </w:pPr>
          </w:p>
        </w:tc>
      </w:tr>
      <w:tr>
        <w:trPr>
          <w:trHeight w:val="648"/>
        </w:trPr>
        <w:tc>
          <w:tcPr>
            <w:tcW w:w="5600" w:type="dxa"/>
            <w:vAlign w:val="bottom"/>
            <w:gridSpan w:val="2"/>
          </w:tcPr>
          <w:p>
            <w:pPr>
              <w:jc w:val="right"/>
              <w:ind w:right="9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are looking to consolidate the number of licensees they engage to develop product and to choose licensees who have a successful track record of developing brands. We continue to seek other opportunities to enter into license agreements in order to expand our product offerings under well-known labels and broaden the markets that we serve.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also may restrict our ability to enter into other license agreements for competing products or acquire businesses that produce competing products without the consent of the licensor. If we do not satisfy any of these requirements or otherwise fail to meet our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the current term of a license agreement may be subject to the discretion of the licensor or to attaining minimum sales and/or royalty levels and to our compliance with the provisions of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Brands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Dating back to the beginning of our company, G-III has sold apparel under its own proprietary brands. Over the years, we developed or acquired brands such as G-III Sports by Carl Banks, Eliza J and Jessica Howard. We acquired Andrew Marc, an aspirational luxury outerwear brand, G.H. Bass, a well-known heritage brand, and Vilebrequin, which provides us with a premier brand selling status products worldwide. Most recently, we acquired DKI, which owns DKNY and Donna Karan, two of the world’s most iconic and recognizable power brands.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DKNY and Donna Karan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DKI business has a portfolio of some of the world’s most iconic fashion brands, including DKNY and Donna Karan. First launched in 1984, DKI designed, sourced, marketed, retailed, and distributed collections of women’s and men’s clothing, sportswear, accessories and shoes under the DKNY and Donna Karan brand names until it was acquired by G-III in 2016.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DKNY’s and Donna Karan’s significant brand equity, we believe there are opportunities to expand existing categories, launch new initiatives and develop a strong licensing and distribution base. We believe that the DKNY brand has the potential for significant growth. In addition, other areas for growth include the relaunch of Donna Karan, as well as increased licensing revenues. We expect sales growth across many categories of the business.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2019, we mutually agreed with Macy’s to end their exclusivity with respect to our DKNY brand. While we plan to expand the reach of this brand into additional department stores in North America, we expect Macy’s to remain a significant customer of DKNY products and play a major part in DKNY’s growth initiatives.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DKNY products are designed to provide a total wardrobe for a woman’s active, modern lifestyle. Products developed reflect the DKNY brand DNA and emphasize a strong price-value relationship. We believe that DKNY has the potential to be the premier fashion and lifestyle brand. DKNY products produced by us or by our various licensees are sold through department stores, specialty retailers and online retailers worldwide, as well as through company-operated retail stores, e-commerce sites and international brand partners and distributors.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the Donna Karan brand offers significant growth potential. We re-launched Donna Karan as an aspirational luxury brand that is priced above DKNY and targeted to fine department stores located in the United States, such as Dillard’s, Lord &amp; Taylor, Saks Fifth Avenue, Nordstrom and Bloomingdales, as well as fine department stores internationally.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DKI provided us an opportunity to expand our online retail channels. We believe there are significant opportunities to focus and enhance the DKNY and Donna Karan websites, prudently expand retail stores over the long term, including through conversion of stores within the existing G-III retail base, and capitalize on industry relationships to ensure premium placement for certain product categories in department and other retail stores nationwide.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Vilebrequin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Vilebrequin is a premier provider of status swimwear, resort wear and related accessories. Vilebrequin sells its products in over 90 countries around the world. Vilebrequin has also licensed its brand internationally for a denim line. We believe that Vilebrequin has the potential to significantly develop its distribution network worldwide and expand its product offerings. A majority of Vilebrequin’s current revenues are derived from sales in Europe and the United States. As of January 31, 2019, Vilebrequin products were distributed through 96 company-operated stores, plus e-commerce websites in each of Europe and the United States, as well as through 68 franchised locations and e-commerce stores and select wholesale distribution.</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 In addition to swimwear, Vilebrequin sells a line of resort wear products, including shirts, T-shirts, Bermuda shorts and trousers, and related accessories, including hats, beach bags, beach towels, shoes, sunglasses and watches. Vilebrequin also offers a collection of women’s swimwear and resort wear. We believe that Vilebrequin is a powerful brand. We plan to continue adding more company operated and franchised retail locations and increase our wholesale distribution of Vilebrequin product throughout the world, as well as develop the business beyond its heritage in men’s swimwear, resort wear and related accessories.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Licensing of Proprietary Brands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portfolio of propriety brands has grown, we have licensed these brands in new categories. We began licensing Andrew Marc, Vilebrequin and G.H. Bass in selected categories after acquiring these brands. Our licensing program has significantly increased as a result of owning the DKNY and Donna Karan brands.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license the DKNY and Donna Karan brands for a broad array of products in the U.S. and internationally including fragrance, hosiery, intimates, eyewear, jewelry, home furnishings and sleepwear. The DKNY brand is licensed in the U.S. and internationally for children’s clothing, watches and men’s tailored clothing. We have strong relationships with category leading license partners, including Estee Lauder, Fossil, PVH Corp. (“PVH”) and Hanesbrands. We have also licensed DKNY and Donna Karan’s men’s and women’s apparel and accessories in China pursuant to a long-term license agreement with a joint venture of which we are a 49% owner. Further, we license the DKNY brand in North America for the following product categories: men’s sportswear, men’s dress shirts, men’s neckwear, men’s underwear, men’s loungewear, small leather goods, women’s belts and cold weather accessories and the DKNY and Donna Karan brands in North America for socks. Most recently, we licensed DKNY men’s underwear, men’s loungewear, men’s swimwear and men’s socks in Europe, the UK and Russia. 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license the G.H. Bass brand for the wholesale distribution of men’s, women’s and children’s footwear, boy’s tailored clothing, men’s sportswear, men’s socks and women’s hosiery, and men’s accessories and small leather goods and home furnishings.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Vilebrequin brand internationally for a denim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Andrew Marc brand in North America for men’s and boy’s tailored clothing.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Operations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national retailer of outerwear, apparel, footwear and accessories in the United States. As of January 31, 2019, our retail operations segment consisted of 308 leased retail stores, of which 139 are stores operated under our Wilsons Leather name, 111 are stores operated under our G.H. Bass brand, 42 stores are operated under our DKNY brand, 11 stores are operated under the licensed Karl Lagerfeld Paris brand and 5 stores are operated under the licensed Calvin Klein Performance brand. Wilsons Leather, G.H. Bass, DKNY and Karl Lagerfeld Paris each operates its own online store.</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Substantially all of our Wilsons Leather, G.H. Bass and DKNY stores are operated as outlet stores and located in larger outlet centers. Wilsons Leather stores average approximately 3,690 square feet, G.H. Bass stores average approximately 5,900 square feet and DKNY stores average approximately 3,740 square feet. Given the current retail environment, we are focusing on significantly reducing our losses in our retail business with the goal of attaining profitability by allowing leases to expire as they come up for renewal if we are unable to satisfactorily renegotiate the terms of those leases. We also hired a new President of our retail business who is an industry veteran with a proven track record at leading retailers. In addition, we continue to evaluate our operating expenses, revise our merchandising strategy and repurpose certain Wilsons Leather and G.H. Bass stores for the Karl Lagerfeld Paris or DKNY brands. We intend to continue our program of store count reduction and of increasing the efficiency and productivity of our retail operations.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31, 2018, we operated 367 retail stores across our Wilsons Leather, G.H. Bass, DKNY, Karl Lagerfeld Paris and Calvin Klein Performance brands. At January 31, 2019, the store count for these brands had decreased to 308 locations. We expect to further reduce our store count and anticipate closing an additional approximately 40 to 45 stores by the end of fiscal 2020.</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Wilsons Leather retail stores primarily sell men’s and women’s outerwear and accessories. Outerwear sold in our Wilsons Leather stores includes both products sold to the retail operations segment by G-III’s wholesale operations segment, as well as products sourced by the retail operations segment. Accessories are purchased from third parties. All of our G.H. Bass outlet stores offer G.H. Bass casual and dress shoes for men and women and most of our G.H. Bass stores also carry G.H. Bass apparel for men and women, including tops, bottoms and outerwear, as well as accessories such as handbags, wallets, belts and travel gear. Our DKNY stores offer a large range of products including sportswear, dresses, suit separates, outerwear, handbags, footwear, intimates, sleepwear, hosiery, watches and eyewear. Merchandise is shipped from our main Brooklyn Park, Minnesota distribution center, as well as four regional distribution centers, to replenish stores as needed with key styles and to build inventory for the peak holiday selling season.</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Our e-commerce business consists of our own web platforms at www.dkny.com, www.donnakaran.com, www.wilsonsleather.com, www.ghbass.com, www.vilebrequin.com and www.andrewmarc.com. We also sell our Karl Lagerfeld Paris products on our website, www.karllagerfeldparis.com. In addition, we sell to pure play online retail partners such as Amazon and Fanatics.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Development and Design</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G-III’s licensed apparel consists of both women’s and men’s products in a broad range of categories. See “Wholesale Operations — Licensed Products” above. Our strategy is to seek licenses that will enable us to offer a range of products targeting different price points and different distribution channels. We also offer a wide range of products under our own proprietary brands.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work with a diversified group of retail chains, such as Costco, Ross Stores and Nordstrom in developing product lines that are sold under their private label programs. Our design teams collaborate with our customers to produce custom-made products for department and specialty chain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design personnel meet regularly with our sales and merchandising departments, as well as with the design and merchandising staffs of our licensors, to review market trends, sales results and the popularity of our latest products. In addition, our representatives regularly attend trade and fashion shows and shop at fashion forward stores in the United States, Europe and the Far East for inspiration. Our designers present sample items along with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Sourcing</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G-III wholesale operations and retail operations segments arrange for the production of products from independent manufacturers located primarily in China and, to a lesser extent, in Vietnam, Indonesia, Jordan, India, Bangladesh, Pakistan, Myanmar, Sri Lanka, Singapore, Cambodia, and Central and South America. Vilebrequin’s products are manufactured primarily in Bulgaria, Morocco, Tunisia, Turkey, China, and Italy. A small portion of our garments are manufactured in the United States. We continue to make efforts to diversify production away from China and implement strategies to further diversify our production base.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representative offices in Hangzhou, Nanjing, Qingdao and Dongguan, China, as well as in Vietnam and Indonesia. These offices act as our liaison with manufacturers in the Far East. 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quality, availability of production capacity, pricing and ability to meet changing production requirements.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facilitate better service for our customers and accommodate the volume of manufacturing in the Far East, we also have a subsidiary in Hong Kong. Our Hong Kong subsidiary supports third party production of products on an agency fee basis and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business has been built on family values and the belief that with hard work, conviction and a commitment to the greater good we could redefine what is possible. While we have always worked to create value for our stakeholders, we also seek to be a positive force in making our industry and our communities better. Our goals are simple: to </w:t>
      </w:r>
      <w:r>
        <w:rPr>
          <w:rFonts w:ascii="Arial" w:cs="Arial" w:eastAsia="Arial" w:hAnsi="Arial"/>
          <w:sz w:val="18"/>
          <w:szCs w:val="18"/>
          <w:i w:val="1"/>
          <w:iCs w:val="1"/>
          <w:color w:val="auto"/>
        </w:rPr>
        <w:t>Engage Our People</w:t>
      </w:r>
      <w:r>
        <w:rPr>
          <w:rFonts w:ascii="Arial" w:cs="Arial" w:eastAsia="Arial" w:hAnsi="Arial"/>
          <w:sz w:val="18"/>
          <w:szCs w:val="18"/>
          <w:color w:val="auto"/>
        </w:rPr>
        <w:t xml:space="preserve">, </w:t>
      </w:r>
      <w:r>
        <w:rPr>
          <w:rFonts w:ascii="Arial" w:cs="Arial" w:eastAsia="Arial" w:hAnsi="Arial"/>
          <w:sz w:val="18"/>
          <w:szCs w:val="18"/>
          <w:i w:val="1"/>
          <w:iCs w:val="1"/>
          <w:color w:val="auto"/>
        </w:rPr>
        <w:t>Protect</w:t>
      </w:r>
      <w:r>
        <w:rPr>
          <w:rFonts w:ascii="Arial" w:cs="Arial" w:eastAsia="Arial" w:hAnsi="Arial"/>
          <w:sz w:val="18"/>
          <w:szCs w:val="18"/>
          <w:color w:val="auto"/>
        </w:rPr>
        <w:t xml:space="preserve"> </w:t>
      </w:r>
      <w:r>
        <w:rPr>
          <w:rFonts w:ascii="Arial" w:cs="Arial" w:eastAsia="Arial" w:hAnsi="Arial"/>
          <w:sz w:val="18"/>
          <w:szCs w:val="18"/>
          <w:i w:val="1"/>
          <w:iCs w:val="1"/>
          <w:color w:val="auto"/>
        </w:rPr>
        <w:t>Our Environment</w:t>
      </w:r>
      <w:r>
        <w:rPr>
          <w:rFonts w:ascii="Arial" w:cs="Arial" w:eastAsia="Arial" w:hAnsi="Arial"/>
          <w:sz w:val="18"/>
          <w:szCs w:val="18"/>
          <w:color w:val="auto"/>
        </w:rPr>
        <w:t>, and</w:t>
      </w:r>
      <w:r>
        <w:rPr>
          <w:rFonts w:ascii="Arial" w:cs="Arial" w:eastAsia="Arial" w:hAnsi="Arial"/>
          <w:sz w:val="18"/>
          <w:szCs w:val="18"/>
          <w:i w:val="1"/>
          <w:iCs w:val="1"/>
          <w:color w:val="auto"/>
        </w:rPr>
        <w:t xml:space="preserve"> Invest in Our Communities</w:t>
      </w:r>
      <w:r>
        <w:rPr>
          <w:rFonts w:ascii="Arial" w:cs="Arial" w:eastAsia="Arial" w:hAnsi="Arial"/>
          <w:sz w:val="18"/>
          <w:szCs w:val="18"/>
          <w:color w:val="auto"/>
        </w:rPr>
        <w:t>.</w:t>
      </w:r>
    </w:p>
    <w:p>
      <w:pPr>
        <w:spacing w:after="0" w:line="52" w:lineRule="exact"/>
        <w:rPr>
          <w:sz w:val="20"/>
          <w:szCs w:val="20"/>
          <w:color w:val="auto"/>
        </w:rPr>
      </w:pPr>
    </w:p>
    <w:p>
      <w:pPr>
        <w:jc w:val="both"/>
        <w:ind w:left="660" w:hanging="333"/>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Engage Our People </w:t>
      </w:r>
      <w:r>
        <w:rPr>
          <w:rFonts w:ascii="Arial" w:cs="Arial" w:eastAsia="Arial" w:hAnsi="Arial"/>
          <w:sz w:val="17"/>
          <w:szCs w:val="17"/>
          <w:color w:val="auto"/>
        </w:rPr>
        <w:t>- With more than 9,000 employees across the globe, G-III’s greatest asset is our people.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worked hard to create an environment of inclusion and diversity globally that extends to our employees as well as those who work in our contracted factories. As of January 31, 2019, approximately 55 percent of our top management positions are held by women. We collaboratively work with our license partners and various social compliance organizations to advocate for greater accountability and transparency in our supply chain and support worker well-being programs in our contracted factories.</w:t>
      </w:r>
    </w:p>
    <w:p>
      <w:pPr>
        <w:spacing w:after="0" w:line="70" w:lineRule="exact"/>
        <w:rPr>
          <w:rFonts w:ascii="Arial" w:cs="Arial" w:eastAsia="Arial" w:hAnsi="Arial"/>
          <w:sz w:val="17"/>
          <w:szCs w:val="17"/>
          <w:color w:val="auto"/>
        </w:rPr>
      </w:pPr>
    </w:p>
    <w:p>
      <w:pPr>
        <w:jc w:val="both"/>
        <w:ind w:left="66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Protect Our Environment </w:t>
      </w:r>
      <w:r>
        <w:rPr>
          <w:rFonts w:ascii="Arial" w:cs="Arial" w:eastAsia="Arial" w:hAnsi="Arial"/>
          <w:sz w:val="18"/>
          <w:szCs w:val="18"/>
          <w:color w:val="auto"/>
        </w:rPr>
        <w:t>- We are seeking to reduce our impact on the environment by focusing on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in our operations and throughout our supply chain. We are commencing several programs to reduce our consumption of energy, paper and plastics.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Invest in Our Communities </w:t>
      </w:r>
      <w:r>
        <w:rPr>
          <w:rFonts w:ascii="Arial" w:cs="Arial" w:eastAsia="Arial" w:hAnsi="Arial"/>
          <w:sz w:val="18"/>
          <w:szCs w:val="18"/>
          <w:color w:val="auto"/>
        </w:rPr>
        <w:t>– The importance of community is woven into our DNA. Our philanthropic efforts span</w:t>
      </w:r>
      <w:r>
        <w:rPr>
          <w:rFonts w:ascii="Arial" w:cs="Arial" w:eastAsia="Arial" w:hAnsi="Arial"/>
          <w:sz w:val="18"/>
          <w:szCs w:val="18"/>
          <w:i w:val="1"/>
          <w:iCs w:val="1"/>
          <w:color w:val="auto"/>
        </w:rPr>
        <w:t xml:space="preserve"> </w:t>
      </w:r>
      <w:r>
        <w:rPr>
          <w:rFonts w:ascii="Arial" w:cs="Arial" w:eastAsia="Arial" w:hAnsi="Arial"/>
          <w:sz w:val="18"/>
          <w:szCs w:val="18"/>
          <w:color w:val="auto"/>
        </w:rPr>
        <w:t>a range of causes, including health and wellness, education and development, and corporate citizenship. We also work with a number of organizations that provide financial assistance, housing, clothing and employment counseling to underserved women and families. We donate to numerous nonprofit organizations and our employees provide many hours of volunteer support.</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embedding these principles into our business and better engaging our employees and those who work in our contracted factories, protecting our environment and supporting our communities while accepting our responsibility to be a good corporate citizen.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Customs and Import Restrictions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arrangements with textile manufacturers and suppliers are subject to requisite customs clearances for textile apparel and the imposition of export duties. United States Customs duties on our textile apparel presently range from duty free to 32%, depending upon the type of fabric used, how the garment is constructed and the country of export.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as well as quota restrictions. Any action by the executive branch of the United States government to increase tariffs on imported goods, such as the tariffs imposed on steel and aluminum and the imposition of tariffs on goods imported from China, could adversely affect our business. 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purchase substantially all of the products manufactured for us on a finished goods basis. We coordinate the sourcing of raw materials used in the production of our products, which are generally available from numerous sources. The apparel industry competes with manufacturers of many other products for the supply of raw materials.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G-III’s products are sold primarily to department, specialty and mass merchant retail stores in the United States. We sell to approximately 2,000 customers, ranging from national and regional chains to small specialty stores. We also distribute our products through our retail stores and, to a lesser extent, through our DKNY, Donna Karan, Wilsons Leather, G.H. Bass, Vilebrequin and Andrew Marc websites, the Karl Lagerfeld Paris website, and the websites of our retail partners such as Macy’s, Nordstrom, Amazon and Fanatics.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to our ten largest customers accounted for 69.7% of our net sales in fiscal 2019 compared to 63.2% of our net sales in fiscal 2018 and 64.1% of our net sales in fiscal 2017. Sales to Macy’s, which includes sales to its Macy’s and Bloomingdale’s store chains, as well as through macys.com, accounted for an aggregate of 24.8% of our net sales in fiscal 2019 compared to 22.2% of our net sales in fiscal 2018 and 21.8% of our net sales in fiscal 2017. In addition, sales to TJX Companies accounted for an aggregate of 12.4% of our net sales in fiscal 2019. The loss of either of these customers or a significant reduction in purchases by our largest customers could have a material adverse effect on our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substantial majority of our sales are made in the United States. We also market our products in Canada, Central America, South America, Europe, the Middle East and the Far East, which, on a combined basis, accounted for approximately 13.7% of our net sales in fiscal 2019 compared to 12.1% of our net sales in fiscal 2018.</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Vilebrequin products are sold through a direct sales force primarily located across Europe. Sales outside of the United States and Canada may be managed by our salespeople located in our sales offices in Europe or Asia depending on the customer.</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 brand story. We expect to invest in digital media and storytelling for brand amplification and to establish comprehensive commercial marketing tools that will support our global wholesale and retail channels.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efforts by Wilsons Leather and G.H. Bass are primarily focused on increasing store traffic and then converting customers to buyers. This goal is mainly accomplished through our customer relations programs, local advertising and mall marketing promotions along with marketing initiatives through the Internet, social media and public relations support. We continue to revitalize and build the G.H. Bass heritage brand through products featuring new design and comfort technology, improved assortments and additional category licenses.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and public relations. Through the growth of its network of stores, distributors and franchisees, Vilebrequin is seeking to reinforce its position in its traditional markets, such as the United States, Europe and the Middle East, and to develop new markets in Asia.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advertise our Andrew Marc and Marc New York brands and are engaged in both cooperative advertising programs with retailers and direct to the consumer. Our marketing strategy is focused on media, public relations and channel marketing. Our media strategy for Andrew Marc includes traditional print, such as catalogs, and outdoor advertising, as well as digital and social media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e-commerce sales of apparel continue to increase, we are developing initiatives to increase our digital presence through our own web sites and through the websites of our retail partners. We are working closely with our retail partners to provide consumers with a high quality viewing experience for our products. We are also working to increase our e-commerce sales through marketing, social influencers and other online drivers of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Retail sales of apparel have traditionally been seasonal in nature. Historically, our wholesale business has been dependent on our sales during our third and fourth quarter. Net sales during the third and fourth quarter accounted for approximately 61% of our net sales in fiscal 2019, 62% of our net sales in fiscal 2018 and 54% of our net sales in fiscal 2017.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Book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our orders consists of short-term purchase orders from customers who place orders on an as-needed basis. Information relative to open purchase orders at any date may also be materially affected by, among other things, the timing of the initial showing of apparel to the trade, as well as by the timing of recording of orders and shipments. As a result, we do not believe that disclosure of the amount of our unfilled customer orders at any time is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numerous competitors with respect to the sale of our products, including brand owners, distributors that import products from abroad, and domestic retailers with established foreign manufacturing capabilities. Some of our competitors have greater financial and marketing resources and greater manufacturing capacity than we do. Our retail business competes against a diverse group of retailers, including, among others, other outlet stores, department stores, specialty stores, warehouse clubs and e-commerce retailers. Sales of our products are affected by style, price, quality, brand reputation and general fashion trends.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“Wholesale Operations – Licensed Products” above. We also use the licensed Calvin Klein and Karl Lagerfeld Paris brands in our retail operations segment. We own a number of proprietary brands that we use in connection with our business and products including, among others, DKNY, Donna Karan, Vilebrequin, G.H. Bass, Andrew Marc, Marc New York, Eliza J, Jessica Howard and G-III Sports by Carl Banks. We have registered, or applied for registration of, many of our trademarks in multiple jurisdictions for use on a variety of apparel and related other products.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2019, we employed approximately 4,100 employees on a full-time basis and approximately 3,300 employees on a part-time basis. During our peak retail selling season from October through January, we employed approximately 2,400 additional seasonal associates in our retail stores. We employ both union and non-union personnel and believe that our relations with our employees are good. We have not experienced any interruption of our operations due to a labor disagreement with our employees.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G-III is a party to an agreement with a labor union. As of January 31, 2019, this agreement covers approximately 440 of our full-time employees, most of whom work in our warehouses located in New Jersey, and is currently in effect through November 15, 2020. As successor to the Donna Karan Company LLC (“DKC”), G-III is also subject to DKC’s agreement with the same union. The Donna Karan agreement covers approximately 26 full time employees, most of whom work in their warehouse in New Jersey. This agreement is currently in effect through May 31, 2019.</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successor to DKC, G-III is also subject to DKC’s agreement with another labor union. As of January 31, 2019, this agreement covers approximately 3 of our full-time employees, who work as tailors and sample makers in our New York offices. The agreement is currently in effect through May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1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of the Board, Chief Executive Officer and</w:t>
            </w: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Morris Goldfarb</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Sammy Aaron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Vice Chairman, President and Director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S. Miller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 and Secretary</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Neal S. Nackman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Goldfarb</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Morris Goldfarb </w:t>
      </w:r>
      <w:r>
        <w:rPr>
          <w:rFonts w:ascii="Arial" w:cs="Arial" w:eastAsia="Arial" w:hAnsi="Arial"/>
          <w:sz w:val="18"/>
          <w:szCs w:val="18"/>
          <w:color w:val="auto"/>
        </w:rPr>
        <w:t>is our Chairman of the Board and Chief Executive Officer, as well as one of our directors. Mr. Goldfarb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executive officer of G-III and our predecessors since our formation in 1974.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Sammy Aaron </w:t>
      </w:r>
      <w:r>
        <w:rPr>
          <w:rFonts w:ascii="Arial" w:cs="Arial" w:eastAsia="Arial" w:hAnsi="Arial"/>
          <w:sz w:val="18"/>
          <w:szCs w:val="18"/>
          <w:color w:val="auto"/>
        </w:rPr>
        <w:t>is our Vice Chairman and President, as well as one of our directors. He has served as an executive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we acquired the Marvin Richards business in July 2005. Mr. Aaron is also the Chief Executive Officer of our Calvin Klein divisions.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Wayne S. Miller </w:t>
      </w:r>
      <w:r>
        <w:rPr>
          <w:rFonts w:ascii="Arial" w:cs="Arial" w:eastAsia="Arial" w:hAnsi="Arial"/>
          <w:sz w:val="18"/>
          <w:szCs w:val="18"/>
          <w:color w:val="auto"/>
        </w:rPr>
        <w:t>has been our Chief Operating Officer since December 2003 and our Secretary since November 1998. 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Financial Officer from April 1998 until September 2005 and as our Treasurer from November 1998 until April 2006.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Neal S. Nackman </w:t>
      </w:r>
      <w:r>
        <w:rPr>
          <w:rFonts w:ascii="Arial" w:cs="Arial" w:eastAsia="Arial" w:hAnsi="Arial"/>
          <w:sz w:val="17"/>
          <w:szCs w:val="17"/>
          <w:color w:val="auto"/>
        </w:rPr>
        <w:t>has been our Chief Financial Officer since September 2005 and was elected Treasurer in April 2006.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Mr. Nackman served as Vice President — Finance from December 2003 until April 2006.</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Jeffrey Goldfarb </w:t>
      </w:r>
      <w:r>
        <w:rPr>
          <w:rFonts w:ascii="Arial" w:cs="Arial" w:eastAsia="Arial" w:hAnsi="Arial"/>
          <w:sz w:val="18"/>
          <w:szCs w:val="18"/>
          <w:color w:val="auto"/>
        </w:rPr>
        <w:t>has been our Executive Vice President and Director of Strategic Planning since June 2016, and serves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directors. He has been employed by G-III in a number of other capacities since 2002. Prior to becoming Executive Vice President, he served as our Director of Business Development for more than five years. Jeffrey Goldfarb is the son of Morris Goldfarb.</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following risk factors should be read carefully in connection with evaluating our business and the forward-looking statements contained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Wholesale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failure to maintain our license agreements could cause us to lose significant revenues and have a material adverse effect on our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sales of licensed products for a substantial portion of our revenues. In fiscal 2019, net sales of licensed product accounted for 57.4% of our net sales compared to 58.6% of our net sales in fiscal 2018 and 60.7% of our net sales in fiscal 2017.</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generally required to achieve specified minimum net sales, make specified royalty and advertising payments and receive prior approval of the licensor as to all design and other elements of a product prior to production. License agreements also may restrict our ability to enter into other license agreements for competing products or acquire businesses that produce competing products without the consent of the licensor. If we do not satisfy any of these requirements or receive approval with respect to a restricted transaction, a licensor usually will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provision, there are usually minimum net sales and other conditions that must be met in order to be able to renew a license. Even if we comply with all the terms of a license agreement, we cannot be sure that we will be able to renew an agreement when it expires even if we desire to do so. The failure to maintain or renew our license agreements could cause us to lose significant revenue and have a material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dependent on the strategies and reputation of our licensors.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Any adverse change in our relationship with PVH and its Calvin Klein or Tommy Hilfiger brands would have a material adverse effect on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ten different license agreements relating to a variety of products sold under the Calvin Klein brand that is owned by PVH. We have three different license agreements for products sold under the Tommy Hilfiger brand, which is also owned by PVH. Net sales of these two brands owned by PVH constituted approximately 46% of our net sales in both fiscal 2019 and fiscal 2018. Any adverse change in our relationship with PVH, or in the reputation of Calvin Klein or Tommy Hilfiger, would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failure to realize the benefits of the DKI business in a timely and cost-efficient manner could affect our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success of the DKI acquisition will depend, in part, on our ability to fully realize the anticipated benefits of adding the DKNY and Donna Karan businesses to our portfolio. Prior to our acquisition, sales of the DKI business were decreasing. The DKI business incurred significant net losses in the time period prior to our acquisition, as well after our acquisition in the two months of our fiscal 2017 year and in fiscal 2018. In addition, at the time of the acquisition, DKI’s retail operations were generating losses and experiencing declines in comparable store sales, sales per square foot and gross margins. To realize the anticipated benefits of the transaction, we must increase sales of DKNY and Donna Karan products and improve the DKNY retail operations. Any failure to timely realize these anticipated benefits could have a material adverse effect on our results of operations and financial position. These efforts will also require substantial commitments of management time and attention and other resources, which could otherwise have been allocated to different uses that may have been beneficial to our business.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and the success of our products could also be harmed if we are unable to maintain or enhance the images of our proprietary brands.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has also been due to the growth of our proprietary brands, their favorable images and our customers’ connection to our brands. Our acquisition of DKI and its DKNY and Donna Karan brands further expanded our portfolio of proprietary brands that also includes G.H. Bass, Vilebrequin and Andrew Marc, among others. If we are unable to timely and appropriately respond to changing consumer demand, the value and images of our brands may be impaired. Even if we react appropriately to changes in consumer preferences, consumers may consider the image of our brands to be outdated or associate our brands with styles that are no longer popular. In addition, brand value is based in part on consumer perceptions of a variety of qualities, including merchandise quality and corporate integrity. Negative claims or publicity regarding G-III,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have significant customer concentration, and the loss of one of our large customers could adversely affect our business.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ten largest customers, all of which are department or discount store groups, accounted for approximately 69.7% of our net sales in fiscal 2019, 63.2% of our net sales in fiscal 2018 and 64.1% of our net sales in fiscal 2017, with the Macy’s Inc. group accounting for approximately 24.8% of our net sales in fiscal 2019 compared to 22.2% of our net sales in fiscal 2018 and 21.8% of our net sales in fiscal 2017. In addition, TJX Companies accounted for approximately 12.4% of our net sales in fiscal 2019. We expect that these customers will continue to provide a significant percentage of our sales as they are important customers of our products. Consolidation in the retail industry could increase the concentration of our sales to our largest customers. A number of large department or discount store groups, including Macy’s and Lord &amp; Taylor, have announced their intention to close a significant number of stores. This reduction in store count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or the bankruptcy or serious financial difficulty of any of our large customers, could have a material adverse effect on us.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miscalculate the market for our products, we may end up with significant excess inventories for some products and missed opportunities for others.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often produce products to hold in inventory in order to meet our customers’ delivery requirements and to be able to quickly fulfill reorders. If we misjudge the market for our products, we may be faced with significant excess inventories for some products and missed opportunities for others. In addition, weak sales and resulting markdown requests from customers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Retail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retail operations segment may continue to incur losses if our retail turnaround strategy and/or our execution of the turnaround strategy are unsuccessful.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retail operations segment reported an operating loss of $49.0 million in fiscal 2019 and $49.1 million in fiscal 2018. The retail landscape continues to evolve and, as a result, we are implementing a retail turnaround strategy in an attempt to significantly reduce the losses in our retail business with the goal of attaining profitability in our retail operations segment. We are in the process of executing a turnaround strategy of this segment of our business, including termination or renegotiation of long-term leases as they come up for renewal, overall cost cutting, improved merchandising strategies for our Wilsons and G.H. Bass store chains and re-purposing certain Wilsons and G.H. Bass stores for our Karl Lagerfeld Paris or DKNY brands. We also hired a new President of our retail business who is an industry veteran with a proven track record at leading retailers. We need to successfully implement this strategy in order to significantly reduce the losses of our retail business with the goal of attaining profitability in our retail operations segment and there is no assurance that we can do so.</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required to record impairments of long-lived assets or incur other charges relating to our company-operated retail stores.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Impairment testing of our retail stores’ long-lived assets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or other long-lived assets, write-downs of inventory, severance costs, lease termination costs or the loss of working capital, which could adversely impact our business and financial results. We recorded impairments related to our retail operations of $2.8 million in fiscal 2019, $6.5 million in fiscal 2018 and $10.5 million in fiscal 2017. These impairment charges may increase as we continue to evaluate our retail operations segment. The recording of additional impairments in the future may have a material adverse impact on our business and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of significant amounts of real estate exposes us to possible liabilities and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24"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location of the outlet mall or the location of a particular store within the mall;</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tenants occupying space at the outlet mall;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in areas where the outlet malls are located;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downturn in the economy generally or in a particular area where an outlet mall is located;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shift to online shopping;</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downturn in foreign shoppers in the United States;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advertising and promotional dollars spent on attracting consumers to outlet malls.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at our outlet stores are derived, in part, from the volume of traffic at the malls where our stores are located. In fiscal 2019, our outlet stores continued to experience a reduction in consumer traffic, which adversely affected the results of our retail operations segment. 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operate retail stores depends on many factors.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successfully operate our retail stores depends on many factors, including, among others, our ability to:</w:t>
      </w:r>
    </w:p>
    <w:p>
      <w:pPr>
        <w:spacing w:after="0" w:line="142"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rent and tenant improvement allowances;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brand awareness, affinity and purchase intent in our markets;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increased sales and gross margins at our stores;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train and retain store associates and field management;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store associates and field management into our corporate culture;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and supply sufficient inventory levels.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retail business is intensely competitive and increased or new competition could have a material adverse effect on us.</w:t>
      </w: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retail industry is intensely competitive. We compete against a diverse group of retailers, including, among others, other outlet stores, department stores, specialty stores, warehouse clubs and e-commerce retailers. We also compete in particular markets with a number of retailers that specialize in the products that we sell. A number of different competitive factors could have a material adverse effect on our retail business, results of operations and financial condition including:</w:t>
      </w:r>
    </w:p>
    <w:p>
      <w:pPr>
        <w:spacing w:after="0" w:line="33"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23" w:lineRule="exact"/>
        <w:rPr>
          <w:rFonts w:ascii="Arial" w:cs="Arial" w:eastAsia="Arial" w:hAnsi="Arial"/>
          <w:sz w:val="18"/>
          <w:szCs w:val="18"/>
          <w:color w:val="auto"/>
        </w:rPr>
      </w:pPr>
    </w:p>
    <w:p>
      <w:pPr>
        <w:ind w:left="660" w:right="180" w:hanging="333"/>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strategies, including deep discount pricing by a broad range of retailers during periods of poor consumer confidence or economic instability;</w:t>
      </w: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product offerings by existing competitors;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operate retail stores;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by existing competitors of innovative retail sales methods; and</w:t>
      </w:r>
    </w:p>
    <w:p>
      <w:pPr>
        <w:spacing w:after="0" w:line="9" w:lineRule="exact"/>
        <w:rPr>
          <w:rFonts w:ascii="Arial" w:cs="Arial" w:eastAsia="Arial" w:hAnsi="Arial"/>
          <w:sz w:val="18"/>
          <w:szCs w:val="18"/>
          <w:color w:val="auto"/>
        </w:rPr>
      </w:pPr>
    </w:p>
    <w:p>
      <w:pPr>
        <w:ind w:left="660" w:right="560" w:hanging="333"/>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consumer preference for online apparel purchases and innovations by e-commerce retailers such as Amazon.</w:t>
      </w:r>
    </w:p>
    <w:p>
      <w:pPr>
        <w:spacing w:after="0" w:line="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may not be able to continue to compete successfully with our existing or new competitors, or be assured that prolonged periods of deep discount pricing by our competitors will not have a material adverse effect on our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e-commerce business faces distinct risks, and our failure to successfully manage it could have a negative impact on our profitability.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investing in our e-commerce business and seeking to increase the amount of business derived from our e-commerce operations. The successful operation and expansion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6" w:lineRule="exact"/>
        <w:rPr>
          <w:sz w:val="20"/>
          <w:szCs w:val="20"/>
          <w:color w:val="auto"/>
        </w:rPr>
      </w:pPr>
    </w:p>
    <w:p>
      <w:pPr>
        <w:jc w:val="both"/>
        <w:ind w:left="660" w:hanging="333"/>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the computer systems, including those of third-party vendors, that operate our e-commerce sites including, among others, inadequate system capacity, computer viruses, human error, changes in programming, security breaches, system upgrades or migration of these services to new systems;</w:t>
      </w: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telecom service or power outages;</w:t>
      </w:r>
    </w:p>
    <w:p>
      <w:pPr>
        <w:spacing w:after="0" w:line="9"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 on-time and without damage;</w:t>
      </w: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deliver products to customers on-time or to satisfy customers’ expectations;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or debit card fraud;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liability for online content;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privacy concerns and regulation.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Problems in any of these areas could result in a reduction in sales, increased costs and damage to our reputation and brands, which could adversely affect our business and results of operations.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Laws on privacy continue to evolve and further limits on how we collect or use customer information could adversely affect our business.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collect and store customer information primarily for marketing purposes and to improve the services we provide. The use or retention of certain customer information is subject to applicable privacy laws. These laws and the judicial interpretation of such laws are evolving on a frequent basis. If we fail to comply with these laws, we may be subject to fines or penalties, which could impact our business, financial condition and results of operations. Any limitations imposed on the use of such customer information by federal, state or local governments, could have an adverse effect on our future marketing activities. Governmental focus on data security and/or privacy may lead to additional legislation or regulations. As a result, we may have to modify our business with the goal of further improving data security, which would result in increased expenses and operating complexity. To the extent our or our business partners’ security procedures and protection of customer information prove to be insufficient or inadequate, we may become subject to litigation or other claims, which could expose us to liability and cause damage to our reputation, brand and results of operations.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payment card network rules to comply with the Standard, and our failure to do so may result in fines or restrictions on our ability to accept payment cards. Under certain circumstances specified in the payment card network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costly and time consuming remediation efforts. In addition, even if we comply with the Standard, there is no assurance that we will be protected from a security breach.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Failure to comply with the Standard or Card Rules could result in losing certification under the PCI standards and an inability to process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Operation of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the services of our key personnel, or are unable to attract key personnel, our business will be harmed.</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5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such as our acquisition of DKI. We also might not be successful in identifying or negotiating suitable acquisitions, which could negatively impact our growth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Acquisitions could also result in:</w:t>
      </w:r>
    </w:p>
    <w:p>
      <w:pPr>
        <w:spacing w:after="0" w:line="90"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of debt and contingent liabilities;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our profit margins;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of intangibles and potential impairment of goodwill;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 of management attention to other parts of our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generate expected financial results or reach business goals;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expenditures on human resources and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If acquisitions disrupt our operations, our business may suffer.</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conduct certain of our operations through joint ventures. There could be disagreements with our joint venture partners that could adversely affect our interest in the joint ventures.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own 49% in each of two joint ventures, one with respect to the Karl Lagerfeld brand in the United States, Mexico and Canada and one with respect to the use of the DKNY and Donna Karan brands in China. We may enter into additional joint ventures in the future. Our joint venture partners, as well as any future partners, may have interests that are different from our interests that may result in conflicting views as to the conduct of the business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 significant amount of debt, which could adversely affect us.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indebtedness significantly increased as a result of the acquisition of DKI. We are a party to a $650 million senior secured asset-based revolving credit facility, which replaced our previous $450 million facility, and a $300 million senior secured term loan facility (“Term Facility”) (collectively, the “Bank Debt”). In addition to the indebtedness under the Bank Debt, we also incurred $125 million of debt pursuant to a junior lien secured note in favor of LVMH Moet Hennessy Louis Vuitton Inc. (“LVMH”). The increase in the amount of our outstanding debt could adversely affect us by decreasing our business flexibility and increasing our borrowing costs. The Bank Debt contains certain restrictive covenants imposing operating and financial restrictions on us. These covenants restrict our ability and the ability of certain of our subsidiaries, among other things, to: incur or guarantee indebtedness; incur liens; pay dividends or repurchase stock; enter into transactions with affiliates; consummate asset sales, acquisitions or mergers; prepay certain other indebtedness; or make investments. The revolving credit facility also requires us to comply with certain financial covenants.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operating restrictions and financial covenants in the Bank Debt may limit our ability to finance future operations, capital needs or acquisitions or to engage in other business activities. Our ability to comply with financial covenants could be materially affected by events beyond our control, and there can be no assurance that we will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favorable terms, or at all.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event of default occurs, the lenders under the Bank Debt, as well as the holder of the LVMH note, may declare all outstanding borrowings, together with accrued interest and other fees, to be immediately due and payable and exercise remedies in respect of the collateral. We may not be able to repay all amounts due under the Bank Debt or LVMH note in the event these amounts are declared due upon an event of default.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debt level and related debt service obligations could have negative consequences, including:</w:t>
      </w:r>
    </w:p>
    <w:p>
      <w:pPr>
        <w:spacing w:after="0" w:line="158" w:lineRule="exact"/>
        <w:rPr>
          <w:sz w:val="20"/>
          <w:szCs w:val="20"/>
          <w:color w:val="auto"/>
        </w:rPr>
      </w:pPr>
    </w:p>
    <w:p>
      <w:pPr>
        <w:ind w:left="660" w:right="640" w:hanging="333"/>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requiring us to dedicate significant cash flow from operations to the payment of principal, interest and other amounts payable on our debt, which would reduce the funds we have available for other purposes;</w:t>
      </w:r>
    </w:p>
    <w:p>
      <w:pPr>
        <w:ind w:left="660" w:right="340" w:hanging="333"/>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making it more difficult or expensive for us to obtain any necessary future financing for working capital, capital expenditures, debt service requirements, debt refinancing, acquisitions or other purposes;</w:t>
      </w: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industry or market conditions;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 operations or in the economy;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exposing us to interest rate risk given that a substantial portion of our debt obligations is at variable interest rates.</w:t>
      </w:r>
    </w:p>
    <w:p>
      <w:pPr>
        <w:spacing w:after="0" w:line="153"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our existing credit facility.</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historical sources of liquidity to fund ongoing cash requirements include cash flows from operations, cash and cash equivalents, borrowings through our revolving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revolving credit facility; and interest rate fluctuations. Interest rates increased in fiscal 2018 and 2019 and may continue to increase in fiscal 2020. We cannot predict the effect of increasing interest rates on the availability or aggregate cost of our borrowings. We cannot be certain that any additional required financing, whether debt or equity, will be available in amounts needed or on terms acceptable to us, if at all.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January 31, 2019, we were in compliance with the financial covenants in our revolving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financing to continue to grow.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significant additional debt in connection with our acquisition of DKI. The continued growth of our business, including as a result of acquisitions, depends on our access to sufficient funds to support our growth. Our primary source of working capital to support the growth of our operations is our revolving credit agreement which currently extends to December 2021. Our growth is dependent on our ability to continue to be able to extend and increase our line of credit. If we are unable to refinance our debt, we cannot be sure we will be able to secure alternative financing on satisfactory terms or at all. The loss of the use of this credit facility or the inability to replace this facility when it expires would materially impair our ability to operate our business.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alternate reference rate, may increase interest expense under our Bank Debt or future bank borrowings.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LIBOR, the London interbank offered rate, is frequently used to determine interest rates under bank borrowings. Our Bank Debt uses LIBOR or an alternate base rate (as defined in our loan agreements) to determine the interest paid under borrowings pursuant to our Bank Debt. The financial authority that regulates LIBOR has announced that it intends to stop compelling banks to submit rates for the calculation of LIBOR after 2021. Our current revolving credit facility extends through December 2021 and our term loan extends through December 2022. We will need to extend or replace our revolving credit facility prior to its expiration and may need to do so as well with respect to our term loan. At this time, it is not possible to predict the effect on the cost of our borrowings under our Bank Debt or under any other debt we may incur in addition to or as a replacement for any of our Bank Debt as a result of the possible elimination of LIBOR or changes to the manner in which LIBOR is calculated.</w:t>
      </w:r>
    </w:p>
    <w:p>
      <w:pPr>
        <w:spacing w:after="0" w:line="182"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The Term Facility was the first debt issued by us that was rated by rating agencies. Our credit rating and ability to access well-functioning capital markets are important to our ability to secure future debt financing on acceptable terms.</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access to the debt markets and the terms of such access depend on multiple factors including the condition of the debt capital markets, our operating performance and our credit ratings. The Term Facility was the first debt issued by us that was assigned a rating by the major credit rating agencies.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seasonal.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Retail sales of apparel have traditionally been seasonal in nature. Historically, our wholesale business has been dependent on our sales during the third and fourth quarter. Net sales during the third and fourth quarter accounted for approximately 61% of our net sales in fiscal 2019, 62% of our net sales in fiscal 2018 and 54% of our net sales in fiscal 2017. We are highly dependent on our results of operations during the second half of our fiscal year. Any difficulties we may encounter during this period as a result of weather or disruption of manufacturing or transportation of our products will have a magnified effect on our net sales and net income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provide a larger amount of our net sales and a substantial majority of our net income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Extreme or unseasonable weather conditions could adversely affect our business.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e-commerce customers. If prolonged, such extreme or unseasonable weather conditions could adversely affect our business, financial condition and results of operations.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translate market trends into attractive product offerings, our sales and profitability could suffer.</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retail and apparel industries are subject to sudden shifts in consumer trends and consumer spending. Our ability to successfully compete depends on a number of factors, including our ability to effectively anticipate, gauge and respond to changing consumer demands and tastes across multiple product lines and tiers of distribution. We are required to translate market trends into attractive product offerings and operate within substantial production and delivery constraints. We cannot be sure we will continue to be successful in this regard. We need to anticipate and respond to changing trends quickly, efficiently and effectively in order to be successful. Our failure to anticipate, identify or react appropriately to changes in customer tastes, preferences, shopping and spending patterns could lead to, among other things, excess inventories or a shortage or products and could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inventory loss and theft.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Efficient inventory management is a key component of our business success and profitability. To be successful, we must maintain sufficient inventory levels and an appropriate product mix to meet the demands of our wholesale and retail customers without allowing those levels to increase to such an extent that the costs to store and hold the goods unduly impacts our financial results. If our buying decisions do not accurately predict customer trends or purchasing actions, we may have to take unanticipated markdowns to dispose of the excess inventory, which also can adversely impact our financial results. We continue to focus on ways to reduce these risks, but we cannot be certain you that we will continue to be successful in our inventory management. If we are not successful in managing our inventory balances, our cash flows from operations and net income may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inventory shrinkage in the past, and we cannot be certain that incidences of inventory loss and theft will decrease in the future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our results of operations could be adversely affected.</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Fluctuations in the price, availability and quality of raw materials used in our products could have a material adverse effect on our cost of sales or our ability to meet our customers’ demands.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raw material price increase or increase in costs related to the transport of our products (primarily petroleum costs) could increase our cost of sales and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 and other intellectual property rights may not be adequately protected.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Vilebrequin, Andrew Marc, G.H. Bass and Wilsons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Furthermore, our efforts to enforce our trademark and other intellectual property rights may be met with defenses, counterclaims and countersuits attacking the validity and enforceability of our trademark and other intellectual property rights. If we are unsuccessful in protecting and enforcing our intellectual property rights, continued sales of such competing products by third parties could harm our brands and adversely impact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foreign manufacturers.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source our products from many different manufacturers, we rely on a few manufacturers for a significant amount of our products. We sourced 14.4% of our purchases in fiscal 2019 and 14.7% of our purchases in fiscal 2018 from one vendor in China. We sourced 23.9% (13.6% and 10.3%) of our purchases in fiscal 2017 from two vendors in China. The loss of these vendors or a disruption in receipt of products from these vendors could adversely affect our ability to deliver goods to our customers on time and in the requested quantities.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foreign manufacturers subjects us to additional risks.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arrangements with foreign manufacturers are subject to the usual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mostly in China, political or economic instability in China or elsewhere could cause substantial disruption in the business of our foreign manufacturers. Products sourced from China represented approximately 61.5% of our inventory purchased in fiscal 2019, 65.1% of our inventory purchased in fiscal 2018 and 72.0% of our inventory purchased in fiscal 2017. In the past, the Chinese government has reduced tax rebates to factories for the manufacture of textile and leather garments. The rebate reduction resulted in factories seeking to recoup more of their costs from customers, resulting in higher prices for goods imported from China. This tax rebate has been reinstated in certain instances. However, new or increased reductions in this rebate would cause an increase in the cost of finished products from China which could materially adversely affect our financial condition and results of operations.</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Heightened terrorism security concerns could subject imported goods to additional, more frequent or more thorough inspections. This could delay deliveries or increase costs, which could adversely impact our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the European market exposes us to uncertain economic conditions in the Euro zone.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Demand for our products depends in part on the general economic conditions affecting the countries in which we do business. We are attempting to expand our presence in the European markets, including for our DKNY, Donna Karan and Vilebrequin businesses. The economic situation in Europe is still recovering and economic performance remains uncertain. There is still some concern that certain European countries may default in payments due on their national debt obligations and from related European financial restructuring efforts. If such defaults were to occur, or if European financial restructuring efforts create their own instability, current instability in the global credit markets may increase. Continued financial instability in Europe could adversely affect our European operations and, in turn, could have a material adverse effect on us.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foreign currency exposures relating to buying and selling in currencies other than the U.S. dollar, our functional currency.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legislation or exposure to additional tax liabilities could impact our business.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taxes in the United States and other jurisdictions. Our domestic and international tax liabilities are dependent on the allocation of revenue and expenses in various jurisdictions. Significant judgement is required in determining our global provision for income taxes. Changes in the U.S. federal, state, and international tax legislations can have an adverse impact on our income tax liabilities and effective tax rate. Although we believe our income tax estimates are reasonable, the ultimate outcomes may have a negative impact on our results of operations.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tax reform legislation known as the Tax Cuts and Jobs Act ("TCJA") was enacted in the United States. The TCJA introduced significant changes to U.S. income tax law that have had a beneficial impact on our financial position and effective tax rate. Accounting for the income tax effects of the U.S. Tax Reform Act and subsequent guidance issued required complex calculations to be performed and significant judgments in interpreting the new legislation. Additional guidance may be issued on how the TCJA provisions will impact state and local taxation, which could have an adverse impact on our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international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capitalize on the potential of our international operations, including to realize the benefits of our DKNY, Donna Karan and Vilebrequin businesses and successfully expand into international markets, is subject to risks associated with international operations. These include:</w:t>
      </w:r>
    </w:p>
    <w:p>
      <w:pPr>
        <w:spacing w:after="0" w:line="87"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burdens of complying with a variety of foreign laws and regulations, including trade and labor restrictions;</w:t>
      </w:r>
    </w:p>
    <w:p>
      <w:pPr>
        <w:spacing w:after="0" w:line="34" w:lineRule="exact"/>
        <w:rPr>
          <w:rFonts w:ascii="Arial" w:cs="Arial" w:eastAsia="Arial" w:hAnsi="Arial"/>
          <w:sz w:val="17"/>
          <w:szCs w:val="17"/>
          <w:color w:val="auto"/>
        </w:rPr>
      </w:pPr>
    </w:p>
    <w:p>
      <w:pPr>
        <w:jc w:val="both"/>
        <w:ind w:left="660" w:right="120" w:hanging="333"/>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tariffs or other barriers in international markets.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We are also subject to general political and economic risks in connection with our international operations, including:</w:t>
      </w:r>
    </w:p>
    <w:p>
      <w:pPr>
        <w:spacing w:after="0" w:line="129"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economic fluctuations in specific countries or markets.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the United States government announced tariffs on certain steel and aluminum products imported into the United States, which has led to reciprocal tariffs being imposed by the European Union and other governments on products imported from the United States. The United States government has implemented tariffs on goods imported from China, and additional tariffs on goods imported from China are under consideration.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apparel and accessories industry has been impacted by tariffs implemented by the United States government on goods imported from China. Tariffs on handbags and leather outerwear imported from China were effective beginning in September 2018, and are initially in the amount of 10% of the merchandise cost to us. The level of additional tariffs on these product categories was scheduled to increase to 25% beginning January 1, 2019 and other tariffs on a broader range of apparel and accessory products are also under consideration. The United States government has postponed the increase in tariffs to 25% while the U.S. and China seek to resolve their trade and related differences. If the U.S. and China are not able to resolve their differences, additional tariffs may be put in place and additional products may become subject to tariffs. The significant majority of the products that we sell in the United States are manufactured in China. Potential tariffs on products imported by us from China would increase our costs, require us to increase prices to our customers or, if we are unable to do so, result in lower gross margins on the products sold by us. Actions or statements by the President of the United States or other members of his administration may provide further clarification as to whether the current 10% tariff increase will continue, whether the 25% increase will take effect in the future and what other products may become subject to additional tariffs. These additional tariffs may apply to apparel, handbags, footwear and other items imported by us from China.</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President of the United States has, at times, threatened to institute even wider ranging tariffs on all goods imported from China. China has already imposed tariffs on a wide range of American products in retaliation for the American tariffs on steel and aluminum. Additional tariffs could be imposed by China in response to actual or threatened tariffs on products imported from China. The imposition of additional tariffs by the United States could trigger the adoption of tariffs by other countries as well. Any resulting escalation of trade tensions, including a “trade war,” could have a significant adverse effect on world trade and the world economy, as well as on our results of operations. At this time, we cannot predict how the recently enacted tariffs will impact our business. Tariffs on products imported by us from China could have a material adverse effect on our business and results of operations.</w:t>
      </w:r>
    </w:p>
    <w:p>
      <w:pPr>
        <w:spacing w:after="0" w:line="1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have been audited by the Canadian Border Services Agency (“CBSA”) and are in the process of appealing the CBSA ruling. Loss of this appeal could have an adverse effect on our results of operations.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CBSA issued a final audit report to G-III’s Canadian subsidiary that challenged the valuation used by the Canadian subsidiary for certain goods imported into Canada. The period covered by the examination is February 1, 2014 through the date of the final report, October 27, 2017. The CBSA has requested us to reassess our customs entries for that period using the price paid or payable by the Canadian retail customers for certain imported goods rather than the price paid by us to the vendor. The CBSA has also requested that we change the valuation method used to pay duties with respect to good imported in the future.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secured a bond to guarantee payment in the amount of CAD$26.9 million ($20.9 million) in March 2018, representing customs duty and interest that is claimed to be owed by us through December 31, 2017. In March 2018, we amended the duties filed for the month of January 2018 in accordance with the new valuation method. This amount was paid to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CBSA. Beginning February 1, 2018, we began paying duties in Canada on imported goods based on the price paid or payable by the Canadian retail customers. Duties paid on the higher dutiable value are not being charged as an expense in our statement of operations, but are being recorded as a deferred expense until the appeal process is concluded.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appeal of the audit findings is not successful, we will have to pay the duties and interest that have been secured by the bond. This will result in a charge to our statement of operations for past duties, as well as for the additional duties we deferred beginning on February 1, 2018 through the conclusion of the appeal process. In addition, our loss of the appeal would result in increased duties paid in Canada on products imported into Canada and will increase our cost of sales and decrease our profitability unless we are able to pass higher prices on to our customers. This could have an adverse effect on our results of operations.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Despite our preventative efforts, our systems are vulnerable from time to time to damage or interruption from, among other things, security breaches, computer viruses, power outages and other technical malfunctions. Any disruptions affecting our information systems, or any delays or difficulties in transitioning to new systems or in integrating them with current systems, could have a material adverse impact on the operation of our business.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data security or privacy breach could adversely affect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Our business involves the receipt and storage of personal information about customers and employees.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use and handling of personally identifiable data is regulated at the international, federal and state levels. For example, the European Union adopted a new regulation that became effective in May 2018, called the General Data Protection Regulation (“GDPR”), which requires companies to meet additional requirements regarding the handling of personal data, including its use, protection and the ability of persons whose data is stored to exercise certain additional rights with respect to their personal data. The GDPR calls for privacy and process enhancements, accompanied by a commitment of resources and other expenditures in support of compliance. Violations of GDPR could result in significant penalties. The regulatory environment surrounding information security and privacy is increasingly demanding. California recently adopted a new regulation called the California Consumer Privacy Act (“CCPA”) that is effective January 1, 2020, with enforcement expected to begin between January 1, 2020 and July 1, 2020. CCPA provides broad rights to California consumers with respect to the collection and use of their information by businesses. We are reviewing our operations to determine our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obligations under CCPA. The California law could lead to similar laws in other U.S. states or at a national level. Privacy and information security laws and regulations change from time to time, and compliance with them may result in cost increases due to necessary systems changes and the development of new processes. If we fail to comply with these laws and regulations, we could be subjected to legal risk. We are also contractually obligated to comply with certain industry standards regarding payment card information. Increasing costs associated with information security, such as increased investment in technology, the cost of compliance and costs resulting from consumer fraud could cause our business and results of operations to suffer materially.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Economy and the Apparel Industry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Recent and future economic conditions, including volatility in the financial and credit markets, may adversely affect our business.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Uncertainties regarding future economic prospects may affect consumer-spending habits and could have an adverse effect on our results of operations. Uncertainty with respect to consumer spending as a result of weak economic conditions has, at times, caused our customers to delay the placing of initial orders and to slow the pace of reorders during the seasonal peak of our business. Weak economic conditions have had a material adverse effect on our results of operations at times in the past and could have a material adverse effect on our results of operations in the future as well.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competitive nature of our industry may result in lower prices for our products and decreased gross profit margins.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apparel business is highly competitive. We have numerous competitors with respect to the sale of apparel, footwear and accessories, including e-commerce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major department, mass merchant and specialty store chains consolidate, close stores or cease to do business, our business could be negatively affected.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our products to major department, mass merchant and specialty store chains. Continued consolidation in the retail industry, as well as store closing or retailers ceasing to do business, could negatively impact our business. Macy’s, JC Penney and Kohl’s, as well as other store chains, have announced their intention to close stores. Bon-Ton Stores, a customer of ours for many years, filed for bankruptcy last year and closed all of its stores. Store closings could adversely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outerwear or other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new legislation restricting the importation or increasing the cost of textiles and apparel produced abroad is enacted, our business could be adversely affected.</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previously discussed, the U.S. presidential administration has imposed retaliatory duties against China, and threatened to impose additional duties, in order to reverse what it perceives as unfair trade practices that have negatively impacted manufacturing in the U.S. The administration has also discussed the implementation of other duties that would impose an additional tax on imported goods regardless of origin. It is possible that the United States may impose new trade or other initiatives that adversely affect the trading status of countries where our apparel is manufactured and such initiatives could include retaliatory duties, higher tariffs or other trade sanctions. The administration has indicated it may make modifications to international trade policy or agreements or engage in other restrictive trade practices that may have the effect of reducing the amount or increasing the cost of imported goods. Changes in existing trade agreements or imposition of tariffs on our products imported from China or other countries could have a material adverse effect on our operations and financial results.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China’s accession agreement for membership in the World Trade Organization provides that member countries, including the United States, may impose safeguard quotas on specific products. We are unable to assess the potential for future 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effects of war, acts of terrorism or natural disasters could adversely affect our business and results of operations.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could result in the closure of one or more of our distribution centers, our corporate headquarters or a significant number of stores or impact one or more of our key suppliers. In addition, these types of events could result in increases in energy prices or a fuel shortage,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Chairman and Chief Executive Officer may be in a position to control matters requiring a stockholder vote.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25, 2019, Morris Goldfarb, our Chairman and Chief Executive Officer, beneficially owned approximately 7.9% of our common stock. His significant role in our management and his reputation in the apparel industry could make his support crucial to the approval of any major transaction involving us. As a result, he may have the ability to control the outcome on matters requiring stockholder approval including, but not limited to, the election of directors and any merger, consolidation or sale of all or substantially all of our assets. He also may have the ability to control our management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fluctuated significantly and could continue to fluctuate significantly.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February 1, 2016 and March 25, 2019, the market price of our common stock has ranged from a low of $18.00 to a high of $55.89 per share. The market price of our common stock may change significantly in response to various factors and events beyond our control, including:</w:t>
      </w:r>
    </w:p>
    <w:p>
      <w:pPr>
        <w:spacing w:after="0" w:line="100"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our quarterly revenues or those of our competitors as a result of seasonality or other factors;</w:t>
      </w:r>
    </w:p>
    <w:p>
      <w:pPr>
        <w:spacing w:after="0" w:line="34" w:lineRule="exact"/>
        <w:rPr>
          <w:rFonts w:ascii="Arial" w:cs="Arial" w:eastAsia="Arial" w:hAnsi="Arial"/>
          <w:sz w:val="17"/>
          <w:szCs w:val="17"/>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shortfall in revenues or net income from that expected by securities analysts and investors;</w:t>
      </w:r>
    </w:p>
    <w:p>
      <w:pPr>
        <w:spacing w:after="0" w:line="9" w:lineRule="exact"/>
        <w:rPr>
          <w:rFonts w:ascii="Arial" w:cs="Arial" w:eastAsia="Arial" w:hAnsi="Arial"/>
          <w:sz w:val="18"/>
          <w:szCs w:val="18"/>
          <w:color w:val="auto"/>
        </w:rPr>
      </w:pPr>
    </w:p>
    <w:p>
      <w:pPr>
        <w:ind w:left="660" w:right="840" w:hanging="333"/>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the financial performance of our competitors or companies in our industry generally;</w:t>
      </w: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concerning our competitors;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 pricing policies by our competitors or our customers;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tariff and trade policies;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our industry;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the securities markets.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financial results might vary from our publicly disclosed financial forecasts.</w:t>
      </w:r>
    </w:p>
    <w:p>
      <w:pPr>
        <w:spacing w:after="0" w:line="14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From time to time, we publicly disclose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in the documents incorporated by reference in this Annual Report. If our actual financial results are worse than our financial forecasts, the price of our common stock may decline.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goodwill, trademarks and other intangibles become impaired, we may be required to record charges to earnings.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January 31, 2019, we had goodwill, trademarks and other intangibles in an aggregate amount of $743.3 million, or approximately 34% of our total assets and approximately 63% of our stockholders’ equity. Approximately $621.7 million of our goodwill, trademarks and other intangibles was recorded in connection with our acquisition of DKI. Under accounting principles generally accepted in the United States (“GAAP”), we review our goodwill and other indefinite life intangibles for impairment annually during the fourth quarter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 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impact our stock price.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significant corporate regulation as a public company and failure to comply with applicable regulations could subject us to liability or negatively affect our stock price.</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w:t>
      </w:r>
    </w:p>
    <w:p>
      <w:pPr>
        <w:spacing w:after="0" w:line="18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our stock price to decline.</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significant corporate governance and executive compensation-related provisions in the Dodd-Frank Act that have required, and continue to require, the SEC to adopt additional rules and regulations in these areas. Our efforts to comply with Dodd-Frank requirements have resulted in, and are likely to continue to result in, an increase in expenses and a diversion of management’s time from other business activities. For example, we are subject to SEC disclosure obligations relating to our use of minerals that have a risk of being so-called “conflict minerals” such as columbite-tantalite, cassiterite (tin), wolframite (tungsten) and gold. These minerals are present in a number of our products.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incurred and will continue to incur costs associated with complying with the supply chain due diligence procedures required by the SEC. The preparation of our conflict minerals report is dependent upon the implementation and operation of our systems and processes and information supplied by our suppliers of products that contain, or potentially contain, conflict minerals. To the extent that the information that we receive from our suppliers is inaccurate or inadequate or our processes in obtaining that information do not fulfill the SEC’s requirements, we could face both reputational and SEC enforcement risks.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uncertainty associated with the manner in which additional corporate governance and executive compensation-related provisions of the Dodd-Frank Act will be implemented, the full extent of the impact such requirements will have on our operations is unclear. The changes resulting from the Dodd-Frank Act may require changes to certain business practices, or otherwise adversely affect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offices, sales showrooms, distribution centers and warehouses, all of which are leased, consist 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Renewal</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Square</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2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Property Type</w:t>
            </w:r>
          </w:p>
        </w:tc>
        <w:tc>
          <w:tcPr>
            <w:tcW w:w="2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Lease Expiration</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Footage</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500 and 512 Seventh Avenue, New</w:t>
            </w:r>
          </w:p>
        </w:tc>
        <w:tc>
          <w:tcPr>
            <w:tcW w:w="220" w:type="dxa"/>
            <w:vAlign w:val="bottom"/>
            <w:shd w:val="clear" w:color="auto" w:fill="CCEEFF"/>
          </w:tcPr>
          <w:p>
            <w:pPr>
              <w:spacing w:after="0"/>
              <w:rPr>
                <w:sz w:val="16"/>
                <w:szCs w:val="16"/>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Corporate Office and</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March 2023 / March</w:t>
            </w:r>
          </w:p>
        </w:tc>
        <w:tc>
          <w:tcPr>
            <w:tcW w:w="18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2"/>
              </w:rPr>
              <w:t>5-year</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313,000</w:t>
            </w:r>
          </w:p>
        </w:tc>
        <w:tc>
          <w:tcPr>
            <w:tcW w:w="0" w:type="dxa"/>
            <w:vAlign w:val="bottom"/>
          </w:tcPr>
          <w:p>
            <w:pPr>
              <w:spacing w:after="0"/>
              <w:rPr>
                <w:sz w:val="1"/>
                <w:szCs w:val="1"/>
                <w:color w:val="auto"/>
              </w:rPr>
            </w:pPr>
          </w:p>
        </w:tc>
      </w:tr>
      <w:tr>
        <w:trPr>
          <w:trHeight w:val="98"/>
        </w:trPr>
        <w:tc>
          <w:tcPr>
            <w:tcW w:w="27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w w:val="98"/>
              </w:rPr>
              <w:t>York City</w:t>
            </w:r>
          </w:p>
        </w:tc>
        <w:tc>
          <w:tcPr>
            <w:tcW w:w="220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color w:val="auto"/>
                <w:w w:val="92"/>
              </w:rPr>
              <w:t>showrooms</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2028</w:t>
            </w:r>
          </w:p>
        </w:tc>
        <w:tc>
          <w:tcPr>
            <w:tcW w:w="180" w:type="dxa"/>
            <w:vAlign w:val="bottom"/>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700" w:type="dxa"/>
            <w:vAlign w:val="bottom"/>
            <w:gridSpan w:val="2"/>
            <w:vMerge w:val="continue"/>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Dayton, New Jersey</w:t>
            </w: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Distribution center</w:t>
            </w: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January 2025</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385,000</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8"/>
              </w:rPr>
              <w:t>Jamesburg, New Jersey</w:t>
            </w:r>
          </w:p>
        </w:tc>
        <w:tc>
          <w:tcPr>
            <w:tcW w:w="2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Distribution center</w:t>
            </w:r>
          </w:p>
        </w:tc>
        <w:tc>
          <w:tcPr>
            <w:tcW w:w="18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December 2020</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5-year</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783,000</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Retail operations office,</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Brooklyn Park, Minnesota</w:t>
            </w:r>
          </w:p>
        </w:tc>
        <w:tc>
          <w:tcPr>
            <w:tcW w:w="22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warehouse and distribution</w:t>
            </w: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April 2022</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301,000</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color w:val="auto"/>
              </w:rPr>
              <w:t>facility</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Carlstadt, New Jersey</w:t>
            </w:r>
          </w:p>
        </w:tc>
        <w:tc>
          <w:tcPr>
            <w:tcW w:w="2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Distribution center</w:t>
            </w:r>
          </w:p>
        </w:tc>
        <w:tc>
          <w:tcPr>
            <w:tcW w:w="18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7"/>
              </w:rPr>
              <w:t>April 2024</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10-year</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197,000</w:t>
            </w:r>
          </w:p>
        </w:tc>
        <w:tc>
          <w:tcPr>
            <w:tcW w:w="0" w:type="dxa"/>
            <w:vAlign w:val="bottom"/>
          </w:tcPr>
          <w:p>
            <w:pPr>
              <w:spacing w:after="0"/>
              <w:rPr>
                <w:sz w:val="1"/>
                <w:szCs w:val="1"/>
                <w:color w:val="auto"/>
              </w:rPr>
            </w:pPr>
          </w:p>
        </w:tc>
      </w:tr>
      <w:tr>
        <w:trPr>
          <w:trHeight w:val="206"/>
        </w:trPr>
        <w:tc>
          <w:tcPr>
            <w:tcW w:w="27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240 West 40th Street, New York City</w:t>
            </w:r>
          </w:p>
        </w:tc>
        <w:tc>
          <w:tcPr>
            <w:tcW w:w="22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Office and showroom</w:t>
            </w: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144,000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Stores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2019, we operated 404 leased store locations, of which 139 are Wilsons Leather retail stores, 111 are G.H. Bass retail stores, 96 are Vilebrequin retail stores, 42 are DKNY stores, 11 are Karl Lagerfeld Paris stores and 5 are Calvin Klein Performance retail stores.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leases expire at varying dates through 2029. During fiscal 2019, we entered into 22 new store leases, renewed 60 store leases and terminated or allowed 76 store leases to expire. Almost all of our stores, other than certain Vilebrequin and DKNY stores, are located in the United States. Vilebrequin has 61 stores located in Europe, 27 stores located in the United States and 8 stores located in Asia. DKNY has 34 stores located in the United States, 4 stores located in Canada and 4 stores located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periods during which our retail leases expire.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8260" w:type="dxa"/>
            <w:vAlign w:val="bottom"/>
            <w:gridSpan w:val="2"/>
            <w:vMerge w:val="continue"/>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7"/>
        </w:trPr>
        <w:tc>
          <w:tcPr>
            <w:tcW w:w="8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Customs Duty Examination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October 2017, the Canada Border Service Agency (“CBSA”) issued a final audit report to G-III Apparel Canada ULC (“G-</w:t>
      </w:r>
    </w:p>
    <w:p>
      <w:pPr>
        <w:spacing w:after="0" w:line="46" w:lineRule="exact"/>
        <w:rPr>
          <w:sz w:val="20"/>
          <w:szCs w:val="20"/>
          <w:color w:val="auto"/>
        </w:rPr>
      </w:pPr>
    </w:p>
    <w:p>
      <w:pPr>
        <w:jc w:val="both"/>
        <w:ind w:firstLine="3"/>
        <w:spacing w:after="0" w:line="252" w:lineRule="auto"/>
        <w:tabs>
          <w:tab w:leader="none" w:pos="2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Canada”), our wholly-owned subsidiary.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2018, G-III Canada secured a bond to guarantee payment to the CBSA for the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we amended the duties filed for the month of January 2018 under the new valuation method. This amount was paid to the CBSA. Beginning February 1, 2018, we began paying duties based on the new valuation method.</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G-III Canada, based on the advice of counsel, believes it has positions that support its ability to receive a refund of amounts claimed to be owed to the CBSA on appeal and intends to vigorously contest the findings of the CBSA.</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840" w:right="140" w:hanging="842"/>
        <w:spacing w:after="0" w:line="277" w:lineRule="auto"/>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REPURCHASES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Nasdaq Global Select Market is the principal United States trading market for our common stock. Our common stock is traded under the symbol “GIII”.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25, 2019, there were 20 holders of record and, we believe, approximately 22,000 beneficial owners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(the “Board”) currently intends to follow a policy of retaining any earnings to finance the growth and development of our business and does not anticipate paying cash dividends in the foreseeable future. Any future determination as to the payment of cash dividends will be dependent upon our financial condition, results of operations and other factors deemed relevant by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repurchases of shares of our common stock during the fourth quarter of fiscal 2019:</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 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 Paid</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Purchased</w:t>
            </w:r>
          </w:p>
        </w:tc>
        <w:tc>
          <w:tcPr>
            <w:tcW w:w="1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380" w:type="dxa"/>
            <w:vAlign w:val="bottom"/>
            <w:gridSpan w:val="3"/>
            <w:vMerge w:val="continue"/>
          </w:tcPr>
          <w:p>
            <w:pPr>
              <w:spacing w:after="0"/>
              <w:rPr>
                <w:sz w:val="14"/>
                <w:szCs w:val="14"/>
                <w:color w:val="auto"/>
              </w:rPr>
            </w:pPr>
          </w:p>
        </w:tc>
        <w:tc>
          <w:tcPr>
            <w:tcW w:w="1480" w:type="dxa"/>
            <w:vAlign w:val="bottom"/>
          </w:tcPr>
          <w:p>
            <w:pPr>
              <w:jc w:val="right"/>
              <w:ind w:right="23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4"/>
                <w:szCs w:val="14"/>
                <w:b w:val="1"/>
                <w:bCs w:val="1"/>
                <w:color w:val="auto"/>
                <w:vertAlign w:val="superscript"/>
              </w:rPr>
              <w:t>(1)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xml:space="preserve">Per Share </w:t>
            </w:r>
            <w:r>
              <w:rPr>
                <w:rFonts w:ascii="Arial" w:cs="Arial" w:eastAsia="Arial" w:hAnsi="Arial"/>
                <w:sz w:val="14"/>
                <w:szCs w:val="14"/>
                <w:b w:val="1"/>
                <w:bCs w:val="1"/>
                <w:color w:val="auto"/>
                <w:w w:val="91"/>
                <w:vertAlign w:val="superscript"/>
              </w:rPr>
              <w:t>(1)</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xml:space="preserve">Program </w:t>
            </w:r>
            <w:r>
              <w:rPr>
                <w:rFonts w:ascii="Arial" w:cs="Arial" w:eastAsia="Arial" w:hAnsi="Arial"/>
                <w:sz w:val="14"/>
                <w:szCs w:val="14"/>
                <w:b w:val="1"/>
                <w:bCs w:val="1"/>
                <w:color w:val="auto"/>
                <w:w w:val="90"/>
                <w:vertAlign w:val="superscript"/>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 xml:space="preserve">Program </w:t>
            </w:r>
            <w:r>
              <w:rPr>
                <w:rFonts w:ascii="Arial" w:cs="Arial" w:eastAsia="Arial" w:hAnsi="Arial"/>
                <w:sz w:val="14"/>
                <w:szCs w:val="14"/>
                <w:b w:val="1"/>
                <w:bCs w:val="1"/>
                <w:color w:val="auto"/>
                <w:w w:val="93"/>
                <w:vertAlign w:val="superscript"/>
              </w:rPr>
              <w:t>(1)</w:t>
            </w:r>
          </w:p>
        </w:tc>
        <w:tc>
          <w:tcPr>
            <w:tcW w:w="0" w:type="dxa"/>
            <w:vAlign w:val="bottom"/>
          </w:tcPr>
          <w:p>
            <w:pPr>
              <w:spacing w:after="0"/>
              <w:rPr>
                <w:sz w:val="1"/>
                <w:szCs w:val="1"/>
                <w:color w:val="auto"/>
              </w:rPr>
            </w:pPr>
          </w:p>
        </w:tc>
      </w:tr>
      <w:tr>
        <w:trPr>
          <w:trHeight w:val="195"/>
        </w:trPr>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November 1 - November 30,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2"/>
        </w:trPr>
        <w:tc>
          <w:tcPr>
            <w:tcW w:w="2380" w:type="dxa"/>
            <w:vAlign w:val="bottom"/>
            <w:gridSpan w:val="3"/>
          </w:tcPr>
          <w:p>
            <w:pPr>
              <w:spacing w:after="0" w:line="201" w:lineRule="exact"/>
              <w:rPr>
                <w:sz w:val="20"/>
                <w:szCs w:val="20"/>
                <w:color w:val="auto"/>
              </w:rPr>
            </w:pPr>
            <w:r>
              <w:rPr>
                <w:rFonts w:ascii="Arial" w:cs="Arial" w:eastAsia="Arial" w:hAnsi="Arial"/>
                <w:sz w:val="18"/>
                <w:szCs w:val="18"/>
                <w:color w:val="auto"/>
              </w:rPr>
              <w:t>December 1 - December 31,</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723,072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28.09</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723,072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 January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748,506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20" w:hanging="317"/>
        <w:spacing w:after="0" w:line="265"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1" w:lineRule="exact"/>
        <w:rPr>
          <w:rFonts w:ascii="Arial" w:cs="Arial" w:eastAsia="Arial" w:hAnsi="Arial"/>
          <w:sz w:val="16"/>
          <w:szCs w:val="16"/>
          <w:color w:val="auto"/>
        </w:rPr>
      </w:pPr>
    </w:p>
    <w:p>
      <w:pPr>
        <w:ind w:left="320" w:hanging="317"/>
        <w:spacing w:after="0" w:line="288"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Included in this table are shares withheld during January 2019 in connection with the settlement of vested restricted stock units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2014 in each of the Common Stock, the stocks comprising the S&amp;P 500 Composite Index and the stocks comprising the S&amp;P 500 Textiles, Apparel and Luxury Goods Index.</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2014 —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142875</wp:posOffset>
            </wp:positionV>
            <wp:extent cx="3644900" cy="2881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4490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selected consolidated financial data set forth below as of and for the years ended January 31, 2019, 2018, 2017, 2016 and 2015, have been derived from our audited consolidated financial statements. Our audited consolidated balance sheets as of January 31, 2017, 2016 and 2015, and our audited consolidated statements of income for the years ended January 31, 2016 and 2015 are not included in this filing. The selected consolidated financial data should be read in conjunction with “Management’s Discussion and Analysis of Financial Condition and Results of Operations” (Item 7 of this Report) and the audited consolidated financial statements and related notes thereto included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consolidate the accounts of all of our wholly-owned subsidiaries. KL North America B.V. (“KLNA”) and Fabco Holding B.V. (“Fabco”) are Dutch limited liability companies that are joint ventures, each of which is 49% owned by us. KLNA operates the Karl Lagerfeld business in the United States, Mexico and Canada and Fabco operates the DKNY/Donna Karan business in China. Karl Lagerfeld Holding B.V. (“KLH”) is a Dutch limited liability company that is 19% owned by us. KLH holds the worldwide rights to the Karl Lagerfeld brand. We account for these three investments using the equity method of accounting. Our Vilebrequin subsidiary, KLNA, KLH and Fabco report results on a calendar year basis rather than on the January 31 fiscal year basis used by G-III. Accordingly, the results of Vilebrequin, KLNA, KLH and Fabco are and will be included in our financial statements for the year ended or ending closest to G-III’s fiscal year. For example, for G-III’s fiscal year ended January 31, 2019, the results of Vilebrequin, KLNA, KLH and Fabco are included for the year ended December 31, 2018. The Company’s retail stores report results on a 52/53</w:t>
      </w:r>
      <w:r>
        <w:rPr>
          <w:rFonts w:ascii="MS PGothic" w:cs="MS PGothic" w:eastAsia="MS PGothic" w:hAnsi="MS PGothic"/>
          <w:sz w:val="17"/>
          <w:szCs w:val="17"/>
          <w:color w:val="auto"/>
        </w:rPr>
        <w:t>‑</w:t>
      </w:r>
      <w:r>
        <w:rPr>
          <w:rFonts w:ascii="Arial" w:cs="Arial" w:eastAsia="Arial" w:hAnsi="Arial"/>
          <w:sz w:val="17"/>
          <w:szCs w:val="17"/>
          <w:color w:val="auto"/>
        </w:rPr>
        <w:t>week fiscal year for the retail operations segment. The Company’s year ended January 31, 2018 was a 53-week fiscal year for the retail operations segment. All other years presented were a 52-week fiscal year for the retail operations segment.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DKI have been included in our financial statements since December 1, 2016, the date of acquisition.</w:t>
      </w:r>
    </w:p>
    <w:p>
      <w:pPr>
        <w:spacing w:after="0" w:line="159"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Consolidated Income Statement Data</w:t>
      </w:r>
    </w:p>
    <w:p>
      <w:pPr>
        <w:jc w:val="center"/>
        <w:ind w:left="4080"/>
        <w:spacing w:after="0" w:line="236" w:lineRule="auto"/>
        <w:rPr>
          <w:sz w:val="20"/>
          <w:szCs w:val="20"/>
          <w:color w:val="auto"/>
        </w:rPr>
      </w:pPr>
      <w:r>
        <w:rPr>
          <w:rFonts w:ascii="Arial" w:cs="Arial" w:eastAsia="Arial" w:hAnsi="Arial"/>
          <w:sz w:val="14"/>
          <w:szCs w:val="14"/>
          <w:b w:val="1"/>
          <w:bCs w:val="1"/>
          <w:color w:val="auto"/>
        </w:rPr>
        <w:t>Year Ended January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7"/>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3,076,208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2,806,938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2,386,435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2,344,142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2,116,855</w:t>
            </w: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1,969,099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1,752,199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1,545,107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1,505,504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1,359,596</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1,107,109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1,054,739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757,259</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571,990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20,374</w:t>
            </w: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Other income (loss)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11,488</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168,441</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59,450</w:t>
            </w: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108,991</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Loss attributable to noncontrolling interest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7"/>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G-III</w:t>
            </w: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110,361</w:t>
            </w:r>
          </w:p>
        </w:tc>
      </w:tr>
      <w:tr>
        <w:trPr>
          <w:trHeight w:val="23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3"/>
        </w:trPr>
        <w:tc>
          <w:tcPr>
            <w:tcW w:w="2820" w:type="dxa"/>
            <w:vAlign w:val="bottom"/>
          </w:tcPr>
          <w:p>
            <w:pPr>
              <w:spacing w:after="0" w:line="203" w:lineRule="exact"/>
              <w:rPr>
                <w:sz w:val="20"/>
                <w:szCs w:val="20"/>
                <w:color w:val="auto"/>
              </w:rPr>
            </w:pPr>
            <w:r>
              <w:rPr>
                <w:rFonts w:ascii="Arial" w:cs="Arial" w:eastAsia="Arial" w:hAnsi="Arial"/>
                <w:sz w:val="18"/>
                <w:szCs w:val="18"/>
                <w:color w:val="auto"/>
                <w:w w:val="89"/>
              </w:rPr>
              <w:t>Weighted average shares outstanding -</w:t>
            </w:r>
          </w:p>
        </w:tc>
        <w:tc>
          <w:tcPr>
            <w:tcW w:w="960" w:type="dxa"/>
            <w:vAlign w:val="bottom"/>
          </w:tcPr>
          <w:p>
            <w:pPr>
              <w:ind w:left="40"/>
              <w:spacing w:after="0" w:line="203" w:lineRule="exact"/>
              <w:rPr>
                <w:sz w:val="20"/>
                <w:szCs w:val="20"/>
                <w:color w:val="auto"/>
              </w:rPr>
            </w:pPr>
            <w:r>
              <w:rPr>
                <w:rFonts w:ascii="Arial" w:cs="Arial" w:eastAsia="Arial" w:hAnsi="Arial"/>
                <w:sz w:val="18"/>
                <w:szCs w:val="18"/>
                <w:color w:val="auto"/>
              </w:rPr>
              <w:t>basic</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49,140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48,820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46,308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45,328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43,298</w:t>
            </w:r>
          </w:p>
        </w:tc>
      </w:tr>
      <w:tr>
        <w:trPr>
          <w:trHeight w:val="23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7"/>
        </w:trPr>
        <w:tc>
          <w:tcPr>
            <w:tcW w:w="28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89"/>
              </w:rPr>
              <w:t>Weighted average shares outstanding -</w:t>
            </w:r>
          </w:p>
        </w:tc>
        <w:tc>
          <w:tcPr>
            <w:tcW w:w="9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50,274</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49,750</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47,394</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44,424</w:t>
            </w:r>
          </w:p>
        </w:tc>
      </w:tr>
      <w:tr>
        <w:trPr>
          <w:trHeight w:val="755"/>
        </w:trPr>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9"/>
        </w:trPr>
        <w:tc>
          <w:tcPr>
            <w:tcW w:w="28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Consolidated Balance Sheet Data</w:t>
      </w:r>
    </w:p>
    <w:p>
      <w:pPr>
        <w:jc w:val="center"/>
        <w:ind w:left="4080"/>
        <w:spacing w:after="0" w:line="236" w:lineRule="auto"/>
        <w:rPr>
          <w:sz w:val="20"/>
          <w:szCs w:val="20"/>
          <w:color w:val="auto"/>
        </w:rPr>
      </w:pPr>
      <w:r>
        <w:rPr>
          <w:rFonts w:ascii="Arial" w:cs="Arial" w:eastAsia="Arial" w:hAnsi="Arial"/>
          <w:sz w:val="14"/>
          <w:szCs w:val="14"/>
          <w:b w:val="1"/>
          <w:bCs w:val="1"/>
          <w:color w:val="auto"/>
        </w:rPr>
        <w:t>Year Ended January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4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  673,107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612,434</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  567,519</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657,636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557,703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2,208,058</w:t>
            </w:r>
          </w:p>
        </w:tc>
        <w:tc>
          <w:tcPr>
            <w:tcW w:w="1020" w:type="dxa"/>
            <w:vAlign w:val="bottom"/>
          </w:tcPr>
          <w:p>
            <w:pPr>
              <w:jc w:val="right"/>
              <w:spacing w:after="0"/>
              <w:rPr>
                <w:sz w:val="20"/>
                <w:szCs w:val="20"/>
                <w:color w:val="auto"/>
              </w:rPr>
            </w:pPr>
            <w:r>
              <w:rPr>
                <w:rFonts w:ascii="Arial" w:cs="Arial" w:eastAsia="Arial" w:hAnsi="Arial"/>
                <w:sz w:val="18"/>
                <w:szCs w:val="18"/>
                <w:color w:val="auto"/>
              </w:rPr>
              <w:t>1,915,177</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1,851,944</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1,184,070</w:t>
            </w:r>
          </w:p>
        </w:tc>
        <w:tc>
          <w:tcPr>
            <w:tcW w:w="980" w:type="dxa"/>
            <w:vAlign w:val="bottom"/>
          </w:tcPr>
          <w:p>
            <w:pPr>
              <w:jc w:val="right"/>
              <w:spacing w:after="0"/>
              <w:rPr>
                <w:sz w:val="20"/>
                <w:szCs w:val="20"/>
                <w:color w:val="auto"/>
              </w:rPr>
            </w:pPr>
            <w:r>
              <w:rPr>
                <w:rFonts w:ascii="Arial" w:cs="Arial" w:eastAsia="Arial" w:hAnsi="Arial"/>
                <w:sz w:val="18"/>
                <w:szCs w:val="18"/>
                <w:color w:val="auto"/>
              </w:rPr>
              <w:t>1,043,761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386,604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391,044</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461,756</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1,189,009</w:t>
            </w:r>
          </w:p>
        </w:tc>
        <w:tc>
          <w:tcPr>
            <w:tcW w:w="1020" w:type="dxa"/>
            <w:vAlign w:val="bottom"/>
          </w:tcPr>
          <w:p>
            <w:pPr>
              <w:jc w:val="right"/>
              <w:spacing w:after="0"/>
              <w:rPr>
                <w:sz w:val="20"/>
                <w:szCs w:val="20"/>
                <w:color w:val="auto"/>
              </w:rPr>
            </w:pPr>
            <w:r>
              <w:rPr>
                <w:rFonts w:ascii="Arial" w:cs="Arial" w:eastAsia="Arial" w:hAnsi="Arial"/>
                <w:sz w:val="18"/>
                <w:szCs w:val="18"/>
                <w:color w:val="auto"/>
              </w:rPr>
              <w:t>1,120,689</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1,021,236</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888,128</w:t>
            </w:r>
          </w:p>
        </w:tc>
        <w:tc>
          <w:tcPr>
            <w:tcW w:w="980" w:type="dxa"/>
            <w:vAlign w:val="bottom"/>
          </w:tcPr>
          <w:p>
            <w:pPr>
              <w:jc w:val="right"/>
              <w:spacing w:after="0"/>
              <w:rPr>
                <w:sz w:val="20"/>
                <w:szCs w:val="20"/>
                <w:color w:val="auto"/>
              </w:rPr>
            </w:pPr>
            <w:r>
              <w:rPr>
                <w:rFonts w:ascii="Arial" w:cs="Arial" w:eastAsia="Arial" w:hAnsi="Arial"/>
                <w:sz w:val="18"/>
                <w:szCs w:val="18"/>
                <w:color w:val="auto"/>
              </w:rPr>
              <w:t>761,258</w:t>
            </w:r>
          </w:p>
        </w:tc>
      </w:tr>
    </w:tbl>
    <w:p>
      <w:pPr>
        <w:spacing w:after="0" w:line="197" w:lineRule="exact"/>
        <w:rPr>
          <w:sz w:val="20"/>
          <w:szCs w:val="20"/>
          <w:color w:val="auto"/>
        </w:rPr>
      </w:pPr>
    </w:p>
    <w:p>
      <w:pPr>
        <w:ind w:left="840" w:right="320" w:hanging="842"/>
        <w:spacing w:after="0" w:line="277" w:lineRule="auto"/>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“G-III,” “us,” “we” and “our” refer to G-III Apparel Group,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is referred to as “fiscal 2019.”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products are sold at a variety of price points through a broad mix of retail partners and our own stores, a majority of our sales are concentrated with our ten largest customers. Sales to our ten largest customers comprised 69.7% of our net sales in 2019, 63.2% of our net sales in fiscal 2018 and 64.1% of our net sales in fiscal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operations segment includes direct sales to consumers through company-operated stores and product sales through our owned websites for the DKNY, Donna Karan, Wilsons, G.H. Bass, Andrew Marc and Karl Lagerfeld Paris businesses. Our retail operations segment consists primarily of our Wilsons Leather, G.H. Bass and DKNY stores, substantially all of which are operated as outlet stores, as well as a limited number of Calvin Klein Performance and Karl Lagerfeld Paris stores.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acquired businesses that have broadened our product offerings and expanded our ability to serve different tiers of distribution. Our acquisitions and joint ventures are part of our strategy to expand our product offerings and increase the portfolio of proprietary and licensed brands that we offer through different tiers of retail distribution.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DKNY/Donna Karan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we acquired Donna Karan International Inc. (“DKI”) from LVMH Moet Hennessy Louis Vuitton Inc. (“LVMH”) for a total purchase price of approximately $674 million, after taking into account certain adjustments. DKI owns DKNY and Donna Karan, two of the world’s most iconic and recognizable power brands. The acquisition of DKI fit squarely into our strategy to diversify and expand our business and to increase our ownership of brands. We are focusing on the expansion of the DKNY brand, while also re-establishing Donna Karan and other associated brands. We are leveraging our demonstrated ability to drive organic growth, identify and integrate acquisitions and develop talent throughout the organization to maximize the potential of the DKNY and Donna Karan brands. We are committed to making DKNY the premier fashion and lifestyle brand.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2018 and fiscal 2019, we restructured and repositioned the DKNY and Donna Karan brands. We re-launched the DKNY apparel line and also re-launched Donna Karan as an aspirational luxury brand that is priced above DKNY and targeted to fine department stores globally. These steps began paying off in the second half of fiscal 2018 and through fiscal 2019. Our strategy is for DKNY and Donna Karan to be more accessible brands, both designed and priced to reach a wider range of customers. We believe there is untapped global licensing potential for these brands and intend to grow royalty streams in the DKNY and Donna Karan businesses through expansion of additional categories with existing licensees, as well as new categories with new licensees.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2017, we entered into a joint venture to produce and market women’s and men’s apparel and accessories under a long-term license for DKNY and Donna Karan in the People’s Republic of China, including Macau, Hong Kong and Taiwan. The operators of the joint venture were formerly executives of Tommy Hilfiger and were instrumental in the expansion of the Tommy Hilfiger brand in China. The joint venture was funded with $25 million of equity to be used to strengthen the DKNY and Donna Karan brands and accelerate the growth of the business in the region. Of this amount, we contributed an aggregate of $10.0 million. This joint venture is the exclusive seller of women’s and men’s apparel, handbags, luggage and certain accessories under the DKNY and Donna Karan brands in the territory. The joint venture commenced operations in the second half of fiscal 2018 and was operating approximately 50 points of sale as of January 31, 2019.</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Karl Lagerfeld Paris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2015, we acquired a 49% interest in a joint venture that holds the brand rights to the Karl Lagerfeld trademarks, including the Karl Lagerfeld Paris brand for consumer products (with certain exceptions) and apparel in the United States, Canada and Mexico. We were also the first licensee of the joint venture, having been granted a license for women’s apparel, women’s handbags, women’s and men’s footwear, and certain men’s apparel categories in the territory.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we acquired a 19% minority interest in the parent company of the group that holds the worldwide rights to the Karl Lagerfeld brand. This investment expanded the partnership between us and the owners of the Karl Lagerfeld brand and helped to extend their business development opportunities on a global scale. The business plan for this entity includes developing its wholesale business and further developing out its online presence.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for the past 25 years. Sales of licensed products accounted for 57.4% of our net sales in fiscal 2019, 58.6% of our net sales in fiscal 2018 and 60.7% of our net sales in fiscal 2017.</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most significant licensor is Calvin Klein with whom we have ten different license agreements. We have also entered into distribution agreements with respect to Calvin Klein luggage in a number of countries in Asia, Europe and North America.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significant relationship with Tommy Hilfiger that has grown in recent years. We have an expanded license agreement with Tommy Hilfiger for womenswear in the United States and Canada. This license for women’s sportswear, dresses, suit separates, performance and denim was in addition to our licenses in the United States and Canada for Tommy Hilfiger men’s and women’s outerwear and luggage.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we expanded the product offerings under our Karl Lagerfeld Paris license to include men’s apparel (previously men’s outerwear only) and men’s footwear in North America. These expanded product categories are in addition to our North America rights for Karl Lagerfeld Paris women’s apparel, women’s footwear and women’s handbags, all of which are produced and distributed pursuant to a long-term license agreement.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retail operations segment consists primarily of our Wilsons Leather, G.H. Bass and DKNY retail stores, substantially all of which are operated as outlet stores. As of January 31, 2019, we leased 308 retail stores, of which 139 are stores operated under our Wilsons Leather name, 111 are stores operated under our G.H. Bass brand, 42 stores are operated under our DKNY brand, 11 stores are operated under the licensed Karl Lagerfeld Paris brand and 5 stores are operated under the licensed Calvin Klein Performance brand. Wilsons Leather, G.H. Bass, DKNY and Karl Lagerfeld Paris each operates its own online store.</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Given the current retail environment, we are focusing on significantly reducing the losses of our retail business with the goal of attaining profitability. Our strategy includes termination or renegotiation of long-term leases as they come up for renewal, implementing cost-cutting initiatives, revising our merchandising strategy and repurposing certain Wilsons and G.H. Bass stores for the Karl Lagerfeld Paris or DKNY brands. We also hired a new President of our retail business who is an industry veteran with a proven track record at leading retailers. We have already eliminated approximately $5.0 million of annualized expenses and salaries from our retail office support functions. In addition, we intend to continue our program of store count reduction and to increase the efficiency and productivity of our retail operations. At January 31, 2018, we operated 367 retail stores across our Wilsons, G.H. Bass, DKNY, Karl Lagerfeld Paris and Calvin Klein Performance brands. At January 31, 2019, the store count for these brands had decreased to 308 locations. We expect to further reduce our store count and anticipate closing an additional approximately 40 to 45 stores by the end of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along with aggressive markdowns in an attempt to offset declines caused by a reduction in physical store traffic.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number of retailers are experiencing financial difficulties, which in some cases have resulted in bankruptcies, liquidations and/or store closings, such as the bankruptcy of Bon-Ton last year.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Tariffs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apparel and accessories industry has been impacted by tariffs implemented by the United States government on goods imported from China. Tariffs on handbags and leather outerwear imported from China were effective beginning in September 2018, and are initially in the amount of 10% of the merchandise cost to us. The level of additional tariffs on these product categories was scheduled to increase to 25% beginning January 1, 2019 and other tariffs on a broader range of apparel and accessory products are also under consideration. The United States government has postponed the increase in tariffs to 25% while the U.S. and China seek to resolve their trade and related differences. If the U.S. and China are not able to resolve their differences, additional tariffs may be put in place and additional products may become subject to tariffs. The majority of the products that we sell in the United States are manufactured in China. Potential tariffs on products imported by us from China would increase our costs, require us to increase prices to our customers or, if we are unable to do so, result in lower gross margins on the products sold by us.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Tariffs imposed during fiscal 2019 on products imported by us from China primarily impacted our handbag and leather outerwear categories. These categories represented approximately 7% of our net sales in fiscal 2019. Accordingly, tariffs imposed during fiscal 2019 had a minimal impact on our results of operations for fiscal 2019.</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U.S. and China are not able to resolve their differences, additional tariffs may be put in place and additional products may become subject to tariffs. We have engaged in a number of efforts to mitigate the effect on our results of operations of increases in tariffs on products imported by us from China, including diversifying our sourcing network by arranging to move some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 Because of the uncertainties involved with respect to the amount of tariffs that may be applicable, the products to which any additional tariffs will be applied and the results of our mitigation efforts, we cannot estimate at this point the effect of an increase in tariffs on our results of operations for fiscal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February 1, 2018, we adopted Financial Accounting Standards Board (“FASB”) Accounting Standard Codification (“ASC”)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modified retrospective method as of January 31, 2018. Under ASC 606, wholesale revenue is recognized when control transfers to the 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Under ASC 606, we estimate the anticipated variable consideration and record this estimate as a reduction of revenue in the period the related product revenue is recognized. Prior to adopting ASC 606, certain components of variable consideration were recorded at a later date when the liability was known or incurred.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Customer refund liabilities were recorded as a reduction to accounts receivable prior to the adoption of ASC 606. Historical return rates are calculated on a product line basis. The remainder of the historical rates for variable consideration are calculated by customer by product lines.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retail sales when the customer takes possession of the goods and tenders payment, generally at the point of sale. E-commerce revenues from customers through our e-commerce platforms are recognized when the customer takes possession of the goods. Our sales are recorded net of applicable sales taxes.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wholesale revenues and retail store revenues are shown net of returns, discounts and other allowances. Under ASC 606, we now classify cooperative advertising as a reduction of net sales. Previously, cooperative advertising was recorded in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Estimated costs associated with trade discounts, advertising allowances, markdowns, and reserves for returns are reflected as a reduction of net sales. Under ASC 606, all of these reserves, which constitute variable consideration, are classified as current liabilities under “Customer refund liabilities”. Prior to ASC 606, these reserves were part of the allowances netting against accounts receivable. We reserve against known chargebacks, as well as for an estimate of potential future deductions by customers. These provisions result from seasonal negotiations with our customers as well as historical deduction trends, net of historical recoveries and the evaluation of current 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our inventory. Retail inventories are valued at the lower of cost or market as determined by the retail inventory method. Vilebrequin inventories are stated at the lower of cost (determined by the weighted average method) or net realizable value.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ASC Topic 350 –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In connection with the change in our reportable segments and according to ASC 350, we reassessed the reporting units for goodwill impairment purposes. We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our goodwill and intangible assets with an indefinite life.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over its estimated remaining useful life.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 In fiscal 2019, we performed a qualitative evaluation and, in both fiscal 2018 and 2017, we performed a quantitative evaluation.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ASC 350, in the first step of our goodwill impairment review, we compare the fair value of the wholesale operations reporting unit to our carrying value. If the fair value of the reporting unit exceeds our carrying value, goodwill is not impaired and no further testing is required. In fiscal 2018, we wrote off $0.7 million of the goodwill associated with the retail operations segment as a result of the performance of the retail operations segment. In fiscal 2019, we performed a qualitative evaluation where we considered the measurable performance of the wholesale operations reporting unit, our stock price and market capitalization and the current macroeconomics regarding the retail industry where our products are sold. In fiscal 2018, we performed a quantitative evaluation where we estimated the fair value of the reporting units using a weighting of fair values derived most significantly from the market approach and, to a lesser extent, from the income approach. Under the income approach, we calculated the fair value of the reporting units based on the present value of estimated future cash flows. Cash flows projections are based on management’s estimates of revenue growth rates and earnings before interest and taxes, taking into consideration industry and market conditions. The assumptions used for the impairment analysis were developed by management of each reporting unit based on industry projections, as well as specific facts relating to the reporting units. If the reporting units were to experience sales declines or be exposed to enhanced and sustained pricing and volume pressures there would be an increased risk of impairment of goodwill for the reporting units.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Trademarks having finite lives are amortized over their estimated useful lives and measured for impairment when events or circumstances indicate that the carrying value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accordance with ASC Topic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annually evaluate the carrying value of our long-lived assets to determine whether changes have occurred that would suggest that the carrying amount of such assets may not be recoverable based on the estimated future undiscounted cash flows of the businesses to which the assets relate. Any impairment would be equal to the amount by which the carrying value of the assets exceeded its fair value.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2019, we recorded a $2.8 million impairment charge related to leasehold improvements and furniture and fixtures at certain of our Wilsons, G.H. Bass and DKNY stores as a result of the performance at these stores.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fiscal 2018, we recorded a $6.5 million impairment charge related to leasehold improvements and furniture and fixtures at certain of our Wilsons, G.H. Bass and Vilebrequin stores as a result of the performance at these stores. In addition, we recorded a $0.7 million impairment charge with respect to furniture and fixtures located in certain customers’ stores.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we recorded a $10.5 million impairment charge related to leasehold improvements and furniture and fixtures at certain of our Wilsons and G.H. Bass stores as a result of the performance at these stores.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share-based payments to employees, including grants of restricted stock units and employee stock options, are recognized in the consolidated financial statements as compensation expense over the service period (generally the vesting period) based on their fair values. Restricted stock units that do not have market performance conditions are valued based on the quoted market price on date of grant. Restricted stock units with market conditions are valued with the assistance of a valuation expert.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operating results as a percentage of our net sales for the fiscal years indicated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62.4</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64.7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jc w:val="right"/>
              <w:ind w:right="211"/>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29.5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impairments</w:t>
            </w: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0.4</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loss</w:t>
            </w: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jc w:val="right"/>
              <w:ind w:right="211"/>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4.5 %</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January 31, 2019 (“fiscal 2019”) compared to year ended January 31, 2018 (“fiscal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fiscal 2019 increased to $3.08 billion from $2.81 billion in the prior year. Net sales of our segments are reported before intercompany eliminations.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our wholesale operations segment increased to $2.72 billion from $2.45 billion in the comparable period last year. This increase is primarily the result of an $130.3 million increase in net sales of our DKNY and Donna Karan product and a $123.0 million increase in net sales of Tommy Hilfiger licensed products. The increase in sales of DKNY/Donna Karan product was primarily related to having a full year of sales of DKNY women’s dresses, sportswear, and footwear product lines designed and sourced by us, as well as the new suits, men’s and women’s outerwear and luggage product lines. The increase in sales of Tommy Hilfiger product was primarily related to denim, dresses, sportswear, performance wear, and men’s and women’s outerwear. Net sales of Karl Lagerfeld Paris products increased by $31.2 million primarily related to the sportswear, footwear, men’s and women’s outerwear and handbags. Net sales of Calvin Klein product increased $12.6 million primarily related to dresses and men’s and women’s outerwear. These increases were offset, in part, by a $20.7 million decrease in net sales of our licensed sports division and a $20.5 million decrease in net sales of our Jessica Howard and Eliza J line of products.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our retail operations segment decreased to $476.8 million from $502.5 million in the same period last year. Our retail operations report on a 52/53 week fiscal year. Net sales decreased by $6.9 million as a result of fiscal 2018 containing 53 weeks compared to 52 weeks in fiscal 2019. Net sales from our G.H. Bass store chain decreased by $22.3 million and net sales from our Wilsons store chain decreased by $6.7 million, excluding the impact of the 53</w:t>
      </w:r>
      <w:r>
        <w:rPr>
          <w:rFonts w:ascii="Arial" w:cs="Arial" w:eastAsia="Arial" w:hAnsi="Arial"/>
          <w:sz w:val="7"/>
          <w:szCs w:val="7"/>
          <w:color w:val="auto"/>
        </w:rPr>
        <w:t>rd</w:t>
      </w:r>
      <w:r>
        <w:rPr>
          <w:rFonts w:ascii="Arial" w:cs="Arial" w:eastAsia="Arial" w:hAnsi="Arial"/>
          <w:sz w:val="16"/>
          <w:szCs w:val="16"/>
          <w:color w:val="auto"/>
        </w:rPr>
        <w:t xml:space="preserve"> week in fiscal 2018. These declines were partially offset by an increase in net sales from our DKNY retail stores of $10.3 million, excluding the impact of the 53</w:t>
      </w:r>
      <w:r>
        <w:rPr>
          <w:rFonts w:ascii="Arial" w:cs="Arial" w:eastAsia="Arial" w:hAnsi="Arial"/>
          <w:sz w:val="7"/>
          <w:szCs w:val="7"/>
          <w:color w:val="auto"/>
        </w:rPr>
        <w:t>rd</w:t>
      </w:r>
      <w:r>
        <w:rPr>
          <w:rFonts w:ascii="Arial" w:cs="Arial" w:eastAsia="Arial" w:hAnsi="Arial"/>
          <w:sz w:val="16"/>
          <w:szCs w:val="16"/>
          <w:color w:val="auto"/>
        </w:rPr>
        <w:t xml:space="preserve"> week in fiscal 2018. Same store sales increased by 16.9% at DKNY retail stores. Same store sales decreased by 3.7% at G.H. Bass and by 1.6% at Wilsons. Net sales of our retail operations segment were negatively affected by the decrease in the number of stores operated by us from 367 at January 31, 2018 to 308 at January 31, 2019.</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was $1.11 billion, or 36.0% of net sales, for the fiscal year ended January 31, 2019, and $1.05 billion, or 37.6% of net sales, last year. The gross profit in our wholesale operations segment was $879.6 million, or 32.4% of net sales, for the fiscal year ended January 31, 2019, and $803.9 million, or 32.8% of net sales, last year. The gross profit percentage in our wholesale operations segment was negatively impacted by unfavorable product mix and the reclassification of cooperative advertising from selling, general and administrative expenses to a reduction in net sales beginning in fiscal 2019 in connection with the adoption of ASC 606. The gross profit percentage in our wholesale operations segment was positively impacted by an increase in licensing revenue for which there is no associated costs of goods sold. Our retail operations segment gross profit percentage was 47.7% for the fiscal year ended January 31, 2019 compared to 49.9% for the same period last year. This decrease is primarily the result of a decrease in the gross profit percentage of our DKNY retail stores compared to the same period last year.</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Selling, general and administrative expenses decreased to $834.8 million in fiscal 2019 from $855.2 million in fiscal 2018. Prior to the adoption of the guidance in ASC 606, cooperative advertising, relating to our participation in the advertising initiatives of our customers, was recorded under selling, general and administrative expenses. Under ASC 606, cooperative advertising expenses of $27.7 million in fiscal 2019 is recorded as a reduction to net sales. In fiscal 2018, $27.7 million of cooperative advertising was included in selling, general and administrative expenses. The Company recorded increased personnel costs of $1.7 million. Personnel expenses increased primarily as a result of an increase in bonus expense of $9.7 million resulting from higher income generated in our wholesale division offset, in part, by reduced personnel expenses as a result of store closures. Advertising costs increased by $6.3 million compared to the same period last year due to an increase in advertising purchased to promote the brands we own, increased advertising fees paid under many of our license agreements that are based on a percentage of net sales of licensed products, and an increase in expenses related to additional digital marketing initiatives. Third party warehouse expenses increased $3.9 million due to increased shipping volume. Facility expenses decreased $3.7 million primarily as a result of store closures.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increased to $38.8 million in fiscal 2019 from $37.8 million in the prior year. The increase in expense is due to capital expenditures during the current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2019, we recorded a $2.8 million impairment charge related to leasehold improvements and furniture and fixtures at certain of our Wilsons, G.H. Bass and DKNY stores as a result of the performance at these stores. In fiscal 2018, we recorded a $7.9 million impairment charge. This impairment charge included (i) a $6.5 million impairment charge related to leasehold improvements and furniture and fixtures at certain of our Wilsons, G.H. Bass and Vilebrequin stores as a result of the performance at these stores, (ii) a $0.7 million impairment charge with respect to furniture and fixtures located in certain customers’ stores and (iii) a $0.7 million write-off of goodwill related to the retail operations segment as a result of the performance of the retail operations segment.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loss increased to $1.4 million in fiscal 2019 from $1.0 million in fiscal 2018 as a result of greater foreign currency losses recorded for fiscal 2019. In addition, there were increased losses in our unconsolidated entities in fiscal 2019 compared to fiscal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financing charges, net for fiscal 2019, were $43.9 million compared to $43.5 million for the prior year. The increase is due to higher interest rates, offset, in part, by lower average borrowings.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for fiscal 2019 was $45.8 million compared to $47.9 million for the prior year. Our effective tax rate was 24.9% in fiscal 2019 compared to 43.6% in the prior year. This decrease in our effective tax rate is primarily the result of the reduction of the corporate tax rate from 35% to 21% as a result of the TCJA. Our effective tax rate in fiscal 2018 included a provisional charge recorded related to the enactment of the TCJA as discussed below.</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22, 2017, the TCJA was signed into law making significant changes to the Internal Revenue Code. Changes included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In accordance with TCJA, we recorded $6.9 million as additional income tax expense in the fourth quarter of fiscal 2018, the period in which the legislation was enacted. The additional income tax expense was comprised of approximately $3.3 million related to the transition tax and approximately $4.4 million related to revaluing U.S. deferred tax assets and liabilities using the new U.S. corporate tax rate of 21%. Other provisional impacts were primarily related to the state tax impact of the prorated reduced federal tax rate. Staff Accounting Bulletin No. 118 ("SAB 118") was issued to address the application of U.S. GAAP in situations when a company does not have the necessary information available, prepared, or analyzed to complete the accounting for certain income tax effects of the TCJA. December 22, 2018 marked the end of the measurement period for purposes of SAB 118. As such, we have completed our analysis based on legislative updates relating to TCJA, which resulted in an immaterial impact to our overall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January 31, 2018 (“fiscal 2018”) compared to year ended January 31, 2017 (“fiscal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fiscal 2018 increased to $2.81 billion from $2.39 billion in the prior year. Net sales of our segments are reported before intercompany eliminations.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our wholesale operations segment increased to $2.45 billion from $2.01 billion in the comparable period last year. Net sales from our DKNY and Donna Karan product lines accounted for $230.9 million in fiscal 2018 compared to $16.6 million in fiscal 2017 when we operated the business for only two months. The increase in net sales of our wholesale operations segment was also a result of a $138.6 million increase in net sales of Tommy Hilfiger licensed products primarily from our denim, women’s sportswear and women’s outerwear product categories, which were recently launched, as well as an increase in net sales in the men’s outerwear and dresses categories. The increase in net sales was also driven by a $85.7 million increase in net sales of Calvin Klein licensed products, primarily from dresses and women’s performance wear, and a $34.2 million increase in net sales of Karl Lagerfeld Paris licensed products. These increases are offset, in part, by a $38.3 million decrease in net sales of private label products and a $15.7 million decrease in net sales of Jessica Simpson licensed products, for which the license agreement was terminated in June 2017.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of our retail operations segment increased to $502.5 million from $474.2 million in the same period last year. Our retail operations report on a 52/53 week fiscal year. Net sales increased by $6.9 million as a result of fiscal 2018 containing 53 weeks compared to 52 weeks in fiscal 2017. The remainder of the increase in net sales was due to $69.9 million in net sales in fiscal 2018 from our DKNY retail stores compared to $12.3 million in net sales from these stores in fiscal 2017 when we only operated these stores for two months. These increases were offset, in part, by a decrease in net sales of $27.8 million from the G.H. Bass and $5.9 million from the Wilsons store chains. We operated 44 fewer stores as of January 31, 2018 compared to January 31, 2017. G.H. Bass same store sales decreased by 5.8% and Wilsons Leather same stores sales decrease by 1.7% compared to the prior year. The decrease in comparable store sales for G.H. Bass and Wilsons was impacted by declining customer traffic offset, in part, by increased transaction values.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profit was $1.05 billion, or 37.6% of net sales, for the fiscal year ended January 31, 2018, and $840.9 million, or 35.2% of net sales, last year. The gross profit in our wholesale operations segment was $804.3 million, or 32.8% of net sales, for the fiscal year ended January 31, 2018, and $633.6 million, or 31.3% of net sales, last year. The increase in gross profit percentage was in part the result of DKNY and Donna Karan licensing income for which there is no associated cost of goods sold. In addition, our wholesale segment’s gross profit was favorably impacted by improved gross profit as a result of increased gross margin percentage from our Calvin Klein dresses product line. Our retail operations segment gross profit percentage was 49.9% for the fiscal year ended January 31, 2018 compared to 43.6% for the same period last year. This increase in gross profit percentage of our retail operations segment is due to the increase in gross profit percentage of our G.H. Bass and Wilsons retail store chains as well as the addition of our DKNY retail stores, which had a higher gross profit percentage than our other retail stores. The increase in gross margin is also a result of a favorable weather during the outerwear season and less promotional activity than the same period in the prior year.</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Selling, general and administrative expenses increased to $855.2 million in fiscal 2018 from $704.4 million in fiscal 2017. The increased expense related to our Donna Karan business represented $133.6 million of this increase. The remainder of the increase is primarily due to increased personnel costs ($16.7 million), facility costs ($13.3 million) and advertising costs ($4.8 million). Personnel costs increased due to an increase in bonus accruals related to higher profitability and an increase in stock-based compensation expense. We also incurred additional staffing costs for new product lines under our license agreements offset by a decrease in personnel costs in our retail operations segment resulting from the reduction in the number of our retail stores. Facility costs increased because of increased shipping, storage and processing costs incurred at our third party warehouses. Advertising costs increased due to higher advertising fees paid to our licensors in connection with the increase in net sales of our licensed products, and an increase in cooperative advertising related to the increase in net sales of our wholesale operations segment. These increases were offset, in part, by a decrease in professional fees ($7.4 million) related to fees incurred in fiscal 2017 in connection with the acquisition of DKI.</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increased to $37.8 million in fiscal 2018 from $32.5 million in the prior year. These expenses increased primarily because of additional depreciation and amortization expenses incurred as a result of the acquisition of DKI. These increases were offset, in part, by depreciation not incurred in fiscal 2018 relating to fixed assets impaired in the fourth quarter of fiscal 2017.</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fiscal 2018, we recorded a $7.9 million impairment charge. This impairment charge included (i) a $6.5 million impairment charge related to leasehold improvements and furniture and fixtures at certain of our Wilsons, G.H. Bass and Vilebrequin stores as a result of the performance at these stores, (ii) a $0.7 million impairment charge with respect to furniture and fixtures located in certain customers’ stores and (iii) a $0.7 million write-off of goodwill related to the retail operations segment as a result of the performance of the retail operations segment. In fiscal 2017, we recorded a $10.5 million impairment charge with respect to leasehold improvements and furniture and fixtures at certain of our Wilsons and G.H. Bass stores as a result of poor performance in these stores.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and financing charges, net for fiscal 2018, were $43.5 million compared to $15.7 million for the prior year. The increase in interest and financing charges is a result of the interest incurred with respect to the bank loans and the note issued to the seller in connection with the acquisition of DKI and the amortization of the capitalized debt issuance costs related to this debt. These costs were amortized over a full year in fiscal 2018 compared to two months in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Income tax expense for fiscal 2018 was $47.9 million compared to $25.8 million for the prior year. Our effective tax rate was 43.6% in fiscal 2018 compared to 33.2% in the prior year. This increase in our effective tax rate is mainly a result of the provisional charges relating to the enactment of the Tax Cuts and Jobs Act (“TCJA”) as further discussed below and a reduced tax benefit in fiscal 2018 of $1.4 million compared to a $3.1 million tax benefit realized in fiscal 2017 in connection with the vesting of equity awards subsequent to the adoption of ASU 2016</w:t>
      </w:r>
      <w:r>
        <w:rPr>
          <w:rFonts w:ascii="MS PGothic" w:cs="MS PGothic" w:eastAsia="MS PGothic" w:hAnsi="MS PGothic"/>
          <w:sz w:val="17"/>
          <w:szCs w:val="17"/>
          <w:color w:val="auto"/>
        </w:rPr>
        <w:t>‑</w:t>
      </w:r>
      <w:r>
        <w:rPr>
          <w:rFonts w:ascii="Arial" w:cs="Arial" w:eastAsia="Arial" w:hAnsi="Arial"/>
          <w:sz w:val="17"/>
          <w:szCs w:val="17"/>
          <w:color w:val="auto"/>
        </w:rPr>
        <w:t>09.</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U.S. government enacted a tax legislation commonly referred to as the TCJA. The TCJA significantly changes U.S. corporate income tax laws by, among other things, reducing the U.S. corporate income tax rate to 21% (effective January 1, 2018) and moving from a global taxation to a modified territorial tax regime. As part of the legislation, U.S. companies are required to pay a tax on historical foreign earnings that have not been repatriated to the U.S. and revalue its deferred tax asset and liability positions at the lower federal base tax rate of 21%. The Company incurred income tax expense of approximately $3.3 million as a result of the repatriation of foreign earnings and approximately $4.4 million related to revaluation of its deferred tax asset and liability positions for fiscal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Donna Karan International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 2016, G-III acquired all of the outstanding capital stock of DKI from LVMH for a total purchase price of approximately $674.4 million, after taking into account certain adjustments. The purchase price was paid by us with a combination of (i) cash, (ii) $75.0 million of newly issued shares of our common stock to LVMH and (iii) a junior lien secured promissory note in favor of LVMH in the principal amount of $125 million. The cash portion of the purchase price was paid from proceeds of the borrowings under the new financing agreements entered into in connection with the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2016, we entered into an amended and restated credit agreement (the “ABL Credit Agreement”) with the Lenders named therein and with JPMorgan Chase Bank, N.A., as Administrative Agent. The ABL Credit Agreement is a five-year senior secured credit facility providing for borrowings in the aggregate principal amount of up to $650 million. We and certain of our subsidiaries are Loan Guarantors under the ABL Credit Agreement.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ABL Credit Agreement refinanced, amended and restated the credit agreement in effect prior to the acquisition of DKI (the “prior credit agreement”). The prior credit agreement provided for borrowings of up to $450 million and was due to expire in August 2017.</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Amounts available under the ABL Credit Agreement are subject to borrowing base formulas and over advances as specified in the ABL Credit Agreement.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Borrowers’ availability under the ABL Credit Agreement. As of January 31, 2019, interest under the ABL Credit Agreement was being paid at the average rate of 3.77% per annum. The ABL Credit Agreement is secured by specified assets of us and certain of our subsidiaries.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paying interest on any outstanding borrowings under the new revolving credit facility, we are required to pay a commitment fee to the lenders under the ABL Credit Agreement with respect to the unutilized commitments. The commitment fee shall accrue at a rate equal to 0.25% per annum on the average daily amount of the available commitment.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ABL Credit Agreement contains a number of covenants that, among other things, restrict the Company’s ability, subject to specified exceptions, to incur additional debt; incur liens; sell or dispose of assets; merge with other companies; liquidate or dissolve itself; acquire other companies; make loans, advances, or guarantees; and make certain investments. In certain circumstances, the credit agreement also requires G-III to maintain a minimum fixed charge coverage ratio, as defined, that may not exceed 1.00 to 1.00 for each period of twelve consecutive fiscal months of holdings. As of January 31, 2019,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 2016, we entered into a Credit Agreement with the lenders party thereto and Barclays Bank PLC, as administrative agent and collateral agent (the “Term Loan Credit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Credit Agreement provides for term loans in an aggregate principal amount of $350.0 million (the “Term Loans”), which were drawn in full on December 1, 2016. We used the proceeds to fund a portion of the purchase price with respect to the acquisition of DKI, with the remainder being used for general corporate purposes. Also on December 1, 2016, we prepaid $50 million in principal amount of the Term Loans, reducing the principal balance of the Term Loans to $300 million. The Term Loans and other obligations under the Term Loan Credit Agreement are guaranteed by certain of the Company’s restricted subsidiaries (the “Guarantors”).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Term Loan Credit Agreement permits the Company to incur, from time to time, additional incremental term loans under the Term Loan Credit Agreement (subject to obtaining commitments for such term loans)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 indebtedness, subject to an overall limit of (x) $125.0 million plus (y) such additional amount that would cause the Company’s first lien leverage ratio not to exceed 2.25 to 1.00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Any such incremental term loans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 indebtedness are permitted to share in the Collateral described below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and Interest Rate</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Term Loan will mature in December 2022. Interest on the outstanding principal amount of the Term Loan accrues at a rate equal to LIBOR, subject to 1% floor, plus an applicable margin of 5.25% or an alternate base rate (defined as the greatest of (i) the “prime rate” as published by the Wall Street Journal from time to time, (ii) the federal funds rate plus 0.5% and</w:t>
      </w:r>
    </w:p>
    <w:p>
      <w:pPr>
        <w:ind w:firstLine="3"/>
        <w:spacing w:after="0" w:line="261"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4.25%, per annum, payable in cash. As of January 31, 2019, interest under the Term Loan was being paid at the average rate of 7.48%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permitted liens and other exclusions and exceptions, the Term Loans are secured (i) on a first-priority basis by a lien on, among other things, our real estate assets, equipment and fixtures, equity interests and intellectual property and certain related rights owned by us and the Guarantors (the “Term Priority Collateral”) and (ii) by a second-priority security interest in our and the Guarantors’ other assets (together with the Term Priority Collateral, the “Collateral”), which will secure on a first-priority basis our asset-based loan facility described above under the caption “— Amended and Restated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Prepayment</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Loans may be prepaid, at the option of the Company, in whole or in part, at any time at par plus accrued interest. On December 1, 2016, we prepaid $50.0 million of the outstanding balance of the loan. We paid a fee of $0.5 million to the lenders in connection with this prepayment.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Loans are required to be prepaid with the proceeds of certain asset sales if such proceeds are not applied as required by the Term Loan Credit Agreement within certain specified deadlines.</w:t>
      </w:r>
    </w:p>
    <w:p>
      <w:pPr>
        <w:spacing w:after="0" w:line="1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 As of January 31, 2019, we were not required to make a prepayment based on excess cash flow.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specified change of control events constitute an event of default under the Term Loan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January 31, 2019 the Company was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Term Loan Credit Agreement limits our and our restricted subsidiaries’ ability to:</w:t>
      </w:r>
    </w:p>
    <w:p>
      <w:pPr>
        <w:spacing w:after="0" w:line="131"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dividend payments or other restricted payments;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 (including securities of our restricted subsidiaries);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certain restrictions on dividends and transfers of assets by our restricted subsidiaries;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types of transactions with shareholders and affiliates;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our assets.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covenants are subject to exceptions and qualifications. The Term Loan Credit Agreement also contains affirmative covenants and events of default that are customary for credit agreements governing term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LVMH Note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2016, 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issuance of the LVMH Note, LVMH entered into (i) a subordination agreement with Barclays Bank PLC, as administrative agent for the lenders party to the Term Loan Credit Agreement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Term Loan Credit Agreement, and (ii) a pledge and security agreement with us and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Borrowings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significant additional debt in connection with our acquisition of DKI. We had no borrowings outstanding under the ABL Credit Agreement at January 31, 2019 and had $12.0 million in borrowings outstanding under the ABL Credit Agreement at January 31, 2018. In addition, we had $300.0 million in borrowings outstanding under the Term Loan Credit Agreement at both January 31, 2019 and 2018. Our contingent liability under open letters of credit was approximately $14.8 million at January 31, 2019 and $6.4 million at January 31, 2018. In addition to the amounts outstanding under these two loan agreements, at January 31, 2019 and 2018, we had $125 million of face value principal amount outstanding under the LVMH Note.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 of Common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the purchase price for the acquisition of DKI, we issued to LVMH 2,608,877 shares of our common stock. These shares were valued at $28.748 per share, which price per share is the volume weighted average price of our common stock on the Nasdaq Stock Market over the five consecutive trading days ended November 30, 2016. The shares were issued pursuant to the exemption from registration provided under Regulation D and Section 4(a)(2) of the Securities Act, as a transaction with a single, sophisticated investor not involving a public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Fabco Holding B.V.</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2017, we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We own 49% of the joint venture, with Amlon owning the remaining 51%. The joint venture was funded with $25 million of equity to be used to strengthen the DKNY and Donna Karan brands and accelerate the growth of the business in the region. Of this amount, we contributed an aggregate of $10.0 million. Starting January 1, 2018, this joint venture is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Consolidated Balance Sheets at January 31,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Karl Lagerfeld Holding B.V.</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we acquired a 19% minority interest in KLH, the parent company of the group that holds the worldwide rights to the Karl Lagerfeld brand. We paid 32.5€ million (equal to $35.4 million at the date of the transaction) for this interest. This investment is intended to expand the partnership between us and the owners of Karl Lagerfeld and extend their business development opportunities on a global scale. The investment in KLH, which is being accounted for under the equity method of accounting, is reflected in Investment in Unconsolidated Affiliates in our Consolidated Balance Sheets at January 31, 2019 and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authorized a share repurchase program of 5,000,000 shares. During the quarter ended January 31, 2019, pursuant to this program, we acquired 723,072 of our shares of common stock for an aggregate purchase price of $20.3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March 25, 2019, we had approximately 48,708,410 shares of common stock outstanding.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January 31, 2019, we had cash and cash equivalents of $70.1 million. We generated $103.8 million of cash from operating activities in fiscal 2019, primarily as a result of our net income of $138.1 million, a $177.1 million increase in customer refund liabilities, non-cash depreciation and amortization of $38.8 million and non-cash share-based compensation of $19.7 million. These increases were offset, in part, by a $207.9 million increase in accounts receivable, a $48.0 million increase in prepaid expenses and other current assets, and a $23.6 million increase in inventories.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changes in accounts receivable and customer refund liabilities are mainly the result of the adoption of ASC 606. The adoption of ASC 606 resulted in recognizing the cumulative effect adjustment to the opening balance of retained earnings and classifying, on a prospective basis, the reserves for variable consideration from accounts receivable to customer refund liabilities. The adoption of ASC 606 also resulted in the classification, on a prospective basis, of the carrying value of the inventory return asset from inventories to prepaid expenses and other current assets. Excluding the impact of ASC 606, accounts receivable would have increased approximately 10%, which is consistent with our sales growth, and inventory would have increased approximately 12%. Inventory levels at DKNY have grown consistent with the launch and development of new product lines and we received inventory earlier in fiscal 2019 in anticipation of the Chinese New Year shutdown of certain of the factories of certain of our suppliers.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January 31, 2018, we had cash and cash equivalents of $45.8 million. We generated $79.7 million of cash from operating activities in fiscal 2018, primarily as a result of our net income of $62.1 million, an increase in account payables and accrued expenses of $10.7 million, a decrease in prepaid income taxes, net, of $11.3 million and a decrease in other assets of $11.0 million, as well as non-cash charges totaling $87.3 million related to depreciation and amortization, equity based compensation, amortization of financing costs and impairment of assets. These amounts were offset, in part, by an increase of $68.8 million in inventory and $29.9 million in accounts receivable.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inventory is due to the expected increase in net sales in the first quarter of fiscal 2019 compared to the first quarter of fiscal 2018. The increase in accounts receivables is due to the increased net sales in the fourth quarter of fiscal 2018 compared to the same period last year. The decrease in prepaid income taxes, net is mainly the result of the timing of our tax payments compared to the same period in the prior year. The decrease in other assets was mainly driven by the adjustments made to goodwill. The increase in accounts payable and accrued expenses was the result of increased finished goods purchases to accommodate our increase in net sales.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January 31, 2017, we had cash and cash equivalents of $80.0 million. We generated $105.7 million of cash from operating activities in fiscal 2017, primarily as a result of our net income of $51.9 million, non-cash charges of $32.5 million for depreciation and amortization and $16.9 million for equity based compensation, as well as a decrease in prepaid income taxes, net of $14.2 million. These amounts were offset, in part, by an increase of $29.3 million in accounts receivable.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accounts receivables is due to additional receivables acquired in connection with the acquisition of DKI and the increase in the fourth quarter net sales compared to the same period last year. The decrease in prepaid income taxes, net is mainly the result of the timing of our tax payments compared to the same period in the prior year.</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purchase agreement, G-III and LVMH agreed to make an election under Section 338(h)(10) of the Internal Revenue Code, which would allow us to step up the basis in the assets acquired. We had initially estimated that the benefit from this election would be in excess of $10 million annually. This benefit will be realized over a fifteen-year period if we have taxable income in the United States in an amount greater than $40 million per year. However, with the enactment of the TCJA, our estimated benefit is approximately $6 million annually reflecting the change to our federal tax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2019, we used $37.3 million of cash in investing activities. The cash used in investing activities consisted of $29.2 million in capital expenditures primarily related to additional fixturing costs at department stores, as well as improvements and remodels of our retail stores, and $9.9 million for funding the remaining obligation of our investment in Fabco Holding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2018, we used $33.9 million of cash in investing activities. The cash used in investing activities consisted of capital expenditures related to additional fixturing costs at department stores, as well as renovating, repurposing and relocating G.H. Bass and Wilsons Leather stores to Karl Lagerfeld Paris and DKNY stores.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fiscal 2017, we used $525.8 million in investing activities of which $465.4 million was in connection with the acquisition of DKI. We also used $24.9 million for capital expenditures, primarily related to fixturing costs at department stores, and $35.4 million for the investment in KLH.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fiscal 2019, we used $38.0 million of cash in financing activities. We used $20.3 million of cash to repurchase 723,072 shares of our common stock under our share repurchase program, $12.0 million to reduce net borrowings under our revolving credit facility and $5.7 million for taxes paid with respect to net share settlements.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2018, we used $83.7 million of cash in financing activities primarily for the reduction in net borrowings under our credit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from financing activities provided $367.6 million in fiscal 2017, primarily from additional borrowings to finance the DKI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Needs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See Note A.18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have any “off-balance sheet arrangements” as such term is defined in Item 303 of Regulation S-K of the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2019, our contractual obligations were as follows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234"/>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4-5 Years</w:t>
            </w:r>
          </w:p>
        </w:tc>
        <w:tc>
          <w:tcPr>
            <w:tcW w:w="84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$ 149.4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 xml:space="preserve">Minimum royalty payments </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154.2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8"/>
                <w:szCs w:val="8"/>
                <w:color w:val="auto"/>
              </w:rPr>
              <w:t>(3)</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$ 336.7</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obligations to pay minimum scheduled royalty, advertising and other required payments under various license agreements.</w:t>
      </w:r>
    </w:p>
    <w:p>
      <w:pPr>
        <w:spacing w:after="0" w:line="43" w:lineRule="exact"/>
        <w:rPr>
          <w:rFonts w:ascii="Arial" w:cs="Arial" w:eastAsia="Arial" w:hAnsi="Arial"/>
          <w:sz w:val="15"/>
          <w:szCs w:val="15"/>
          <w:color w:val="auto"/>
        </w:rPr>
      </w:pPr>
    </w:p>
    <w:p>
      <w:pPr>
        <w:ind w:left="320" w:right="20" w:hanging="317"/>
        <w:spacing w:after="0" w:line="284"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$300.0 million related to our Term Loan that will mature in 2022 and $125.0 million in face principal amount of the note issued to LVMH payable in 2023. We had no borrowings outstanding under our revolving credit facility as of January 31, 2019.</w:t>
      </w:r>
    </w:p>
    <w:p>
      <w:pPr>
        <w:ind w:left="320" w:right="20" w:hanging="317"/>
        <w:spacing w:after="0" w:line="288"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outstanding trade letters of credit, which represent inventory purchase commitments, which typically mature in less than six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Risks and Commodity Price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from the non-U.S. operations of Vilebrequin and DKI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Exposure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exposure to changes in interest rates relating to our Term Loan and our revolving credit facility. We borrow under our revolving credit facility to support general corporate purposes, including capital expenditures and working capital needs. Interest rates increased in fiscal 2018 and 2019 and any increase in interest rates by the Federal Reserve in fiscal 2020 will result in a further increase in our interest expense under our Term Loan and revolving credit facility. Based on the outstanding balances of our Term Loan and our revolving credit facility as of January 31, 2019, we estimate that each 100 basis point increase in our borrowing rates would result in additional interest expense to us of approximately $3.1 million.</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Financial statements and supplementary data required pursuant to this Item begin on page F</w:t>
      </w:r>
      <w:r>
        <w:rPr>
          <w:rFonts w:ascii="MS PGothic" w:cs="MS PGothic" w:eastAsia="MS PGothic" w:hAnsi="MS PGothic"/>
          <w:sz w:val="18"/>
          <w:szCs w:val="18"/>
          <w:color w:val="auto"/>
        </w:rPr>
        <w:t>‑</w:t>
      </w:r>
      <w:r>
        <w:rPr>
          <w:rFonts w:ascii="Arial" w:cs="Arial" w:eastAsia="Arial" w:hAnsi="Arial"/>
          <w:sz w:val="18"/>
          <w:szCs w:val="18"/>
          <w:color w:val="auto"/>
        </w:rPr>
        <w:t>1 of this Report.</w:t>
      </w:r>
    </w:p>
    <w:p>
      <w:pPr>
        <w:spacing w:after="0" w:line="221" w:lineRule="exact"/>
        <w:rPr>
          <w:sz w:val="20"/>
          <w:szCs w:val="20"/>
          <w:color w:val="auto"/>
        </w:rPr>
      </w:pPr>
    </w:p>
    <w:p>
      <w:pPr>
        <w:ind w:left="840" w:right="240" w:hanging="842"/>
        <w:spacing w:after="0" w:line="277" w:lineRule="auto"/>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As of January 31, 2019, our management, including the Chief Executive Officer and Chief Financial Officer, carried out an evaluation of the effectiveness of the design and operation of our disclosure controls and procedures (as such term is defined in Rule 13a</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issued by the Committee of Sponsoring Organizations of the Treadway Commission,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Based on its assessment, management has concluded that we maintained effective internal control over financial reporting as of January 31, 2019, based on criteria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COSO.</w:t>
      </w:r>
    </w:p>
    <w:p>
      <w:pPr>
        <w:spacing w:after="0" w:line="12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w:t>
      </w:r>
      <w:r>
        <w:rPr>
          <w:rFonts w:ascii="MS PGothic" w:cs="MS PGothic" w:eastAsia="MS PGothic" w:hAnsi="MS PGothic"/>
          <w:sz w:val="17"/>
          <w:szCs w:val="17"/>
          <w:color w:val="auto"/>
        </w:rPr>
        <w:t>‑</w:t>
      </w:r>
      <w:r>
        <w:rPr>
          <w:rFonts w:ascii="Arial" w:cs="Arial" w:eastAsia="Arial" w:hAnsi="Arial"/>
          <w:sz w:val="17"/>
          <w:szCs w:val="17"/>
          <w:color w:val="auto"/>
        </w:rPr>
        <w:t>2 and F</w:t>
      </w:r>
      <w:r>
        <w:rPr>
          <w:rFonts w:ascii="MS PGothic" w:cs="MS PGothic" w:eastAsia="MS PGothic" w:hAnsi="MS PGothic"/>
          <w:sz w:val="17"/>
          <w:szCs w:val="17"/>
          <w:color w:val="auto"/>
        </w:rPr>
        <w:t>‑</w:t>
      </w:r>
      <w:r>
        <w:rPr>
          <w:rFonts w:ascii="Arial" w:cs="Arial" w:eastAsia="Arial" w:hAnsi="Arial"/>
          <w:sz w:val="17"/>
          <w:szCs w:val="17"/>
          <w:color w:val="auto"/>
        </w:rPr>
        <w:t>3 of this Form 10</w:t>
      </w:r>
      <w:r>
        <w:rPr>
          <w:rFonts w:ascii="MS PGothic" w:cs="MS PGothic" w:eastAsia="MS PGothic" w:hAnsi="MS PGothic"/>
          <w:sz w:val="17"/>
          <w:szCs w:val="17"/>
          <w:color w:val="auto"/>
        </w:rPr>
        <w:t>‑</w:t>
      </w:r>
      <w:r>
        <w:rPr>
          <w:rFonts w:ascii="Arial" w:cs="Arial" w:eastAsia="Arial" w:hAnsi="Arial"/>
          <w:sz w:val="17"/>
          <w:szCs w:val="17"/>
          <w:color w:val="auto"/>
        </w:rPr>
        <w:t>K and express unqualified opinions on the consolidated financial statements and the effectiveness of our internal control over financial reporting.</w:t>
      </w:r>
    </w:p>
    <w:p>
      <w:pPr>
        <w:spacing w:after="0" w:line="20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w:t>
      </w:r>
      <w:r>
        <w:rPr>
          <w:rFonts w:ascii="MS PGothic" w:cs="MS PGothic" w:eastAsia="MS PGothic" w:hAnsi="MS PGothic"/>
          <w:sz w:val="18"/>
          <w:szCs w:val="18"/>
          <w:color w:val="auto"/>
        </w:rPr>
        <w:t>‑</w:t>
      </w:r>
      <w:r>
        <w:rPr>
          <w:rFonts w:ascii="Arial" w:cs="Arial" w:eastAsia="Arial" w:hAnsi="Arial"/>
          <w:sz w:val="18"/>
          <w:szCs w:val="18"/>
          <w:color w:val="auto"/>
        </w:rPr>
        <w:t>K and should not be considered part of this or any other report we file with or furnish to the Securities and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401 of Regulation S-K regarding directors is contained under the heading “Proposal No. 1</w:t>
      </w:r>
    </w:p>
    <w:p>
      <w:pPr>
        <w:spacing w:after="0" w:line="46"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 Election of Directors” in our definitive Proxy Statement (the “Proxy Statement”) relating to our Annual Meeting of Stockholders to be held on or about June 13, 2019, to be filed pursuant to Regulation 14A of the Securities Exchange Act of 1934 with the Securities and Exchange Commission, and is incorporated herein by reference. For information concerning our executive officers, see “Business — Executive Officers of the Registrant” in Item 1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Item 405 of Regulation S-K is contained under the heading “Section 16(a) Beneficial Ownership Reporting Compliance”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11 is contained under the headings “Executive Compensation” and “Compensation Committee Report” in our Proxy Statement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20" w:right="860" w:hanging="906"/>
        <w:spacing w:after="0" w:line="277" w:lineRule="auto"/>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as of January 31, 2019, the last day of fiscal 2019, regarding securities issued under G-III’s equity compensation plans that were in effect during fiscal 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49"/>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2"/>
                <w:szCs w:val="12"/>
                <w:color w:val="auto"/>
              </w:rPr>
            </w:pPr>
          </w:p>
        </w:tc>
        <w:tc>
          <w:tcPr>
            <w:tcW w:w="1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(a)</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6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Equity compensation plans approved by security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1,874,130</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(1)</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(2)</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717,381</w:t>
            </w: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security holders</w:t>
            </w: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0"/>
              </w:rPr>
              <w:t>(1)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0"/>
              </w:rPr>
              <w:t>(2)</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717,381 </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640" w:hanging="367"/>
        <w:spacing w:after="0" w:line="265"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outstanding awards of 1,821,619 shares of Common Stock issuable upon vesting of restricted stock units (‘‘RSUs’’) and stock options for 55,311 shares of common stock. Outstanding stock options have a weighted average exercise price of $15.70 and a weighted average remaining term of 1.95 years.</w:t>
      </w:r>
    </w:p>
    <w:p>
      <w:pPr>
        <w:spacing w:after="0" w:line="2" w:lineRule="exact"/>
        <w:rPr>
          <w:rFonts w:ascii="Arial" w:cs="Arial" w:eastAsia="Arial" w:hAnsi="Arial"/>
          <w:sz w:val="16"/>
          <w:szCs w:val="16"/>
          <w:color w:val="auto"/>
        </w:rPr>
      </w:pPr>
    </w:p>
    <w:p>
      <w:pPr>
        <w:ind w:left="640" w:hanging="367"/>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RSUs are excluded when determining the weighted average exercise price of outstanding stock options.</w:t>
      </w:r>
    </w:p>
    <w:p>
      <w:pPr>
        <w:spacing w:after="0" w:line="28" w:lineRule="exact"/>
        <w:rPr>
          <w:rFonts w:ascii="Arial" w:cs="Arial" w:eastAsia="Arial" w:hAnsi="Arial"/>
          <w:sz w:val="16"/>
          <w:szCs w:val="16"/>
          <w:color w:val="auto"/>
        </w:rPr>
      </w:pPr>
    </w:p>
    <w:p>
      <w:pPr>
        <w:ind w:left="640" w:hanging="367"/>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Under </w:t>
      </w:r>
      <w:r>
        <w:rPr>
          <w:rFonts w:ascii="Arial" w:cs="Arial" w:eastAsia="Arial" w:hAnsi="Arial"/>
          <w:sz w:val="14"/>
          <w:szCs w:val="14"/>
          <w:color w:val="auto"/>
        </w:rPr>
        <w:t>our</w:t>
      </w:r>
      <w:r>
        <w:rPr>
          <w:rFonts w:ascii="Arial" w:cs="Arial" w:eastAsia="Arial" w:hAnsi="Arial"/>
          <w:sz w:val="16"/>
          <w:szCs w:val="16"/>
          <w:color w:val="auto"/>
        </w:rPr>
        <w:t xml:space="preserve"> 2015 Long-Term Incentive Plan.</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is contained under the headings “Certain Relationships and Related Transactions” and “Corporate Governance” in our Proxy Statement and is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is contained under the heading “Principal Accounting Fees and Services” in our Proxy Statement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640" w:hanging="36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640" w:hanging="36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The Financial Statements and Financial Statement Schedules are listed in the accompanying index to consolidated financial statements beginning on page F</w:t>
      </w:r>
      <w:r>
        <w:rPr>
          <w:rFonts w:ascii="MS PGothic" w:cs="MS PGothic" w:eastAsia="MS PGothic" w:hAnsi="MS PGothic"/>
          <w:sz w:val="17"/>
          <w:szCs w:val="17"/>
          <w:color w:val="auto"/>
        </w:rPr>
        <w:t>‑</w:t>
      </w:r>
      <w:r>
        <w:rPr>
          <w:rFonts w:ascii="Arial" w:cs="Arial" w:eastAsia="Arial" w:hAnsi="Arial"/>
          <w:sz w:val="17"/>
          <w:szCs w:val="17"/>
          <w:color w:val="auto"/>
        </w:rPr>
        <w:t>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exhibits filed as part of this report or incorporated herein by reference are management contracts or compensatory plans or arrangements: Exhibits 10.1, 10.1(a), 10.1(b), 10.1(c), 10.1(d), 10.6, 10.6(a), 10.6(b), 10.6 (c), 10.6 (d), 10.6(e), 10.7, 10.7(a), 10.7(b), 10.7(c), 10.7(d), 10.8, 10.9, 10.9(a), 10.9(b), 10.9(c), 10.9(d), 10.12, 10.13, 10.13(a), 10.14, 10.15 and 10.16.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60" w:type="dxa"/>
            <w:vAlign w:val="bottom"/>
            <w:gridSpan w:val="21"/>
            <w:vMerge w:val="restart"/>
          </w:tcPr>
          <w:p>
            <w:pPr>
              <w:ind w:left="40"/>
              <w:spacing w:after="0"/>
              <w:rPr>
                <w:sz w:val="20"/>
                <w:szCs w:val="20"/>
                <w:color w:val="auto"/>
              </w:rPr>
            </w:pPr>
            <w:r>
              <w:rPr>
                <w:rFonts w:ascii="Arial" w:cs="Arial" w:eastAsia="Arial" w:hAnsi="Arial"/>
                <w:sz w:val="14"/>
                <w:szCs w:val="14"/>
                <w:b w:val="1"/>
                <w:bCs w:val="1"/>
                <w:color w:val="auto"/>
              </w:rPr>
              <w:t>Document</w:t>
            </w: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42"/>
        </w:trPr>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160" w:type="dxa"/>
            <w:vAlign w:val="bottom"/>
            <w:gridSpan w:val="21"/>
            <w:vMerge w:val="continue"/>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Form</w:t>
            </w: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File No.</w:t>
            </w:r>
          </w:p>
        </w:tc>
        <w:tc>
          <w:tcPr>
            <w:tcW w:w="7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5040" w:type="dxa"/>
            <w:vAlign w:val="bottom"/>
            <w:tcBorders>
              <w:top w:val="single" w:sz="8" w:color="auto"/>
              <w:bottom w:val="single" w:sz="8" w:color="0000EE"/>
            </w:tcBorders>
            <w:gridSpan w:val="21"/>
            <w:shd w:val="clear" w:color="auto" w:fill="CCEEFF"/>
          </w:tcPr>
          <w:p>
            <w:pPr>
              <w:spacing w:after="0" w:line="170"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Stock Purchase Agreement, dated as of July 22, 2016, by and between</w:t>
              </w:r>
            </w:hyperlink>
          </w:p>
        </w:tc>
        <w:tc>
          <w:tcPr>
            <w:tcW w:w="220" w:type="dxa"/>
            <w:vAlign w:val="bottom"/>
            <w:tcBorders>
              <w:top w:val="single" w:sz="8" w:color="auto"/>
              <w:bottom w:val="single" w:sz="8" w:color="CCEEFF"/>
            </w:tcBorders>
            <w:gridSpan w:val="6"/>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7/28/2016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5"/>
              </w:rPr>
            </w:pPr>
            <w:hyperlink r:id="rId71">
              <w:r>
                <w:rPr>
                  <w:rFonts w:ascii="Arial" w:cs="Arial" w:eastAsia="Arial" w:hAnsi="Arial"/>
                  <w:sz w:val="18"/>
                  <w:szCs w:val="18"/>
                  <w:color w:val="0000EE"/>
                  <w:w w:val="95"/>
                </w:rPr>
                <w:t>G-III Apparel Group, Ltd. (“G-III”) and LVMH Moet Hennessy Louis</w:t>
              </w:r>
            </w:hyperlink>
          </w:p>
        </w:tc>
        <w:tc>
          <w:tcPr>
            <w:tcW w:w="38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40" w:type="dxa"/>
            <w:vAlign w:val="bottom"/>
            <w:gridSpan w:val="29"/>
            <w:shd w:val="clear" w:color="auto" w:fill="CCEEFF"/>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Vuitton Inc. (“LVMH”) (including the exhibits thereto).</w:t>
              </w:r>
            </w:hyperlink>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2.1(a)</w:t>
            </w:r>
          </w:p>
        </w:tc>
        <w:tc>
          <w:tcPr>
            <w:tcW w:w="160" w:type="dxa"/>
            <w:vAlign w:val="bottom"/>
          </w:tcPr>
          <w:p>
            <w:pPr>
              <w:spacing w:after="0"/>
              <w:rPr>
                <w:sz w:val="15"/>
                <w:szCs w:val="15"/>
                <w:color w:val="auto"/>
              </w:rPr>
            </w:pPr>
          </w:p>
        </w:tc>
        <w:tc>
          <w:tcPr>
            <w:tcW w:w="5060" w:type="dxa"/>
            <w:vAlign w:val="bottom"/>
            <w:tcBorders>
              <w:bottom w:val="single" w:sz="8" w:color="0000EE"/>
            </w:tcBorders>
            <w:gridSpan w:val="22"/>
          </w:tcPr>
          <w:p>
            <w:pPr>
              <w:spacing w:after="0" w:line="17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Amendment No. 1 to Stock Purchase Agreement, dated November 30,</w:t>
              </w:r>
            </w:hyperlink>
          </w:p>
        </w:tc>
        <w:tc>
          <w:tcPr>
            <w:tcW w:w="380" w:type="dxa"/>
            <w:vAlign w:val="bottom"/>
            <w:gridSpan w:val="7"/>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2"/>
              </w:rPr>
              <w:t>12/6/2016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2016, by and between G-III and LVMH.</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5440" w:type="dxa"/>
            <w:vAlign w:val="bottom"/>
            <w:gridSpan w:val="29"/>
            <w:vMerge w:val="restart"/>
            <w:shd w:val="clear" w:color="auto" w:fill="CCEEFF"/>
          </w:tcPr>
          <w:p>
            <w:pPr>
              <w:spacing w:after="0"/>
              <w:rPr>
                <w:sz w:val="20"/>
                <w:szCs w:val="20"/>
                <w:color w:val="auto"/>
              </w:rPr>
            </w:pPr>
            <w:r>
              <w:rPr>
                <w:rFonts w:ascii="Arial" w:cs="Arial" w:eastAsia="Arial" w:hAnsi="Arial"/>
                <w:sz w:val="18"/>
                <w:szCs w:val="18"/>
                <w:color w:val="auto"/>
              </w:rPr>
              <w:t>Certificate of Incorporation.</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8-K</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7/2/2008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40" w:type="dxa"/>
            <w:vAlign w:val="bottom"/>
            <w:gridSpan w:val="29"/>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18183</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3.1(a)</w:t>
            </w:r>
          </w:p>
        </w:tc>
        <w:tc>
          <w:tcPr>
            <w:tcW w:w="160" w:type="dxa"/>
            <w:vAlign w:val="bottom"/>
          </w:tcPr>
          <w:p>
            <w:pPr>
              <w:spacing w:after="0"/>
              <w:rPr>
                <w:sz w:val="15"/>
                <w:szCs w:val="15"/>
                <w:color w:val="auto"/>
              </w:rPr>
            </w:pPr>
          </w:p>
        </w:tc>
        <w:tc>
          <w:tcPr>
            <w:tcW w:w="514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Certificate of Amendment of Certificate of Incorporation, dated June 8,</w:t>
              </w:r>
            </w:hyperlink>
          </w:p>
        </w:tc>
        <w:tc>
          <w:tcPr>
            <w:tcW w:w="300" w:type="dxa"/>
            <w:vAlign w:val="bottom"/>
            <w:gridSpan w:val="5"/>
          </w:tcPr>
          <w:p>
            <w:pPr>
              <w:spacing w:after="0"/>
              <w:rPr>
                <w:sz w:val="15"/>
                <w:szCs w:val="15"/>
                <w:color w:val="auto"/>
              </w:rPr>
            </w:pPr>
          </w:p>
        </w:tc>
        <w:tc>
          <w:tcPr>
            <w:tcW w:w="8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3"/>
              </w:rPr>
              <w:t>10-Q (Q2</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2"/>
              </w:rPr>
              <w:t>9/13/2006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5"/>
          </w:tcPr>
          <w:p>
            <w:pPr>
              <w:ind w:left="16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2006.</w:t>
              </w:r>
            </w:hyperlink>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2007)</w:t>
            </w: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3.1(b)</w:t>
            </w:r>
          </w:p>
        </w:tc>
        <w:tc>
          <w:tcPr>
            <w:tcW w:w="16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Amendment of Certificate of Incorporation, dated June 7,</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6/9/2011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ind w:left="160"/>
              <w:spacing w:after="0" w:line="196" w:lineRule="exact"/>
              <w:rPr>
                <w:rFonts w:ascii="Arial" w:cs="Arial" w:eastAsia="Arial" w:hAnsi="Arial"/>
                <w:sz w:val="18"/>
                <w:szCs w:val="18"/>
                <w:color w:val="0000EE"/>
                <w:w w:val="84"/>
              </w:rPr>
            </w:pPr>
            <w:hyperlink r:id="rId74">
              <w:r>
                <w:rPr>
                  <w:rFonts w:ascii="Arial" w:cs="Arial" w:eastAsia="Arial" w:hAnsi="Arial"/>
                  <w:sz w:val="18"/>
                  <w:szCs w:val="18"/>
                  <w:color w:val="0000EE"/>
                  <w:w w:val="84"/>
                </w:rPr>
                <w:t>2011.</w:t>
              </w:r>
            </w:hyperlink>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3.1(c)</w:t>
            </w:r>
          </w:p>
        </w:tc>
        <w:tc>
          <w:tcPr>
            <w:tcW w:w="160" w:type="dxa"/>
            <w:vAlign w:val="bottom"/>
          </w:tcPr>
          <w:p>
            <w:pPr>
              <w:spacing w:after="0"/>
              <w:rPr>
                <w:sz w:val="15"/>
                <w:szCs w:val="15"/>
                <w:color w:val="auto"/>
              </w:rPr>
            </w:pPr>
          </w:p>
        </w:tc>
        <w:tc>
          <w:tcPr>
            <w:tcW w:w="5440" w:type="dxa"/>
            <w:vAlign w:val="bottom"/>
            <w:gridSpan w:val="29"/>
          </w:tcPr>
          <w:p>
            <w:pPr>
              <w:spacing w:after="0" w:line="176"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Certificate of Amendment of Certificate of Incorporation, dated June 30,</w:t>
              </w:r>
            </w:hyperlink>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1"/>
              </w:rPr>
              <w:t>7/1/2015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5"/>
          </w:tcPr>
          <w:p>
            <w:pPr>
              <w:ind w:left="160"/>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2015.</w:t>
              </w:r>
            </w:hyperlink>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8-K</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3/15/2013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29"/>
            <w:shd w:val="clear" w:color="auto" w:fill="CCEEFF"/>
          </w:tcPr>
          <w:p>
            <w:pPr>
              <w:spacing w:after="0" w:line="190" w:lineRule="exact"/>
              <w:rPr>
                <w:rFonts w:ascii="Arial" w:cs="Arial" w:eastAsia="Arial" w:hAnsi="Arial"/>
                <w:sz w:val="18"/>
                <w:szCs w:val="18"/>
                <w:color w:val="0000EE"/>
              </w:rPr>
            </w:pPr>
            <w:hyperlink r:id="rId76">
              <w:r>
                <w:rPr>
                  <w:rFonts w:ascii="Arial" w:cs="Arial" w:eastAsia="Arial" w:hAnsi="Arial"/>
                  <w:sz w:val="18"/>
                  <w:szCs w:val="18"/>
                  <w:color w:val="0000EE"/>
                </w:rPr>
                <w:t>By-Laws, as amended, of G-III.</w:t>
              </w:r>
            </w:hyperlink>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1"/>
              </w:rPr>
              <w:t>18183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9"/>
              </w:rPr>
              <w:t>8-K</w:t>
            </w:r>
          </w:p>
        </w:tc>
        <w:tc>
          <w:tcPr>
            <w:tcW w:w="7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4"/>
              </w:rPr>
              <w:t>000-</w:t>
            </w: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2"/>
              </w:rPr>
              <w:t>12/6/2016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40" w:type="dxa"/>
            <w:vAlign w:val="bottom"/>
            <w:gridSpan w:val="29"/>
          </w:tcPr>
          <w:p>
            <w:pPr>
              <w:spacing w:after="0" w:line="190" w:lineRule="exact"/>
              <w:rPr>
                <w:rFonts w:ascii="Arial" w:cs="Arial" w:eastAsia="Arial" w:hAnsi="Arial"/>
                <w:sz w:val="18"/>
                <w:szCs w:val="18"/>
                <w:color w:val="0000EE"/>
              </w:rPr>
            </w:pPr>
            <w:hyperlink r:id="rId77">
              <w:r>
                <w:rPr>
                  <w:rFonts w:ascii="Arial" w:cs="Arial" w:eastAsia="Arial" w:hAnsi="Arial"/>
                  <w:sz w:val="18"/>
                  <w:szCs w:val="18"/>
                  <w:color w:val="0000EE"/>
                </w:rPr>
                <w:t>Promissory Note, dated December 1, 2016, from G-III to LVMH.</w:t>
              </w:r>
            </w:hyperlink>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Employment Agreement, dated February 1, 1994, between G-III and</w:t>
              </w:r>
            </w:hyperlink>
          </w:p>
        </w:tc>
        <w:tc>
          <w:tcPr>
            <w:tcW w:w="480" w:type="dxa"/>
            <w:vAlign w:val="bottom"/>
            <w:tcBorders>
              <w:bottom w:val="single" w:sz="8" w:color="CCEEFF"/>
            </w:tcBorders>
            <w:gridSpan w:val="10"/>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8"/>
              </w:rPr>
              <w:t>10-K/A</w:t>
            </w: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Morris Goldfarb.</w:t>
              </w:r>
            </w:hyperlink>
          </w:p>
        </w:tc>
        <w:tc>
          <w:tcPr>
            <w:tcW w:w="4220" w:type="dxa"/>
            <w:vAlign w:val="bottom"/>
            <w:tcBorders>
              <w:bottom w:val="single" w:sz="8" w:color="CCEEFF"/>
            </w:tcBorders>
            <w:gridSpan w:val="24"/>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(2006)</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10.1(a)</w:t>
            </w:r>
          </w:p>
        </w:tc>
        <w:tc>
          <w:tcPr>
            <w:tcW w:w="160" w:type="dxa"/>
            <w:vAlign w:val="bottom"/>
          </w:tcPr>
          <w:p>
            <w:pPr>
              <w:spacing w:after="0"/>
              <w:rPr>
                <w:sz w:val="15"/>
                <w:szCs w:val="15"/>
                <w:color w:val="auto"/>
              </w:rPr>
            </w:pPr>
          </w:p>
        </w:tc>
        <w:tc>
          <w:tcPr>
            <w:tcW w:w="4940" w:type="dxa"/>
            <w:vAlign w:val="bottom"/>
            <w:tcBorders>
              <w:bottom w:val="single" w:sz="8" w:color="0000EE"/>
            </w:tcBorders>
            <w:gridSpan w:val="18"/>
          </w:tcPr>
          <w:p>
            <w:pPr>
              <w:spacing w:after="0" w:line="17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Amendment, dated October 1, 1999, to the Employment Agreement,</w:t>
              </w:r>
            </w:hyperlink>
          </w:p>
        </w:tc>
        <w:tc>
          <w:tcPr>
            <w:tcW w:w="500" w:type="dxa"/>
            <w:vAlign w:val="bottom"/>
            <w:gridSpan w:val="11"/>
          </w:tcPr>
          <w:p>
            <w:pPr>
              <w:spacing w:after="0"/>
              <w:rPr>
                <w:sz w:val="15"/>
                <w:szCs w:val="15"/>
                <w:color w:val="auto"/>
              </w:rPr>
            </w:pPr>
          </w:p>
        </w:tc>
        <w:tc>
          <w:tcPr>
            <w:tcW w:w="8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8"/>
              </w:rPr>
              <w:t>10-K/A</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dated February 1, 1994, between G-III and Morris Goldfarb.</w:t>
              </w:r>
            </w:hyperlink>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2"/>
              </w:rPr>
              <w:t>(2006)</w:t>
            </w: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10.1(b)</w:t>
            </w:r>
          </w:p>
        </w:tc>
        <w:tc>
          <w:tcPr>
            <w:tcW w:w="160" w:type="dxa"/>
            <w:vAlign w:val="bottom"/>
            <w:shd w:val="clear" w:color="auto" w:fill="CCEEFF"/>
          </w:tcPr>
          <w:p>
            <w:pPr>
              <w:spacing w:after="0"/>
              <w:rPr>
                <w:sz w:val="15"/>
                <w:szCs w:val="15"/>
                <w:color w:val="auto"/>
              </w:rPr>
            </w:pPr>
          </w:p>
        </w:tc>
        <w:tc>
          <w:tcPr>
            <w:tcW w:w="5440" w:type="dxa"/>
            <w:vAlign w:val="bottom"/>
            <w:gridSpan w:val="29"/>
            <w:shd w:val="clear" w:color="auto" w:fill="CCEEFF"/>
          </w:tcPr>
          <w:p>
            <w:pPr>
              <w:spacing w:after="0" w:line="17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Amendment, dated January 28, 2009, to Employment Agreement, dated</w:t>
              </w:r>
            </w:hyperlink>
          </w:p>
        </w:tc>
        <w:tc>
          <w:tcPr>
            <w:tcW w:w="88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2/3/2009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February 1, 1994, between G-III and Morris Goldfarb.</w:t>
              </w:r>
            </w:hyperlink>
          </w:p>
        </w:tc>
        <w:tc>
          <w:tcPr>
            <w:tcW w:w="280" w:type="dxa"/>
            <w:vAlign w:val="bottom"/>
            <w:tcBorders>
              <w:top w:val="single" w:sz="8" w:color="CCEEFF"/>
            </w:tcBorders>
            <w:gridSpan w:val="4"/>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10.1(c)</w:t>
            </w:r>
          </w:p>
        </w:tc>
        <w:tc>
          <w:tcPr>
            <w:tcW w:w="160" w:type="dxa"/>
            <w:vAlign w:val="bottom"/>
          </w:tcPr>
          <w:p>
            <w:pPr>
              <w:spacing w:after="0"/>
              <w:rPr>
                <w:sz w:val="15"/>
                <w:szCs w:val="15"/>
                <w:color w:val="auto"/>
              </w:rPr>
            </w:pPr>
          </w:p>
        </w:tc>
        <w:tc>
          <w:tcPr>
            <w:tcW w:w="5120" w:type="dxa"/>
            <w:vAlign w:val="bottom"/>
            <w:tcBorders>
              <w:bottom w:val="single" w:sz="8" w:color="0000EE"/>
            </w:tcBorders>
            <w:gridSpan w:val="23"/>
          </w:tcPr>
          <w:p>
            <w:pPr>
              <w:spacing w:after="0" w:line="17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Letter Amendment, dated March 13, 2013, to Employment Agreement,</w:t>
              </w:r>
            </w:hyperlink>
          </w:p>
        </w:tc>
        <w:tc>
          <w:tcPr>
            <w:tcW w:w="320" w:type="dxa"/>
            <w:vAlign w:val="bottom"/>
            <w:gridSpan w:val="6"/>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2"/>
              </w:rPr>
              <w:t>3/15/2013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dated February 1, 1994, between G-III and Morris Goldfarb.</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10.1(d)</w:t>
            </w:r>
          </w:p>
        </w:tc>
        <w:tc>
          <w:tcPr>
            <w:tcW w:w="16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Letter Amendment, dated April 28, 2014, to Employment Agreement,</w:t>
              </w:r>
            </w:hyperlink>
          </w:p>
        </w:tc>
        <w:tc>
          <w:tcPr>
            <w:tcW w:w="400" w:type="dxa"/>
            <w:vAlign w:val="bottom"/>
            <w:tcBorders>
              <w:bottom w:val="single" w:sz="8" w:color="CCEEFF"/>
            </w:tcBorders>
            <w:gridSpan w:val="8"/>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5/14/2015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40" w:type="dxa"/>
            <w:vAlign w:val="bottom"/>
            <w:gridSpan w:val="29"/>
            <w:shd w:val="clear" w:color="auto" w:fill="CCEEFF"/>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dated February 1, 1994, between G-III and Morris Goldfarb.</w:t>
              </w:r>
            </w:hyperlink>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5"/>
                <w:szCs w:val="15"/>
                <w:color w:val="auto"/>
              </w:rPr>
            </w:pPr>
          </w:p>
        </w:tc>
        <w:tc>
          <w:tcPr>
            <w:tcW w:w="4840" w:type="dxa"/>
            <w:vAlign w:val="bottom"/>
            <w:tcBorders>
              <w:bottom w:val="single" w:sz="8" w:color="0000EE"/>
            </w:tcBorders>
            <w:gridSpan w:val="15"/>
          </w:tcPr>
          <w:p>
            <w:pPr>
              <w:spacing w:after="0" w:line="17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Amended and Restated Credit Agreement, dated as of December 1,</w:t>
              </w:r>
            </w:hyperlink>
          </w:p>
        </w:tc>
        <w:tc>
          <w:tcPr>
            <w:tcW w:w="600" w:type="dxa"/>
            <w:vAlign w:val="bottom"/>
            <w:gridSpan w:val="14"/>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2"/>
              </w:rPr>
              <w:t>12/6/2016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2016, among G-III Leather, Riviera Sun, Inc., CK Outerwear, LLC, AM</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Retail Group, Inc, and The Donna Karan Company Store, LLC, as</w:t>
              </w:r>
            </w:hyperlink>
          </w:p>
        </w:tc>
        <w:tc>
          <w:tcPr>
            <w:tcW w:w="2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Borrowers, the other Borrowers party thereto, the Loan Guarantors party</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top w:val="single" w:sz="8" w:color="0000EE"/>
            </w:tcBorders>
            <w:gridSpan w:val="27"/>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thereto, the Lenders party thereto and JPMorgan Chase Bank, N.A., as</w:t>
              </w:r>
            </w:hyperlink>
          </w:p>
        </w:tc>
        <w:tc>
          <w:tcPr>
            <w:tcW w:w="2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the Administrative Agent.</w:t>
              </w:r>
            </w:hyperlink>
          </w:p>
        </w:tc>
        <w:tc>
          <w:tcPr>
            <w:tcW w:w="38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10.2(a)</w:t>
            </w:r>
          </w:p>
        </w:tc>
        <w:tc>
          <w:tcPr>
            <w:tcW w:w="160" w:type="dxa"/>
            <w:vAlign w:val="bottom"/>
            <w:tcBorders>
              <w:bottom w:val="single" w:sz="8" w:color="CCEEFF"/>
            </w:tcBorders>
            <w:shd w:val="clear" w:color="auto" w:fill="CCEEFF"/>
          </w:tcPr>
          <w:p>
            <w:pPr>
              <w:spacing w:after="0"/>
              <w:rPr>
                <w:sz w:val="15"/>
                <w:szCs w:val="15"/>
                <w:color w:val="auto"/>
              </w:rPr>
            </w:pPr>
          </w:p>
        </w:tc>
        <w:tc>
          <w:tcPr>
            <w:tcW w:w="5220" w:type="dxa"/>
            <w:vAlign w:val="bottom"/>
            <w:tcBorders>
              <w:bottom w:val="single" w:sz="8" w:color="0000EE"/>
              <w:right w:val="single" w:sz="8" w:color="CCEEFF"/>
            </w:tcBorders>
            <w:gridSpan w:val="27"/>
            <w:shd w:val="clear" w:color="auto" w:fill="CCEEFF"/>
          </w:tcPr>
          <w:p>
            <w:pPr>
              <w:spacing w:after="0" w:line="17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Credit Agreement dated as of December 1, 2016, among G-III, the other</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12/6/2016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40" w:type="dxa"/>
            <w:vAlign w:val="bottom"/>
            <w:gridSpan w:val="29"/>
            <w:shd w:val="clear" w:color="auto" w:fill="CCEEFF"/>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loan parties thereto, the lenders party thereto and Barclays Bank PLC, as</w:t>
              </w:r>
            </w:hyperlink>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0000EE"/>
              <w:right w:val="single" w:sz="8" w:color="CCEEFF"/>
            </w:tcBorders>
            <w:gridSpan w:val="27"/>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the Administrative Agent.</w:t>
              </w:r>
            </w:hyperlink>
          </w:p>
        </w:tc>
        <w:tc>
          <w:tcPr>
            <w:tcW w:w="22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5"/>
                <w:szCs w:val="15"/>
                <w:color w:val="auto"/>
              </w:rPr>
            </w:pPr>
          </w:p>
        </w:tc>
        <w:tc>
          <w:tcPr>
            <w:tcW w:w="5440" w:type="dxa"/>
            <w:vAlign w:val="bottom"/>
            <w:gridSpan w:val="29"/>
          </w:tcPr>
          <w:p>
            <w:pPr>
              <w:spacing w:after="0" w:line="176" w:lineRule="exact"/>
              <w:rPr>
                <w:rFonts w:ascii="Arial" w:cs="Arial" w:eastAsia="Arial" w:hAnsi="Arial"/>
                <w:sz w:val="18"/>
                <w:szCs w:val="18"/>
                <w:color w:val="0000EE"/>
                <w:w w:val="97"/>
              </w:rPr>
            </w:pPr>
            <w:hyperlink r:id="rId85">
              <w:r>
                <w:rPr>
                  <w:rFonts w:ascii="Arial" w:cs="Arial" w:eastAsia="Arial" w:hAnsi="Arial"/>
                  <w:sz w:val="18"/>
                  <w:szCs w:val="18"/>
                  <w:color w:val="0000EE"/>
                  <w:w w:val="97"/>
                </w:rPr>
                <w:t>Lease, dated June 1, 1993, between 512 Seventh Avenue Associates</w:t>
              </w:r>
            </w:hyperlink>
          </w:p>
        </w:tc>
        <w:tc>
          <w:tcPr>
            <w:tcW w:w="8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8"/>
              </w:rPr>
              <w:t>10-K/A</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2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(“512”) and G-III Leather Fashions, Inc. (“G-III Leather”) (34th and</w:t>
              </w:r>
            </w:hyperlink>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2"/>
              </w:rPr>
              <w:t>(2006)</w:t>
            </w:r>
          </w:p>
        </w:tc>
        <w:tc>
          <w:tcPr>
            <w:tcW w:w="1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35th floors).</w:t>
              </w:r>
            </w:hyperlink>
          </w:p>
        </w:tc>
        <w:tc>
          <w:tcPr>
            <w:tcW w:w="5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10.3(a)</w:t>
            </w:r>
          </w:p>
        </w:tc>
        <w:tc>
          <w:tcPr>
            <w:tcW w:w="160" w:type="dxa"/>
            <w:vAlign w:val="bottom"/>
            <w:shd w:val="clear" w:color="auto" w:fill="CCEEFF"/>
          </w:tcPr>
          <w:p>
            <w:pPr>
              <w:spacing w:after="0"/>
              <w:rPr>
                <w:sz w:val="15"/>
                <w:szCs w:val="15"/>
                <w:color w:val="auto"/>
              </w:rPr>
            </w:pPr>
          </w:p>
        </w:tc>
        <w:tc>
          <w:tcPr>
            <w:tcW w:w="5440" w:type="dxa"/>
            <w:vAlign w:val="bottom"/>
            <w:gridSpan w:val="29"/>
            <w:shd w:val="clear" w:color="auto" w:fill="CCEEFF"/>
          </w:tcPr>
          <w:p>
            <w:pPr>
              <w:spacing w:after="0" w:line="176" w:lineRule="exact"/>
              <w:rPr>
                <w:rFonts w:ascii="Arial" w:cs="Arial" w:eastAsia="Arial" w:hAnsi="Arial"/>
                <w:sz w:val="18"/>
                <w:szCs w:val="18"/>
                <w:color w:val="0000EE"/>
                <w:w w:val="96"/>
              </w:rPr>
            </w:pPr>
            <w:hyperlink r:id="rId86">
              <w:r>
                <w:rPr>
                  <w:rFonts w:ascii="Arial" w:cs="Arial" w:eastAsia="Arial" w:hAnsi="Arial"/>
                  <w:sz w:val="18"/>
                  <w:szCs w:val="18"/>
                  <w:color w:val="0000EE"/>
                  <w:w w:val="96"/>
                </w:rPr>
                <w:t>Lease amendment, dated July 1, 2000, between 512 and G-III Leather</w:t>
              </w:r>
            </w:hyperlink>
          </w:p>
        </w:tc>
        <w:tc>
          <w:tcPr>
            <w:tcW w:w="88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8"/>
              </w:rPr>
              <w:t>10-K/A</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000-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(34th and 35th floors).</w:t>
              </w:r>
            </w:hyperlink>
          </w:p>
        </w:tc>
        <w:tc>
          <w:tcPr>
            <w:tcW w:w="420" w:type="dxa"/>
            <w:vAlign w:val="bottom"/>
            <w:tcBorders>
              <w:top w:val="single" w:sz="8" w:color="CCEEFF"/>
            </w:tcBorders>
            <w:gridSpan w:val="9"/>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(2006)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18183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0" w:type="dxa"/>
            <w:vAlign w:val="bottom"/>
            <w:tcBorders>
              <w:top w:val="single" w:sz="8" w:color="0000EE"/>
            </w:tcBorders>
            <w:gridSpan w:val="6"/>
          </w:tcPr>
          <w:p>
            <w:pPr>
              <w:spacing w:after="0"/>
              <w:rPr>
                <w:sz w:val="24"/>
                <w:szCs w:val="24"/>
                <w:color w:val="auto"/>
              </w:rPr>
            </w:pPr>
          </w:p>
        </w:tc>
        <w:tc>
          <w:tcPr>
            <w:tcW w:w="2300" w:type="dxa"/>
            <w:vAlign w:val="bottom"/>
            <w:tcBorders>
              <w:top w:val="single" w:sz="8" w:color="CCEEFF"/>
            </w:tcBorders>
            <w:gridSpan w:val="4"/>
          </w:tcPr>
          <w:p>
            <w:pPr>
              <w:jc w:val="right"/>
              <w:ind w:right="40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25"/>
            <w:vMerge w:val="restart"/>
          </w:tcPr>
          <w:p>
            <w:pPr>
              <w:ind w:left="400"/>
              <w:spacing w:after="0"/>
              <w:rPr>
                <w:sz w:val="20"/>
                <w:szCs w:val="20"/>
                <w:color w:val="auto"/>
              </w:rPr>
            </w:pPr>
            <w:r>
              <w:rPr>
                <w:rFonts w:ascii="Arial" w:cs="Arial" w:eastAsia="Arial" w:hAnsi="Arial"/>
                <w:sz w:val="14"/>
                <w:szCs w:val="14"/>
                <w:b w:val="1"/>
                <w:bCs w:val="1"/>
                <w:color w:val="auto"/>
              </w:rPr>
              <w:t>Document</w:t>
            </w:r>
          </w:p>
        </w:tc>
        <w:tc>
          <w:tcPr>
            <w:tcW w:w="25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6"/>
        </w:trPr>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gridSpan w:val="25"/>
            <w:vMerge w:val="continue"/>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3"/>
                <w:szCs w:val="13"/>
                <w:color w:val="auto"/>
              </w:rPr>
            </w:pP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File No.</w:t>
            </w:r>
          </w:p>
        </w:tc>
        <w:tc>
          <w:tcPr>
            <w:tcW w:w="8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10.3(b)</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5120" w:type="dxa"/>
            <w:vAlign w:val="bottom"/>
            <w:tcBorders>
              <w:top w:val="single" w:sz="8" w:color="auto"/>
              <w:bottom w:val="single" w:sz="8" w:color="0000EE"/>
            </w:tcBorders>
            <w:gridSpan w:val="26"/>
            <w:shd w:val="clear" w:color="auto" w:fill="CCEEFF"/>
          </w:tcPr>
          <w:p>
            <w:pPr>
              <w:spacing w:after="0" w:line="170"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Second Amendment of Lease, dated March 26, 2010, between 500-512</w:t>
              </w:r>
            </w:hyperlink>
          </w:p>
        </w:tc>
        <w:tc>
          <w:tcPr>
            <w:tcW w:w="100" w:type="dxa"/>
            <w:vAlign w:val="bottom"/>
            <w:tcBorders>
              <w:top w:val="single" w:sz="8" w:color="auto"/>
              <w:bottom w:val="single" w:sz="8" w:color="CCEEFF"/>
            </w:tcBorders>
            <w:gridSpan w:val="5"/>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3"/>
              </w:rPr>
              <w:t>10-Q (Q3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Seventh Avenue Limited Partnership, the successor to 512 (collectively,</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8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18183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0" w:type="dxa"/>
            <w:vAlign w:val="bottom"/>
            <w:gridSpan w:val="34"/>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“512”) and G-III Leather (34th and 35th floors).</w:t>
              </w:r>
            </w:hyperlink>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rPr>
              <w:t>10-K/A</w:t>
            </w:r>
          </w:p>
        </w:tc>
        <w:tc>
          <w:tcPr>
            <w:tcW w:w="880" w:type="dxa"/>
            <w:vAlign w:val="bottom"/>
            <w:tcBorders>
              <w:top w:val="single" w:sz="8" w:color="CCEEFF"/>
            </w:tcBorders>
            <w:gridSpan w:val="2"/>
          </w:tcPr>
          <w:p>
            <w:pPr>
              <w:jc w:val="center"/>
              <w:ind w:left="70"/>
              <w:spacing w:after="0" w:line="201" w:lineRule="exact"/>
              <w:rPr>
                <w:sz w:val="20"/>
                <w:szCs w:val="20"/>
                <w:color w:val="auto"/>
              </w:rPr>
            </w:pPr>
            <w:r>
              <w:rPr>
                <w:rFonts w:ascii="Arial" w:cs="Arial" w:eastAsia="Arial" w:hAnsi="Arial"/>
                <w:sz w:val="18"/>
                <w:szCs w:val="18"/>
                <w:color w:val="auto"/>
                <w:w w:val="88"/>
              </w:rPr>
              <w:t>000-</w:t>
            </w:r>
          </w:p>
        </w:tc>
        <w:tc>
          <w:tcPr>
            <w:tcW w:w="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gridSpan w:val="34"/>
          </w:tcPr>
          <w:p>
            <w:pPr>
              <w:spacing w:after="0" w:line="190" w:lineRule="exact"/>
              <w:rPr>
                <w:rFonts w:ascii="Arial" w:cs="Arial" w:eastAsia="Arial" w:hAnsi="Arial"/>
                <w:sz w:val="18"/>
                <w:szCs w:val="18"/>
                <w:color w:val="0000EE"/>
              </w:rPr>
            </w:pPr>
            <w:hyperlink r:id="rId88">
              <w:r>
                <w:rPr>
                  <w:rFonts w:ascii="Arial" w:cs="Arial" w:eastAsia="Arial" w:hAnsi="Arial"/>
                  <w:sz w:val="18"/>
                  <w:szCs w:val="18"/>
                  <w:color w:val="0000EE"/>
                </w:rPr>
                <w:t>Lease, dated January 31, 1994, between 512 and G-III (33rd floor).</w:t>
              </w:r>
            </w:hyperlink>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92"/>
              </w:rPr>
              <w:t>(2006)</w:t>
            </w:r>
          </w:p>
        </w:tc>
        <w:tc>
          <w:tcPr>
            <w:tcW w:w="880" w:type="dxa"/>
            <w:vAlign w:val="bottom"/>
            <w:gridSpan w:val="2"/>
          </w:tcPr>
          <w:p>
            <w:pPr>
              <w:jc w:val="center"/>
              <w:ind w:left="70"/>
              <w:spacing w:after="0" w:line="190"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10.4(a)</w:t>
            </w:r>
          </w:p>
        </w:tc>
        <w:tc>
          <w:tcPr>
            <w:tcW w:w="14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Lease amendment, dated July 1, 2000, between 512 and G-III (33rd</w:t>
              </w:r>
            </w:hyperlink>
          </w:p>
        </w:tc>
        <w:tc>
          <w:tcPr>
            <w:tcW w:w="520" w:type="dxa"/>
            <w:vAlign w:val="bottom"/>
            <w:tcBorders>
              <w:bottom w:val="single" w:sz="8" w:color="CCEEFF"/>
            </w:tcBorders>
            <w:gridSpan w:val="14"/>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10-K/A</w:t>
            </w:r>
          </w:p>
        </w:tc>
        <w:tc>
          <w:tcPr>
            <w:tcW w:w="880" w:type="dxa"/>
            <w:vAlign w:val="bottom"/>
            <w:tcBorders>
              <w:bottom w:val="single" w:sz="8" w:color="CCEEFF"/>
            </w:tcBorders>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34"/>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floor).</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(2006)</w:t>
            </w:r>
          </w:p>
        </w:tc>
        <w:tc>
          <w:tcPr>
            <w:tcW w:w="880" w:type="dxa"/>
            <w:vAlign w:val="bottom"/>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10.4(b)</w:t>
            </w:r>
          </w:p>
        </w:tc>
        <w:tc>
          <w:tcPr>
            <w:tcW w:w="140" w:type="dxa"/>
            <w:vAlign w:val="bottom"/>
          </w:tcPr>
          <w:p>
            <w:pPr>
              <w:spacing w:after="0"/>
              <w:rPr>
                <w:sz w:val="15"/>
                <w:szCs w:val="15"/>
                <w:color w:val="auto"/>
              </w:rPr>
            </w:pPr>
          </w:p>
        </w:tc>
        <w:tc>
          <w:tcPr>
            <w:tcW w:w="5400" w:type="dxa"/>
            <w:vAlign w:val="bottom"/>
            <w:gridSpan w:val="34"/>
          </w:tcPr>
          <w:p>
            <w:pPr>
              <w:spacing w:after="0" w:line="17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Second Amendment of Lease, dated March 26, 2010, between 512 and</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3"/>
              </w:rPr>
              <w:t>10-Q (Q3</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G-III Leather (33rd floor).</w:t>
              </w:r>
            </w:hyperlink>
          </w:p>
        </w:tc>
        <w:tc>
          <w:tcPr>
            <w:tcW w:w="300" w:type="dxa"/>
            <w:vAlign w:val="bottom"/>
            <w:gridSpan w:val="9"/>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10.4(c)</w:t>
            </w:r>
          </w:p>
        </w:tc>
        <w:tc>
          <w:tcPr>
            <w:tcW w:w="140" w:type="dxa"/>
            <w:vAlign w:val="bottom"/>
            <w:shd w:val="clear" w:color="auto" w:fill="CCEEFF"/>
          </w:tcPr>
          <w:p>
            <w:pPr>
              <w:spacing w:after="0"/>
              <w:rPr>
                <w:sz w:val="15"/>
                <w:szCs w:val="15"/>
                <w:color w:val="auto"/>
              </w:rPr>
            </w:pPr>
          </w:p>
        </w:tc>
        <w:tc>
          <w:tcPr>
            <w:tcW w:w="5400" w:type="dxa"/>
            <w:vAlign w:val="bottom"/>
            <w:gridSpan w:val="34"/>
            <w:shd w:val="clear" w:color="auto" w:fill="CCEEFF"/>
          </w:tcPr>
          <w:p>
            <w:pPr>
              <w:spacing w:after="0" w:line="17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Second Amendment of Lease, dated March 26, 2010, between 512 and</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10-Q (Q3</w:t>
            </w:r>
          </w:p>
        </w:tc>
        <w:tc>
          <w:tcPr>
            <w:tcW w:w="88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10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G-III Leather (10th floor).</w:t>
              </w:r>
            </w:hyperlink>
          </w:p>
        </w:tc>
        <w:tc>
          <w:tcPr>
            <w:tcW w:w="300" w:type="dxa"/>
            <w:vAlign w:val="bottom"/>
            <w:tcBorders>
              <w:top w:val="single" w:sz="8" w:color="CCEEFF"/>
            </w:tcBorders>
            <w:gridSpan w:val="9"/>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880" w:type="dxa"/>
            <w:vAlign w:val="bottom"/>
            <w:tcBorders>
              <w:top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10.4(d)</w:t>
            </w:r>
          </w:p>
        </w:tc>
        <w:tc>
          <w:tcPr>
            <w:tcW w:w="140" w:type="dxa"/>
            <w:vAlign w:val="bottom"/>
          </w:tcPr>
          <w:p>
            <w:pPr>
              <w:spacing w:after="0"/>
              <w:rPr>
                <w:sz w:val="15"/>
                <w:szCs w:val="15"/>
                <w:color w:val="auto"/>
              </w:rPr>
            </w:pPr>
          </w:p>
        </w:tc>
        <w:tc>
          <w:tcPr>
            <w:tcW w:w="5220" w:type="dxa"/>
            <w:vAlign w:val="bottom"/>
            <w:tcBorders>
              <w:bottom w:val="single" w:sz="8" w:color="0000EE"/>
            </w:tcBorders>
            <w:gridSpan w:val="31"/>
          </w:tcPr>
          <w:p>
            <w:pPr>
              <w:spacing w:after="0" w:line="17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Third Amendment of Lease, dated March 26, 2010, between 512 and G-</w:t>
              </w:r>
            </w:hyperlink>
          </w:p>
        </w:tc>
        <w:tc>
          <w:tcPr>
            <w:tcW w:w="180" w:type="dxa"/>
            <w:vAlign w:val="bottom"/>
            <w:gridSpan w:val="3"/>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3"/>
              </w:rPr>
              <w:t>10-Q (Q3</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3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III Leather (21st, 22nd, 23rd, 24th and 36th floors).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10.4(e)</w:t>
            </w:r>
          </w:p>
        </w:tc>
        <w:tc>
          <w:tcPr>
            <w:tcW w:w="140" w:type="dxa"/>
            <w:vAlign w:val="bottom"/>
            <w:tcBorders>
              <w:bottom w:val="single" w:sz="8" w:color="CCEEFF"/>
            </w:tcBorders>
            <w:shd w:val="clear" w:color="auto" w:fill="CCEEFF"/>
          </w:tcPr>
          <w:p>
            <w:pPr>
              <w:spacing w:after="0"/>
              <w:rPr>
                <w:sz w:val="15"/>
                <w:szCs w:val="15"/>
                <w:color w:val="auto"/>
              </w:rPr>
            </w:pPr>
          </w:p>
        </w:tc>
        <w:tc>
          <w:tcPr>
            <w:tcW w:w="516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Sixth Amendment of Lease, dated May 23, 2013, by and between G-III</w:t>
              </w:r>
            </w:hyperlink>
          </w:p>
        </w:tc>
        <w:tc>
          <w:tcPr>
            <w:tcW w:w="240" w:type="dxa"/>
            <w:vAlign w:val="bottom"/>
            <w:tcBorders>
              <w:bottom w:val="single" w:sz="8" w:color="CCEEFF"/>
            </w:tcBorders>
            <w:gridSpan w:val="6"/>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10-Q (Q1</w:t>
            </w:r>
          </w:p>
        </w:tc>
        <w:tc>
          <w:tcPr>
            <w:tcW w:w="880" w:type="dxa"/>
            <w:vAlign w:val="bottom"/>
            <w:tcBorders>
              <w:bottom w:val="single" w:sz="8" w:color="CCEEFF"/>
            </w:tcBorders>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6/10/2013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Leather Fashions, Inc. as Tenant and 500-512 Seventh Avenue Limited</w:t>
              </w:r>
            </w:hyperlink>
          </w:p>
        </w:tc>
        <w:tc>
          <w:tcPr>
            <w:tcW w:w="260" w:type="dxa"/>
            <w:vAlign w:val="bottom"/>
            <w:tcBorders>
              <w:bottom w:val="single" w:sz="8" w:color="CCEEFF"/>
            </w:tcBorders>
            <w:gridSpan w:val="7"/>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2014)</w:t>
            </w:r>
          </w:p>
        </w:tc>
        <w:tc>
          <w:tcPr>
            <w:tcW w:w="880" w:type="dxa"/>
            <w:vAlign w:val="bottom"/>
            <w:tcBorders>
              <w:bottom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Partnership as Landlord, (2nd Floor (including mezzanine), 21st, 22nd,</w:t>
              </w:r>
            </w:hyperlink>
          </w:p>
        </w:tc>
        <w:tc>
          <w:tcPr>
            <w:tcW w:w="260" w:type="dxa"/>
            <w:vAlign w:val="bottom"/>
            <w:tcBorders>
              <w:bottom w:val="single" w:sz="8" w:color="CCEEFF"/>
            </w:tcBorders>
            <w:gridSpan w:val="7"/>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34"/>
            <w:shd w:val="clear" w:color="auto" w:fill="CCEEFF"/>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23rd, 24th, 27th, 29th, 31st, 36th and 40th Floors).</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10.4(f)</w:t>
            </w:r>
          </w:p>
        </w:tc>
        <w:tc>
          <w:tcPr>
            <w:tcW w:w="140" w:type="dxa"/>
            <w:vAlign w:val="bottom"/>
          </w:tcPr>
          <w:p>
            <w:pPr>
              <w:spacing w:after="0"/>
              <w:rPr>
                <w:sz w:val="15"/>
                <w:szCs w:val="15"/>
                <w:color w:val="auto"/>
              </w:rPr>
            </w:pPr>
          </w:p>
        </w:tc>
        <w:tc>
          <w:tcPr>
            <w:tcW w:w="518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Seventh Amendment of Lease dated April 25, 2014, by and between G-</w:t>
              </w:r>
            </w:hyperlink>
          </w:p>
        </w:tc>
        <w:tc>
          <w:tcPr>
            <w:tcW w:w="220" w:type="dxa"/>
            <w:vAlign w:val="bottom"/>
            <w:gridSpan w:val="5"/>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3"/>
              </w:rPr>
              <w:t>10-Q (Q1</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1"/>
              </w:rPr>
              <w:t>6/5/2014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3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III Leather Fashions, Inc. as Tenant and 500-512 Seventh Avenue</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2015)</w:t>
            </w: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34"/>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Limited Partnership as Landlord (2nd Floor (including mezzanine), 21st,</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22nd, 23rd, 24th, 27th, 29th, 31st, 36th, 39th and 40th Floors).</w:t>
              </w:r>
            </w:hyperlink>
          </w:p>
        </w:tc>
        <w:tc>
          <w:tcPr>
            <w:tcW w:w="16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10.4(g)</w:t>
            </w:r>
          </w:p>
        </w:tc>
        <w:tc>
          <w:tcPr>
            <w:tcW w:w="140" w:type="dxa"/>
            <w:vAlign w:val="bottom"/>
            <w:shd w:val="clear" w:color="auto" w:fill="CCEEFF"/>
          </w:tcPr>
          <w:p>
            <w:pPr>
              <w:spacing w:after="0"/>
              <w:rPr>
                <w:sz w:val="15"/>
                <w:szCs w:val="15"/>
                <w:color w:val="auto"/>
              </w:rPr>
            </w:pPr>
          </w:p>
        </w:tc>
        <w:tc>
          <w:tcPr>
            <w:tcW w:w="5400" w:type="dxa"/>
            <w:vAlign w:val="bottom"/>
            <w:gridSpan w:val="34"/>
            <w:shd w:val="clear" w:color="auto" w:fill="CCEEFF"/>
          </w:tcPr>
          <w:p>
            <w:pPr>
              <w:spacing w:after="0" w:line="17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Eighth Amendment Of Lease, dated June 16, 2017, by and between G-</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88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4/2/2018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10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III Leather Fashions, Inc. as Tenant and 500-512 Seventh Avenue</w:t>
              </w:r>
            </w:hyperlink>
          </w:p>
        </w:tc>
        <w:tc>
          <w:tcPr>
            <w:tcW w:w="300" w:type="dxa"/>
            <w:vAlign w:val="bottom"/>
            <w:tcBorders>
              <w:top w:val="single" w:sz="8" w:color="CCEEFF"/>
            </w:tcBorders>
            <w:gridSpan w:val="9"/>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(2018)</w:t>
            </w:r>
          </w:p>
        </w:tc>
        <w:tc>
          <w:tcPr>
            <w:tcW w:w="880" w:type="dxa"/>
            <w:vAlign w:val="bottom"/>
            <w:tcBorders>
              <w:top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Limited Partnership as Landlord* (2nd Floor (including mezzanine),</w:t>
              </w:r>
            </w:hyperlink>
          </w:p>
        </w:tc>
        <w:tc>
          <w:tcPr>
            <w:tcW w:w="440" w:type="dxa"/>
            <w:vAlign w:val="bottom"/>
            <w:tcBorders>
              <w:bottom w:val="single" w:sz="8" w:color="CCEEFF"/>
            </w:tcBorders>
            <w:gridSpan w:val="1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3rd, 4th, 5th, 21st, 22nd, 23rd, 24th, 27th, 28th, 29th, 30th, 31st, 36th,</w:t>
              </w:r>
            </w:hyperlink>
          </w:p>
        </w:tc>
        <w:tc>
          <w:tcPr>
            <w:tcW w:w="360" w:type="dxa"/>
            <w:vAlign w:val="bottom"/>
            <w:tcBorders>
              <w:bottom w:val="single" w:sz="8" w:color="CCEEFF"/>
            </w:tcBorders>
            <w:gridSpan w:val="11"/>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34"/>
            <w:shd w:val="clear" w:color="auto" w:fill="CCEEFF"/>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39th and 40th Floors)</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10.4(h)</w:t>
            </w:r>
          </w:p>
        </w:tc>
        <w:tc>
          <w:tcPr>
            <w:tcW w:w="140" w:type="dxa"/>
            <w:vAlign w:val="bottom"/>
          </w:tcPr>
          <w:p>
            <w:pPr>
              <w:spacing w:after="0"/>
              <w:rPr>
                <w:sz w:val="15"/>
                <w:szCs w:val="15"/>
                <w:color w:val="auto"/>
              </w:rPr>
            </w:pPr>
          </w:p>
        </w:tc>
        <w:tc>
          <w:tcPr>
            <w:tcW w:w="5180" w:type="dxa"/>
            <w:vAlign w:val="bottom"/>
            <w:tcBorders>
              <w:bottom w:val="single" w:sz="8" w:color="0000EE"/>
            </w:tcBorders>
            <w:gridSpan w:val="29"/>
          </w:tcPr>
          <w:p>
            <w:pPr>
              <w:spacing w:after="0" w:line="17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Ninth Amendment of Lease, dated May 14, 2018, by and between G-III</w:t>
              </w:r>
            </w:hyperlink>
          </w:p>
        </w:tc>
        <w:tc>
          <w:tcPr>
            <w:tcW w:w="220" w:type="dxa"/>
            <w:vAlign w:val="bottom"/>
            <w:gridSpan w:val="5"/>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3"/>
              </w:rPr>
              <w:t>10-Q (Q1</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89"/>
              </w:rPr>
              <w:t>6/11/2018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Leather Fashions, Inc. as Tenant and 500-512 Seventh Avenue Limited</w:t>
              </w:r>
            </w:hyperlink>
          </w:p>
        </w:tc>
        <w:tc>
          <w:tcPr>
            <w:tcW w:w="280" w:type="dxa"/>
            <w:vAlign w:val="bottom"/>
            <w:gridSpan w:val="8"/>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2019)</w:t>
            </w: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Partnership as Landlord, (2nd Floor (including mezzanine), 3rd, 4th,</w:t>
              </w:r>
            </w:hyperlink>
          </w:p>
        </w:tc>
        <w:tc>
          <w:tcPr>
            <w:tcW w:w="46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34"/>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5th, 21st, 22nd, 23rd, 24th, 26th, 27th, 28th, 29th, 30th, 31st, 36th, 39th</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top w:val="single" w:sz="8" w:color="0000EE"/>
            </w:tcBorders>
            <w:gridSpan w:val="28"/>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and 40th Floors at 512 Seventh Avenue and 2nd and Part of 3rd at 500</w:t>
              </w:r>
            </w:hyperlink>
          </w:p>
        </w:tc>
        <w:tc>
          <w:tcPr>
            <w:tcW w:w="2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Seventh Avenue).</w:t>
              </w:r>
            </w:hyperlink>
          </w:p>
        </w:tc>
        <w:tc>
          <w:tcPr>
            <w:tcW w:w="34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5"/>
                <w:szCs w:val="15"/>
                <w:color w:val="auto"/>
              </w:rPr>
            </w:pPr>
          </w:p>
        </w:tc>
        <w:tc>
          <w:tcPr>
            <w:tcW w:w="5400" w:type="dxa"/>
            <w:vAlign w:val="bottom"/>
            <w:gridSpan w:val="34"/>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Lease, dated February 10, 2009, between IRET Properties and AM</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10-Q (Q3</w:t>
            </w:r>
          </w:p>
        </w:tc>
        <w:tc>
          <w:tcPr>
            <w:tcW w:w="88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Retail Group, Inc.</w:t>
              </w:r>
            </w:hyperlink>
          </w:p>
        </w:tc>
        <w:tc>
          <w:tcPr>
            <w:tcW w:w="580" w:type="dxa"/>
            <w:vAlign w:val="bottom"/>
            <w:tcBorders>
              <w:top w:val="single" w:sz="8" w:color="CCEEFF"/>
            </w:tcBorders>
            <w:gridSpan w:val="16"/>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880" w:type="dxa"/>
            <w:vAlign w:val="bottom"/>
            <w:tcBorders>
              <w:top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5"/>
                <w:szCs w:val="15"/>
                <w:color w:val="auto"/>
              </w:rPr>
            </w:pPr>
          </w:p>
        </w:tc>
        <w:tc>
          <w:tcPr>
            <w:tcW w:w="5400" w:type="dxa"/>
            <w:vAlign w:val="bottom"/>
            <w:gridSpan w:val="34"/>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G-III 2005 Amended and Restated Stock Incentive Plan, (the “2005</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3/15/2013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Plan”).</w:t>
              </w:r>
            </w:hyperlink>
          </w:p>
        </w:tc>
        <w:tc>
          <w:tcPr>
            <w:tcW w:w="52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10.6(a)</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880" w:type="dxa"/>
            <w:vAlign w:val="bottom"/>
            <w:gridSpan w:val="2"/>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4/16/2009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0" w:type="dxa"/>
            <w:vAlign w:val="bottom"/>
            <w:gridSpan w:val="34"/>
            <w:shd w:val="clear" w:color="auto" w:fill="CCEEFF"/>
          </w:tcPr>
          <w:p>
            <w:pPr>
              <w:spacing w:after="0" w:line="190"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Form of Option Agreement for awards made pursuant to the 2005 Plan.</w:t>
              </w:r>
            </w:hyperlink>
          </w:p>
        </w:tc>
        <w:tc>
          <w:tcPr>
            <w:tcW w:w="72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2"/>
              </w:rPr>
              <w:t>(2009)</w:t>
            </w:r>
          </w:p>
        </w:tc>
        <w:tc>
          <w:tcPr>
            <w:tcW w:w="880" w:type="dxa"/>
            <w:vAlign w:val="bottom"/>
            <w:gridSpan w:val="2"/>
            <w:shd w:val="clear" w:color="auto" w:fill="CCEEFF"/>
          </w:tcPr>
          <w:p>
            <w:pPr>
              <w:jc w:val="center"/>
              <w:ind w:left="70"/>
              <w:spacing w:after="0" w:line="190" w:lineRule="exact"/>
              <w:rPr>
                <w:sz w:val="20"/>
                <w:szCs w:val="20"/>
                <w:color w:val="auto"/>
              </w:rPr>
            </w:pPr>
            <w:r>
              <w:rPr>
                <w:rFonts w:ascii="Arial" w:cs="Arial" w:eastAsia="Arial" w:hAnsi="Arial"/>
                <w:sz w:val="18"/>
                <w:szCs w:val="18"/>
                <w:color w:val="auto"/>
                <w:w w:val="87"/>
              </w:rPr>
              <w:t>18183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10.6(b)</w:t>
            </w:r>
          </w:p>
        </w:tc>
        <w:tc>
          <w:tcPr>
            <w:tcW w:w="140" w:type="dxa"/>
            <w:vAlign w:val="bottom"/>
          </w:tcPr>
          <w:p>
            <w:pPr>
              <w:spacing w:after="0"/>
              <w:rPr>
                <w:sz w:val="15"/>
                <w:szCs w:val="15"/>
                <w:color w:val="auto"/>
              </w:rPr>
            </w:pPr>
          </w:p>
        </w:tc>
        <w:tc>
          <w:tcPr>
            <w:tcW w:w="5400" w:type="dxa"/>
            <w:vAlign w:val="bottom"/>
            <w:gridSpan w:val="34"/>
          </w:tcPr>
          <w:p>
            <w:pPr>
              <w:spacing w:after="0" w:line="17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Form of Restricted Stock Agreement for restricted stock awards made</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pursuant to the 2005 Plan.</w:t>
              </w:r>
            </w:hyperlink>
          </w:p>
        </w:tc>
        <w:tc>
          <w:tcPr>
            <w:tcW w:w="3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10.6(c)</w:t>
            </w:r>
          </w:p>
        </w:tc>
        <w:tc>
          <w:tcPr>
            <w:tcW w:w="140" w:type="dxa"/>
            <w:vAlign w:val="bottom"/>
            <w:shd w:val="clear" w:color="auto" w:fill="CCEEFF"/>
          </w:tcPr>
          <w:p>
            <w:pPr>
              <w:spacing w:after="0"/>
              <w:rPr>
                <w:sz w:val="15"/>
                <w:szCs w:val="15"/>
                <w:color w:val="auto"/>
              </w:rPr>
            </w:pPr>
          </w:p>
        </w:tc>
        <w:tc>
          <w:tcPr>
            <w:tcW w:w="5400" w:type="dxa"/>
            <w:vAlign w:val="bottom"/>
            <w:gridSpan w:val="34"/>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Form of Deferred Stock Award Agreement for October 23, 2014</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10/28/2014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restricted stock unit grant.</w:t>
              </w:r>
            </w:hyperlink>
          </w:p>
        </w:tc>
        <w:tc>
          <w:tcPr>
            <w:tcW w:w="760" w:type="dxa"/>
            <w:vAlign w:val="bottom"/>
            <w:tcBorders>
              <w:top w:val="single" w:sz="8" w:color="CCEEFF"/>
            </w:tcBorders>
            <w:gridSpan w:val="18"/>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10.6(d)</w:t>
            </w:r>
          </w:p>
        </w:tc>
        <w:tc>
          <w:tcPr>
            <w:tcW w:w="140" w:type="dxa"/>
            <w:vAlign w:val="bottom"/>
          </w:tcPr>
          <w:p>
            <w:pPr>
              <w:spacing w:after="0"/>
              <w:rPr>
                <w:sz w:val="15"/>
                <w:szCs w:val="15"/>
                <w:color w:val="auto"/>
              </w:rPr>
            </w:pPr>
          </w:p>
        </w:tc>
        <w:tc>
          <w:tcPr>
            <w:tcW w:w="5400" w:type="dxa"/>
            <w:vAlign w:val="bottom"/>
            <w:gridSpan w:val="34"/>
          </w:tcPr>
          <w:p>
            <w:pPr>
              <w:spacing w:after="0" w:line="176" w:lineRule="exact"/>
              <w:rPr>
                <w:rFonts w:ascii="Arial" w:cs="Arial" w:eastAsia="Arial" w:hAnsi="Arial"/>
                <w:sz w:val="18"/>
                <w:szCs w:val="18"/>
                <w:color w:val="0000EE"/>
                <w:w w:val="96"/>
              </w:rPr>
            </w:pPr>
            <w:hyperlink r:id="rId102">
              <w:r>
                <w:rPr>
                  <w:rFonts w:ascii="Arial" w:cs="Arial" w:eastAsia="Arial" w:hAnsi="Arial"/>
                  <w:sz w:val="18"/>
                  <w:szCs w:val="18"/>
                  <w:color w:val="0000EE"/>
                  <w:w w:val="96"/>
                </w:rPr>
                <w:t>Form of Deferred Stock Award Agreement for May 12, 2015 restricted</w:t>
              </w:r>
            </w:hyperlink>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5/14/2015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stock unit grant vesting on April 12, 2019.</w:t>
              </w:r>
            </w:hyperlink>
          </w:p>
        </w:tc>
        <w:tc>
          <w:tcPr>
            <w:tcW w:w="30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10.6(e)</w:t>
            </w:r>
          </w:p>
        </w:tc>
        <w:tc>
          <w:tcPr>
            <w:tcW w:w="140" w:type="dxa"/>
            <w:vAlign w:val="bottom"/>
            <w:shd w:val="clear" w:color="auto" w:fill="CCEEFF"/>
          </w:tcPr>
          <w:p>
            <w:pPr>
              <w:spacing w:after="0"/>
              <w:rPr>
                <w:sz w:val="15"/>
                <w:szCs w:val="15"/>
                <w:color w:val="auto"/>
              </w:rPr>
            </w:pPr>
          </w:p>
        </w:tc>
        <w:tc>
          <w:tcPr>
            <w:tcW w:w="5400" w:type="dxa"/>
            <w:vAlign w:val="bottom"/>
            <w:gridSpan w:val="34"/>
            <w:shd w:val="clear" w:color="auto" w:fill="CCEEFF"/>
          </w:tcPr>
          <w:p>
            <w:pPr>
              <w:spacing w:after="0" w:line="176" w:lineRule="exact"/>
              <w:rPr>
                <w:rFonts w:ascii="Arial" w:cs="Arial" w:eastAsia="Arial" w:hAnsi="Arial"/>
                <w:sz w:val="18"/>
                <w:szCs w:val="18"/>
                <w:color w:val="0000EE"/>
                <w:w w:val="96"/>
              </w:rPr>
            </w:pPr>
            <w:hyperlink r:id="rId103">
              <w:r>
                <w:rPr>
                  <w:rFonts w:ascii="Arial" w:cs="Arial" w:eastAsia="Arial" w:hAnsi="Arial"/>
                  <w:sz w:val="18"/>
                  <w:szCs w:val="18"/>
                  <w:color w:val="0000EE"/>
                  <w:w w:val="96"/>
                </w:rPr>
                <w:t>Form of Deferred Stock Award Agreement for May 12, 2015 restricted</w:t>
              </w:r>
            </w:hyperlink>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5/14/2015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stock unit grant vesting on June 12, 2020.</w:t>
              </w:r>
            </w:hyperlink>
          </w:p>
        </w:tc>
        <w:tc>
          <w:tcPr>
            <w:tcW w:w="300" w:type="dxa"/>
            <w:vAlign w:val="bottom"/>
            <w:tcBorders>
              <w:top w:val="single" w:sz="8" w:color="CCEEFF"/>
            </w:tcBorders>
            <w:gridSpan w:val="9"/>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880" w:type="dxa"/>
            <w:vAlign w:val="bottom"/>
            <w:tcBorders>
              <w:top w:val="single" w:sz="8" w:color="CCEEFF"/>
            </w:tcBorders>
            <w:gridSpan w:val="2"/>
          </w:tcPr>
          <w:p>
            <w:pPr>
              <w:jc w:val="center"/>
              <w:ind w:left="70"/>
              <w:spacing w:after="0" w:line="201" w:lineRule="exact"/>
              <w:rPr>
                <w:sz w:val="20"/>
                <w:szCs w:val="20"/>
                <w:color w:val="auto"/>
              </w:rPr>
            </w:pPr>
            <w:r>
              <w:rPr>
                <w:rFonts w:ascii="Arial" w:cs="Arial" w:eastAsia="Arial" w:hAnsi="Arial"/>
                <w:sz w:val="18"/>
                <w:szCs w:val="18"/>
                <w:color w:val="auto"/>
                <w:w w:val="88"/>
              </w:rPr>
              <w:t>000-</w:t>
            </w:r>
          </w:p>
        </w:tc>
        <w:tc>
          <w:tcPr>
            <w:tcW w:w="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0"/>
              </w:rPr>
              <w:t>12/14/2016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gridSpan w:val="34"/>
          </w:tcPr>
          <w:p>
            <w:pPr>
              <w:spacing w:after="0" w:line="190" w:lineRule="exact"/>
              <w:rPr>
                <w:rFonts w:ascii="Arial" w:cs="Arial" w:eastAsia="Arial" w:hAnsi="Arial"/>
                <w:sz w:val="18"/>
                <w:szCs w:val="18"/>
                <w:color w:val="0000EE"/>
              </w:rPr>
            </w:pPr>
            <w:hyperlink r:id="rId104">
              <w:r>
                <w:rPr>
                  <w:rFonts w:ascii="Arial" w:cs="Arial" w:eastAsia="Arial" w:hAnsi="Arial"/>
                  <w:sz w:val="18"/>
                  <w:szCs w:val="18"/>
                  <w:color w:val="0000EE"/>
                </w:rPr>
                <w:t>G-III 2015 Long-Term Incentive Plan, as amended.</w:t>
              </w:r>
            </w:hyperlink>
          </w:p>
        </w:tc>
        <w:tc>
          <w:tcPr>
            <w:tcW w:w="720" w:type="dxa"/>
            <w:vAlign w:val="bottom"/>
          </w:tcPr>
          <w:p>
            <w:pPr>
              <w:spacing w:after="0"/>
              <w:rPr>
                <w:sz w:val="16"/>
                <w:szCs w:val="16"/>
                <w:color w:val="auto"/>
              </w:rPr>
            </w:pPr>
          </w:p>
        </w:tc>
        <w:tc>
          <w:tcPr>
            <w:tcW w:w="880" w:type="dxa"/>
            <w:vAlign w:val="bottom"/>
            <w:gridSpan w:val="2"/>
          </w:tcPr>
          <w:p>
            <w:pPr>
              <w:jc w:val="center"/>
              <w:ind w:left="70"/>
              <w:spacing w:after="0" w:line="190"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620" w:type="dxa"/>
            <w:vAlign w:val="bottom"/>
            <w:tcBorders>
              <w:top w:val="single" w:sz="8" w:color="0000EE"/>
            </w:tcBorders>
            <w:gridSpan w:val="12"/>
          </w:tcPr>
          <w:p>
            <w:pPr>
              <w:jc w:val="right"/>
              <w:ind w:right="100"/>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-7245985</wp:posOffset>
            </wp:positionV>
            <wp:extent cx="102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-7245985</wp:posOffset>
            </wp:positionV>
            <wp:extent cx="102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-7245985</wp:posOffset>
            </wp:positionV>
            <wp:extent cx="1028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-7245985</wp:posOffset>
            </wp:positionV>
            <wp:extent cx="857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85725"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28"/>
            <w:vMerge w:val="restart"/>
          </w:tcPr>
          <w:p>
            <w:pPr>
              <w:ind w:left="340"/>
              <w:spacing w:after="0"/>
              <w:rPr>
                <w:sz w:val="20"/>
                <w:szCs w:val="20"/>
                <w:color w:val="auto"/>
              </w:rPr>
            </w:pPr>
            <w:r>
              <w:rPr>
                <w:rFonts w:ascii="Arial" w:cs="Arial" w:eastAsia="Arial" w:hAnsi="Arial"/>
                <w:sz w:val="14"/>
                <w:szCs w:val="14"/>
                <w:b w:val="1"/>
                <w:bCs w:val="1"/>
                <w:color w:val="auto"/>
              </w:rPr>
              <w:t>Document</w:t>
            </w:r>
          </w:p>
        </w:tc>
        <w:tc>
          <w:tcPr>
            <w:tcW w:w="25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6"/>
        </w:trPr>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gridSpan w:val="28"/>
            <w:vMerge w:val="continue"/>
          </w:tcPr>
          <w:p>
            <w:pPr>
              <w:spacing w:after="0"/>
              <w:rPr>
                <w:sz w:val="13"/>
                <w:szCs w:val="13"/>
                <w:color w:val="auto"/>
              </w:rPr>
            </w:pP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7"/>
              </w:rPr>
              <w:t>Form</w:t>
            </w: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File No.</w:t>
            </w:r>
          </w:p>
        </w:tc>
        <w:tc>
          <w:tcPr>
            <w:tcW w:w="8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10.7(a)</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gridSpan w:val="39"/>
            <w:shd w:val="clear" w:color="auto" w:fill="CCEEFF"/>
          </w:tcPr>
          <w:p>
            <w:pPr>
              <w:spacing w:after="0" w:line="170" w:lineRule="exact"/>
              <w:rPr>
                <w:rFonts w:ascii="Arial" w:cs="Arial" w:eastAsia="Arial" w:hAnsi="Arial"/>
                <w:sz w:val="18"/>
                <w:szCs w:val="18"/>
                <w:color w:val="0000EE"/>
              </w:rPr>
            </w:pPr>
            <w:hyperlink r:id="rId109">
              <w:r>
                <w:rPr>
                  <w:rFonts w:ascii="Arial" w:cs="Arial" w:eastAsia="Arial" w:hAnsi="Arial"/>
                  <w:sz w:val="18"/>
                  <w:szCs w:val="18"/>
                  <w:color w:val="0000EE"/>
                </w:rPr>
                <w:t>Form of Restricted Stock Unit Agreement for December 10, 2015</w:t>
              </w:r>
            </w:hyperlink>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000-</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12/14/2015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96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restricted stock unit grants.</w:t>
              </w:r>
            </w:hyperlink>
          </w:p>
        </w:tc>
        <w:tc>
          <w:tcPr>
            <w:tcW w:w="27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17"/>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10.7(b)</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Form of Restricted Stock Unit Agreement for January 27, 2017</w:t>
              </w:r>
            </w:hyperlink>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1/31/2017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restricted stock unit grants.</w:t>
              </w:r>
            </w:hyperlink>
          </w:p>
        </w:tc>
        <w:tc>
          <w:tcPr>
            <w:tcW w:w="840" w:type="dxa"/>
            <w:vAlign w:val="bottom"/>
            <w:gridSpan w:val="20"/>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10.7(c)</w:t>
            </w:r>
          </w:p>
        </w:tc>
        <w:tc>
          <w:tcPr>
            <w:tcW w:w="140" w:type="dxa"/>
            <w:vAlign w:val="bottom"/>
            <w:tcBorders>
              <w:bottom w:val="single" w:sz="8" w:color="CCEEFF"/>
            </w:tcBorders>
            <w:shd w:val="clear" w:color="auto" w:fill="CCEEFF"/>
          </w:tcPr>
          <w:p>
            <w:pPr>
              <w:spacing w:after="0"/>
              <w:rPr>
                <w:sz w:val="15"/>
                <w:szCs w:val="15"/>
                <w:color w:val="auto"/>
              </w:rPr>
            </w:pPr>
          </w:p>
        </w:tc>
        <w:tc>
          <w:tcPr>
            <w:tcW w:w="522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Form of Restricted Stock Unit Agreement for March 28, 2017 restricted</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3/17/2017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stock unit grants.</w:t>
              </w:r>
            </w:hyperlink>
          </w:p>
        </w:tc>
        <w:tc>
          <w:tcPr>
            <w:tcW w:w="4160" w:type="dxa"/>
            <w:vAlign w:val="bottom"/>
            <w:tcBorders>
              <w:bottom w:val="single" w:sz="8" w:color="CCEEFF"/>
            </w:tcBorders>
            <w:gridSpan w:val="36"/>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10.7(d)</w:t>
            </w:r>
          </w:p>
        </w:tc>
        <w:tc>
          <w:tcPr>
            <w:tcW w:w="140" w:type="dxa"/>
            <w:vAlign w:val="bottom"/>
          </w:tcPr>
          <w:p>
            <w:pPr>
              <w:spacing w:after="0"/>
              <w:rPr>
                <w:sz w:val="15"/>
                <w:szCs w:val="15"/>
                <w:color w:val="auto"/>
              </w:rPr>
            </w:pPr>
          </w:p>
        </w:tc>
        <w:tc>
          <w:tcPr>
            <w:tcW w:w="5100" w:type="dxa"/>
            <w:vAlign w:val="bottom"/>
            <w:tcBorders>
              <w:bottom w:val="single" w:sz="8" w:color="0000EE"/>
            </w:tcBorders>
            <w:gridSpan w:val="32"/>
          </w:tcPr>
          <w:p>
            <w:pPr>
              <w:spacing w:after="0" w:line="17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Form of Restricted Stock Unit Agreement for April 26, 2018 restricted</w:t>
              </w:r>
            </w:hyperlink>
          </w:p>
        </w:tc>
        <w:tc>
          <w:tcPr>
            <w:tcW w:w="300" w:type="dxa"/>
            <w:vAlign w:val="bottom"/>
            <w:gridSpan w:val="9"/>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4/30/2018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stock unit grants.</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8-K</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2/16/2011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0000EE"/>
            </w:tcBorders>
            <w:gridSpan w:val="17"/>
            <w:shd w:val="clear" w:color="auto" w:fill="CCEEFF"/>
          </w:tcPr>
          <w:p>
            <w:pPr>
              <w:spacing w:after="0" w:line="190"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Form of Executive Transition Agreement, as amended.</w:t>
              </w:r>
            </w:hyperlink>
          </w:p>
        </w:tc>
        <w:tc>
          <w:tcPr>
            <w:tcW w:w="1440" w:type="dxa"/>
            <w:vAlign w:val="bottom"/>
            <w:tcBorders>
              <w:bottom w:val="single" w:sz="8" w:color="CCEEFF"/>
            </w:tcBorders>
            <w:gridSpan w:val="24"/>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0"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Employment Agreement, dated as of July 11, 2005, by and between</w:t>
              </w:r>
            </w:hyperlink>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3"/>
              </w:rPr>
              <w:t>10-Q (Q3</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Sammy Aaron and G-III.</w:t>
              </w:r>
            </w:hyperlink>
          </w:p>
        </w:tc>
        <w:tc>
          <w:tcPr>
            <w:tcW w:w="520" w:type="dxa"/>
            <w:vAlign w:val="bottom"/>
            <w:gridSpan w:val="16"/>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10.9(a)</w:t>
            </w:r>
          </w:p>
        </w:tc>
        <w:tc>
          <w:tcPr>
            <w:tcW w:w="140" w:type="dxa"/>
            <w:vAlign w:val="bottom"/>
            <w:tcBorders>
              <w:bottom w:val="single" w:sz="8" w:color="CCEEFF"/>
            </w:tcBorders>
            <w:shd w:val="clear" w:color="auto" w:fill="CCEEFF"/>
          </w:tcPr>
          <w:p>
            <w:pPr>
              <w:spacing w:after="0"/>
              <w:rPr>
                <w:sz w:val="15"/>
                <w:szCs w:val="15"/>
                <w:color w:val="auto"/>
              </w:rPr>
            </w:pPr>
          </w:p>
        </w:tc>
        <w:tc>
          <w:tcPr>
            <w:tcW w:w="512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Amendment, dated October 3, 2008, to Employment Agreement, dated</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10/6/2008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as of July 11, 2005, by and between Sammy Aaron and G-III.</w:t>
              </w:r>
            </w:hyperlink>
          </w:p>
        </w:tc>
        <w:tc>
          <w:tcPr>
            <w:tcW w:w="960" w:type="dxa"/>
            <w:vAlign w:val="bottom"/>
            <w:tcBorders>
              <w:bottom w:val="single" w:sz="8" w:color="CCEEFF"/>
            </w:tcBorders>
            <w:gridSpan w:val="21"/>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10.9(b)</w:t>
            </w:r>
          </w:p>
        </w:tc>
        <w:tc>
          <w:tcPr>
            <w:tcW w:w="140" w:type="dxa"/>
            <w:vAlign w:val="bottom"/>
          </w:tcPr>
          <w:p>
            <w:pPr>
              <w:spacing w:after="0"/>
              <w:rPr>
                <w:sz w:val="15"/>
                <w:szCs w:val="15"/>
                <w:color w:val="auto"/>
              </w:rPr>
            </w:pPr>
          </w:p>
        </w:tc>
        <w:tc>
          <w:tcPr>
            <w:tcW w:w="5200" w:type="dxa"/>
            <w:vAlign w:val="bottom"/>
            <w:tcBorders>
              <w:bottom w:val="single" w:sz="8" w:color="0000EE"/>
            </w:tcBorders>
            <w:gridSpan w:val="36"/>
          </w:tcPr>
          <w:p>
            <w:pPr>
              <w:spacing w:after="0" w:line="17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Amendment, dated January 28, 2009, to Employment Agreement, dated</w:t>
              </w:r>
            </w:hyperlink>
          </w:p>
        </w:tc>
        <w:tc>
          <w:tcPr>
            <w:tcW w:w="200" w:type="dxa"/>
            <w:vAlign w:val="bottom"/>
            <w:gridSpan w:val="5"/>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1"/>
              </w:rPr>
              <w:t>2/3/2009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as of July 11, 2005, by and between Sammy Aaron and G-III.</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10.9(c)</w:t>
            </w:r>
          </w:p>
        </w:tc>
        <w:tc>
          <w:tcPr>
            <w:tcW w:w="14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Letter Amendment, dated March 13, 2013, to Employment Agreement,</w:t>
              </w:r>
            </w:hyperlink>
          </w:p>
        </w:tc>
        <w:tc>
          <w:tcPr>
            <w:tcW w:w="260" w:type="dxa"/>
            <w:vAlign w:val="bottom"/>
            <w:tcBorders>
              <w:bottom w:val="single" w:sz="8" w:color="CCEEFF"/>
            </w:tcBorders>
            <w:gridSpan w:val="7"/>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3/15/2013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dated as of July 11, 2005, by and between Sammy Aaron and G-III.</w:t>
              </w:r>
            </w:hyperlink>
          </w:p>
        </w:tc>
        <w:tc>
          <w:tcPr>
            <w:tcW w:w="520" w:type="dxa"/>
            <w:vAlign w:val="bottom"/>
            <w:tcBorders>
              <w:bottom w:val="single" w:sz="8" w:color="CCEEFF"/>
            </w:tcBorders>
            <w:gridSpan w:val="16"/>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10.9(d)</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w w:val="98"/>
              </w:rPr>
            </w:pPr>
            <w:hyperlink r:id="rId118">
              <w:r>
                <w:rPr>
                  <w:rFonts w:ascii="Arial" w:cs="Arial" w:eastAsia="Arial" w:hAnsi="Arial"/>
                  <w:sz w:val="18"/>
                  <w:szCs w:val="18"/>
                  <w:color w:val="0000EE"/>
                  <w:w w:val="98"/>
                </w:rPr>
                <w:t>Letter Amendment, dated April 28, 2014, to Employment Agreement,</w:t>
              </w:r>
            </w:hyperlink>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4/30/2014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40" w:type="dxa"/>
            <w:vAlign w:val="bottom"/>
            <w:tcBorders>
              <w:top w:val="single" w:sz="8" w:color="0000EE"/>
            </w:tcBorders>
            <w:gridSpan w:val="31"/>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dated as of July 11, 2005, by and between Sammy Aaron and G-III.</w:t>
              </w:r>
            </w:hyperlink>
          </w:p>
        </w:tc>
        <w:tc>
          <w:tcPr>
            <w:tcW w:w="36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 (a)</w:t>
            </w:r>
          </w:p>
        </w:tc>
        <w:tc>
          <w:tcPr>
            <w:tcW w:w="140" w:type="dxa"/>
            <w:vAlign w:val="bottom"/>
            <w:tcBorders>
              <w:bottom w:val="single" w:sz="8" w:color="CCEEFF"/>
            </w:tcBorders>
            <w:shd w:val="clear" w:color="auto" w:fill="CCEEFF"/>
          </w:tcPr>
          <w:p>
            <w:pPr>
              <w:spacing w:after="0"/>
              <w:rPr>
                <w:sz w:val="15"/>
                <w:szCs w:val="15"/>
                <w:color w:val="auto"/>
              </w:rPr>
            </w:pPr>
          </w:p>
        </w:tc>
        <w:tc>
          <w:tcPr>
            <w:tcW w:w="50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Lease agreement dated June 29, 2006 between The Realty Associates</w:t>
              </w:r>
            </w:hyperlink>
          </w:p>
        </w:tc>
        <w:tc>
          <w:tcPr>
            <w:tcW w:w="380" w:type="dxa"/>
            <w:vAlign w:val="bottom"/>
            <w:tcBorders>
              <w:bottom w:val="single" w:sz="8" w:color="CCEEFF"/>
            </w:tcBorders>
            <w:gridSpan w:val="11"/>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3"/>
              </w:rPr>
              <w:t>10-Q (Q2</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9/13/2006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41"/>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Fund VI, LP and G-III.</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2007)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10.10 (b)*</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First Amendment of Lease, dated July 31, 2012, by and between</w:t>
              </w:r>
            </w:hyperlink>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Centerpoint Herrod, LLC, as successor in interest to The Realty</w:t>
              </w:r>
            </w:hyperlink>
          </w:p>
        </w:tc>
        <w:tc>
          <w:tcPr>
            <w:tcW w:w="40" w:type="dxa"/>
            <w:vAlign w:val="bottom"/>
            <w:tcBorders>
              <w:top w:val="single" w:sz="8" w:color="0000EE"/>
            </w:tcBorders>
          </w:tcPr>
          <w:p>
            <w:pPr>
              <w:spacing w:after="0"/>
              <w:rPr>
                <w:sz w:val="17"/>
                <w:szCs w:val="17"/>
                <w:color w:val="auto"/>
              </w:rPr>
            </w:pPr>
          </w:p>
        </w:tc>
        <w:tc>
          <w:tcPr>
            <w:tcW w:w="76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Associates Fund VI, LP, and G-III.</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4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39"/>
            <w:shd w:val="clear" w:color="auto" w:fill="CCEEFF"/>
          </w:tcPr>
          <w:p>
            <w:pPr>
              <w:spacing w:after="0" w:line="17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Lease Agreement, dated December 21, 2009 and effective December 28,</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3"/>
              </w:rPr>
              <w:t>10-Q (Q3</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0000EE"/>
            </w:tcBorders>
            <w:gridSpan w:val="29"/>
            <w:shd w:val="clear" w:color="auto" w:fill="CCEEFF"/>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2009, by and between G-III, as Tenant, and Granite South Brunswick</w:t>
              </w:r>
            </w:hyperlink>
          </w:p>
        </w:tc>
        <w:tc>
          <w:tcPr>
            <w:tcW w:w="400" w:type="dxa"/>
            <w:vAlign w:val="bottom"/>
            <w:tcBorders>
              <w:bottom w:val="single" w:sz="8" w:color="CCEEFF"/>
            </w:tcBorders>
            <w:gridSpan w:val="1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2011)</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0" w:type="dxa"/>
            <w:vAlign w:val="bottom"/>
            <w:gridSpan w:val="41"/>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LLC, as Landlord.</w:t>
              </w:r>
            </w:hyperlink>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10.12</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jc w:val="center"/>
              <w:ind w:right="140"/>
              <w:spacing w:after="0" w:line="201" w:lineRule="exact"/>
              <w:rPr>
                <w:sz w:val="20"/>
                <w:szCs w:val="20"/>
                <w:color w:val="auto"/>
              </w:rPr>
            </w:pPr>
            <w:r>
              <w:rPr>
                <w:rFonts w:ascii="Arial" w:cs="Arial" w:eastAsia="Arial" w:hAnsi="Arial"/>
                <w:sz w:val="18"/>
                <w:szCs w:val="18"/>
                <w:color w:val="auto"/>
                <w:w w:val="93"/>
              </w:rPr>
              <w:t>10-Q (Q3</w:t>
            </w:r>
          </w:p>
        </w:tc>
        <w:tc>
          <w:tcPr>
            <w:tcW w:w="7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000-</w:t>
            </w:r>
          </w:p>
        </w:tc>
        <w:tc>
          <w:tcPr>
            <w:tcW w:w="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gridSpan w:val="41"/>
          </w:tcPr>
          <w:p>
            <w:pPr>
              <w:spacing w:after="0" w:line="190" w:lineRule="exact"/>
              <w:rPr>
                <w:rFonts w:ascii="Arial" w:cs="Arial" w:eastAsia="Arial" w:hAnsi="Arial"/>
                <w:sz w:val="18"/>
                <w:szCs w:val="18"/>
                <w:color w:val="0000EE"/>
              </w:rPr>
            </w:pPr>
            <w:hyperlink r:id="rId121">
              <w:r>
                <w:rPr>
                  <w:rFonts w:ascii="Arial" w:cs="Arial" w:eastAsia="Arial" w:hAnsi="Arial"/>
                  <w:sz w:val="18"/>
                  <w:szCs w:val="18"/>
                  <w:color w:val="0000EE"/>
                </w:rPr>
                <w:t>Form of Indemnification Agreement.</w:t>
              </w:r>
            </w:hyperlink>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6"/>
              </w:rPr>
              <w:t>2011)</w:t>
            </w:r>
          </w:p>
        </w:tc>
        <w:tc>
          <w:tcPr>
            <w:tcW w:w="160" w:type="dxa"/>
            <w:vAlign w:val="bottom"/>
          </w:tcPr>
          <w:p>
            <w:pPr>
              <w:spacing w:after="0"/>
              <w:rPr>
                <w:sz w:val="16"/>
                <w:szCs w:val="16"/>
                <w:color w:val="auto"/>
              </w:rPr>
            </w:pPr>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5"/>
                <w:szCs w:val="15"/>
                <w:color w:val="auto"/>
              </w:rPr>
            </w:pPr>
          </w:p>
        </w:tc>
        <w:tc>
          <w:tcPr>
            <w:tcW w:w="5400" w:type="dxa"/>
            <w:vAlign w:val="bottom"/>
            <w:gridSpan w:val="41"/>
            <w:shd w:val="clear" w:color="auto" w:fill="CCEEFF"/>
          </w:tcPr>
          <w:p>
            <w:pPr>
              <w:spacing w:after="0" w:line="176" w:lineRule="exact"/>
              <w:rPr>
                <w:rFonts w:ascii="Arial" w:cs="Arial" w:eastAsia="Arial" w:hAnsi="Arial"/>
                <w:sz w:val="18"/>
                <w:szCs w:val="18"/>
                <w:color w:val="0000EE"/>
                <w:w w:val="98"/>
              </w:rPr>
            </w:pPr>
            <w:hyperlink r:id="rId122">
              <w:r>
                <w:rPr>
                  <w:rFonts w:ascii="Arial" w:cs="Arial" w:eastAsia="Arial" w:hAnsi="Arial"/>
                  <w:sz w:val="18"/>
                  <w:szCs w:val="18"/>
                  <w:color w:val="0000EE"/>
                  <w:w w:val="98"/>
                </w:rPr>
                <w:t>Employment Agreement, made as of January 9, 2013, between G-III</w:t>
              </w:r>
            </w:hyperlink>
          </w:p>
        </w:tc>
        <w:tc>
          <w:tcPr>
            <w:tcW w:w="88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1/14/2013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and Wayne S. Miller.</w:t>
              </w:r>
            </w:hyperlink>
          </w:p>
        </w:tc>
        <w:tc>
          <w:tcPr>
            <w:tcW w:w="460" w:type="dxa"/>
            <w:vAlign w:val="bottom"/>
            <w:tcBorders>
              <w:top w:val="single" w:sz="8" w:color="CCEEFF"/>
            </w:tcBorders>
            <w:gridSpan w:val="14"/>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10.13(a)</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Amendment to Employment Agreement and Executive Transition</w:t>
              </w:r>
            </w:hyperlink>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0"/>
              </w:rPr>
              <w:t>12/14/2016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Agreement, dated as of December 9, 2016, between G-III and Wayne S.</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Miller.</w:t>
              </w:r>
            </w:hyperlink>
          </w:p>
        </w:tc>
        <w:tc>
          <w:tcPr>
            <w:tcW w:w="2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5"/>
                <w:szCs w:val="15"/>
                <w:color w:val="auto"/>
              </w:rPr>
            </w:pPr>
          </w:p>
        </w:tc>
        <w:tc>
          <w:tcPr>
            <w:tcW w:w="5400" w:type="dxa"/>
            <w:vAlign w:val="bottom"/>
            <w:gridSpan w:val="41"/>
            <w:shd w:val="clear" w:color="auto" w:fill="CCEEFF"/>
          </w:tcPr>
          <w:p>
            <w:pPr>
              <w:spacing w:after="0" w:line="17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Employment Agreement, dated as of December 9, 2016, between G-III</w:t>
              </w:r>
            </w:hyperlink>
          </w:p>
        </w:tc>
        <w:tc>
          <w:tcPr>
            <w:tcW w:w="88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12/14/2016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0000EE"/>
            </w:tcBorders>
            <w:gridSpan w:val="33"/>
            <w:shd w:val="clear" w:color="auto" w:fill="CCEEFF"/>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and Jeffrey D. Goldfarb.</w:t>
              </w:r>
            </w:hyperlink>
          </w:p>
        </w:tc>
        <w:tc>
          <w:tcPr>
            <w:tcW w:w="280" w:type="dxa"/>
            <w:vAlign w:val="bottom"/>
            <w:tcBorders>
              <w:top w:val="single" w:sz="8" w:color="CCEEFF"/>
            </w:tcBorders>
            <w:gridSpan w:val="8"/>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5"/>
                <w:szCs w:val="15"/>
                <w:color w:val="auto"/>
              </w:rPr>
            </w:pPr>
          </w:p>
        </w:tc>
        <w:tc>
          <w:tcPr>
            <w:tcW w:w="434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Amendment to Executive Transition Agreement, dated as of</w:t>
              </w:r>
            </w:hyperlink>
          </w:p>
        </w:tc>
        <w:tc>
          <w:tcPr>
            <w:tcW w:w="1060" w:type="dxa"/>
            <w:vAlign w:val="bottom"/>
            <w:gridSpan w:val="22"/>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2"/>
              </w:rPr>
              <w:t>12/6/2016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December 9, 2016, between G-III and Jeffrey D. Goldfarb.</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4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EE"/>
            </w:tcBorders>
            <w:gridSpan w:val="38"/>
            <w:shd w:val="clear" w:color="auto" w:fill="CCEEFF"/>
          </w:tcPr>
          <w:p>
            <w:pPr>
              <w:spacing w:after="0" w:line="17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Severance Agreement, dated as of December 9, 2016, between G-III and</w:t>
              </w:r>
            </w:hyperlink>
          </w:p>
        </w:tc>
        <w:tc>
          <w:tcPr>
            <w:tcW w:w="160" w:type="dxa"/>
            <w:vAlign w:val="bottom"/>
            <w:tcBorders>
              <w:bottom w:val="single" w:sz="8" w:color="CCEEFF"/>
            </w:tcBorders>
            <w:gridSpan w:val="3"/>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12/14/2016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41"/>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Neal Nackman.</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5"/>
                <w:szCs w:val="15"/>
                <w:color w:val="auto"/>
              </w:rPr>
            </w:pPr>
          </w:p>
        </w:tc>
        <w:tc>
          <w:tcPr>
            <w:tcW w:w="4980" w:type="dxa"/>
            <w:vAlign w:val="bottom"/>
            <w:tcBorders>
              <w:bottom w:val="single" w:sz="8" w:color="0000EE"/>
            </w:tcBorders>
            <w:gridSpan w:val="28"/>
          </w:tcPr>
          <w:p>
            <w:pPr>
              <w:spacing w:after="0" w:line="17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Lease, dated August 1, 2006, between 240 West 40th LLC. and G-III</w:t>
              </w:r>
            </w:hyperlink>
          </w:p>
        </w:tc>
        <w:tc>
          <w:tcPr>
            <w:tcW w:w="420" w:type="dxa"/>
            <w:vAlign w:val="bottom"/>
            <w:gridSpan w:val="13"/>
          </w:tcPr>
          <w:p>
            <w:pPr>
              <w:spacing w:after="0"/>
              <w:rPr>
                <w:sz w:val="15"/>
                <w:szCs w:val="15"/>
                <w:color w:val="auto"/>
              </w:rPr>
            </w:pP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4"/>
              </w:rPr>
              <w:t>10-K</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1"/>
              </w:rPr>
              <w:t>4/3/2017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4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Leather Fashions, Inc.</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2"/>
              </w:rPr>
              <w:t>(2017)</w:t>
            </w:r>
          </w:p>
        </w:tc>
        <w:tc>
          <w:tcPr>
            <w:tcW w:w="16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140" w:type="dxa"/>
            <w:vAlign w:val="bottom"/>
            <w:tcBorders>
              <w:bottom w:val="single" w:sz="8" w:color="CCEEFF"/>
            </w:tcBorders>
            <w:shd w:val="clear" w:color="auto" w:fill="CCEEFF"/>
          </w:tcPr>
          <w:p>
            <w:pPr>
              <w:spacing w:after="0"/>
              <w:rPr>
                <w:sz w:val="15"/>
                <w:szCs w:val="15"/>
                <w:color w:val="auto"/>
              </w:rPr>
            </w:pPr>
          </w:p>
        </w:tc>
        <w:tc>
          <w:tcPr>
            <w:tcW w:w="49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Lease, dated December 7, 2011, between 400 Commerce Boulevard</w:t>
              </w:r>
            </w:hyperlink>
          </w:p>
        </w:tc>
        <w:tc>
          <w:tcPr>
            <w:tcW w:w="500" w:type="dxa"/>
            <w:vAlign w:val="bottom"/>
            <w:tcBorders>
              <w:bottom w:val="single" w:sz="8" w:color="CCEEFF"/>
            </w:tcBorders>
            <w:gridSpan w:val="15"/>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4"/>
              </w:rPr>
              <w:t>10-K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000-</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4/3/2017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LLC. and G-III Leather Fashions, Inc.</w:t>
              </w:r>
            </w:hyperlink>
          </w:p>
        </w:tc>
        <w:tc>
          <w:tcPr>
            <w:tcW w:w="2640" w:type="dxa"/>
            <w:vAlign w:val="bottom"/>
            <w:tcBorders>
              <w:bottom w:val="single" w:sz="8" w:color="CCEEFF"/>
            </w:tcBorders>
            <w:gridSpan w:val="25"/>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(2017)</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18183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5400" w:type="dxa"/>
            <w:vAlign w:val="bottom"/>
            <w:gridSpan w:val="41"/>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Subsidiaries of G-III.</w:t>
              </w:r>
            </w:hyperlink>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Consent of Independent Registered Public Accounting Firm, Ernst &amp;</w:t>
              </w:r>
            </w:hyperlink>
          </w:p>
        </w:tc>
        <w:tc>
          <w:tcPr>
            <w:tcW w:w="420" w:type="dxa"/>
            <w:vAlign w:val="bottom"/>
            <w:tcBorders>
              <w:bottom w:val="single" w:sz="8" w:color="CCEEFF"/>
            </w:tcBorders>
            <w:gridSpan w:val="13"/>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0" w:type="dxa"/>
            <w:vAlign w:val="bottom"/>
            <w:gridSpan w:val="41"/>
            <w:shd w:val="clear" w:color="auto" w:fill="CCEEFF"/>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Young LLP.</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-6602730</wp:posOffset>
            </wp:positionV>
            <wp:extent cx="1028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-6602730</wp:posOffset>
            </wp:positionV>
            <wp:extent cx="102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-6602730</wp:posOffset>
            </wp:positionV>
            <wp:extent cx="102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-6602730</wp:posOffset>
            </wp:positionV>
            <wp:extent cx="857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857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360" w:type="dxa"/>
            <w:vAlign w:val="bottom"/>
            <w:gridSpan w:val="8"/>
            <w:vMerge w:val="restart"/>
          </w:tcPr>
          <w:p>
            <w:pPr>
              <w:ind w:left="240"/>
              <w:spacing w:after="0"/>
              <w:rPr>
                <w:sz w:val="20"/>
                <w:szCs w:val="20"/>
                <w:color w:val="auto"/>
              </w:rPr>
            </w:pPr>
            <w:r>
              <w:rPr>
                <w:rFonts w:ascii="Arial" w:cs="Arial" w:eastAsia="Arial" w:hAnsi="Arial"/>
                <w:sz w:val="14"/>
                <w:szCs w:val="14"/>
                <w:b w:val="1"/>
                <w:bCs w:val="1"/>
                <w:color w:val="auto"/>
              </w:rPr>
              <w:t>Document</w:t>
            </w: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56"/>
        </w:trPr>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360" w:type="dxa"/>
            <w:vAlign w:val="bottom"/>
            <w:gridSpan w:val="8"/>
            <w:vMerge w:val="continue"/>
          </w:tcPr>
          <w:p>
            <w:pPr>
              <w:spacing w:after="0"/>
              <w:rPr>
                <w:sz w:val="13"/>
                <w:szCs w:val="13"/>
                <w:color w:val="auto"/>
              </w:rPr>
            </w:pP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7"/>
              </w:rPr>
              <w:t>Form</w:t>
            </w: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File No.</w:t>
            </w: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31.1*</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80" w:type="dxa"/>
            <w:vAlign w:val="bottom"/>
            <w:tcBorders>
              <w:top w:val="single" w:sz="8" w:color="auto"/>
            </w:tcBorders>
            <w:gridSpan w:val="8"/>
            <w:shd w:val="clear" w:color="auto" w:fill="CCEEFF"/>
          </w:tcPr>
          <w:p>
            <w:pPr>
              <w:spacing w:after="0" w:line="170" w:lineRule="exact"/>
              <w:rPr>
                <w:rFonts w:ascii="Arial" w:cs="Arial" w:eastAsia="Arial" w:hAnsi="Arial"/>
                <w:sz w:val="18"/>
                <w:szCs w:val="18"/>
                <w:color w:val="0000EE"/>
              </w:rPr>
            </w:pPr>
            <w:hyperlink w:anchor="page111">
              <w:r>
                <w:rPr>
                  <w:rFonts w:ascii="Arial" w:cs="Arial" w:eastAsia="Arial" w:hAnsi="Arial"/>
                  <w:sz w:val="18"/>
                  <w:szCs w:val="18"/>
                  <w:color w:val="0000EE"/>
                </w:rPr>
                <w:t>Certification by Morris Goldfarb, Chief Executive Officer of G-III</w:t>
              </w:r>
            </w:hyperlink>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gridSpan w:val="10"/>
            <w:shd w:val="clear" w:color="auto" w:fill="CCEEFF"/>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Apparel Group, Ltd., pursuant to Rule 13a – 14(a) or Rule 15d – 14(a) of</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the Securities Exchange Act of 1934, as amended, in connection with G-</w:t>
              </w:r>
            </w:hyperlink>
          </w:p>
        </w:tc>
        <w:tc>
          <w:tcPr>
            <w:tcW w:w="24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III Apparel Group, Ltd.’s Annual Report on Form 10-K for the fiscal</w:t>
              </w:r>
            </w:hyperlink>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gridSpan w:val="10"/>
            <w:shd w:val="clear" w:color="auto" w:fill="CCEEFF"/>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year ended January 31, 2019.</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4820" w:type="dxa"/>
            <w:vAlign w:val="bottom"/>
            <w:tcBorders>
              <w:bottom w:val="single" w:sz="8" w:color="0000EE"/>
            </w:tcBorders>
            <w:gridSpan w:val="6"/>
          </w:tcPr>
          <w:p>
            <w:pPr>
              <w:spacing w:after="0" w:line="17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 by Neal S. Nackman, Chief Financial Officer of G-III</w:t>
              </w:r>
            </w:hyperlink>
          </w:p>
        </w:tc>
        <w:tc>
          <w:tcPr>
            <w:tcW w:w="640" w:type="dxa"/>
            <w:vAlign w:val="bottom"/>
            <w:gridSpan w:val="4"/>
          </w:tcPr>
          <w:p>
            <w:pPr>
              <w:spacing w:after="0"/>
              <w:rPr>
                <w:sz w:val="15"/>
                <w:szCs w:val="15"/>
                <w:color w:val="auto"/>
              </w:rPr>
            </w:pP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w w:val="94"/>
              </w:rPr>
            </w:pPr>
            <w:hyperlink w:anchor="page112">
              <w:r>
                <w:rPr>
                  <w:rFonts w:ascii="Arial" w:cs="Arial" w:eastAsia="Arial" w:hAnsi="Arial"/>
                  <w:sz w:val="18"/>
                  <w:szCs w:val="18"/>
                  <w:color w:val="0000EE"/>
                  <w:w w:val="94"/>
                </w:rPr>
                <w:t>Apparel Group, Ltd., pursuant to Rule 13a – 14(a) or Rule 15d – 14(a) of</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the Securities Exchange Act of 1934, as amended, in connection with G-</w:t>
              </w:r>
            </w:hyperlink>
          </w:p>
        </w:tc>
        <w:tc>
          <w:tcPr>
            <w:tcW w:w="2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III Apparel Group, Ltd.’s Annual Report on Form 10-K for the fiscal</w:t>
              </w:r>
            </w:hyperlink>
          </w:p>
        </w:tc>
        <w:tc>
          <w:tcPr>
            <w:tcW w:w="5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year ended January 31, 2019.</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5"/>
                <w:szCs w:val="15"/>
                <w:color w:val="auto"/>
              </w:rPr>
            </w:pPr>
          </w:p>
        </w:tc>
        <w:tc>
          <w:tcPr>
            <w:tcW w:w="5460" w:type="dxa"/>
            <w:vAlign w:val="bottom"/>
            <w:gridSpan w:val="10"/>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Certification by Morris Goldfarb, Chief Executive Officer of G-III</w:t>
              </w:r>
            </w:hyperlink>
          </w:p>
        </w:tc>
        <w:tc>
          <w:tcPr>
            <w:tcW w:w="88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gridSpan w:val="10"/>
            <w:shd w:val="clear" w:color="auto" w:fill="CCEEFF"/>
          </w:tcPr>
          <w:p>
            <w:pPr>
              <w:spacing w:after="0" w:line="196"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Apparel Group, Ltd., pursuant to 18 U.S.C. Section 1350, as adopted</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pursuant to Section 906 of the Sarbanes-Oxley Act of 2002, in</w:t>
              </w:r>
            </w:hyperlink>
          </w:p>
        </w:tc>
        <w:tc>
          <w:tcPr>
            <w:tcW w:w="46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5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connection with G-III Apparel Group, Ltd.’s Annual Report on Form 10-</w:t>
              </w:r>
            </w:hyperlink>
          </w:p>
        </w:tc>
        <w:tc>
          <w:tcPr>
            <w:tcW w:w="24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K for the fiscal year ended January 31, 2019.</w:t>
              </w:r>
            </w:hyperlink>
          </w:p>
        </w:tc>
        <w:tc>
          <w:tcPr>
            <w:tcW w:w="2220" w:type="dxa"/>
            <w:vAlign w:val="bottom"/>
            <w:tcBorders>
              <w:bottom w:val="single" w:sz="8" w:color="CCEEFF"/>
            </w:tcBorders>
            <w:gridSpan w:val="6"/>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4820" w:type="dxa"/>
            <w:vAlign w:val="bottom"/>
            <w:tcBorders>
              <w:bottom w:val="single" w:sz="8" w:color="0000EE"/>
            </w:tcBorders>
            <w:gridSpan w:val="6"/>
          </w:tcPr>
          <w:p>
            <w:pPr>
              <w:spacing w:after="0" w:line="17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by Neal S. Nackman, Chief Financial Officer of G-III</w:t>
              </w:r>
            </w:hyperlink>
          </w:p>
        </w:tc>
        <w:tc>
          <w:tcPr>
            <w:tcW w:w="640" w:type="dxa"/>
            <w:vAlign w:val="bottom"/>
            <w:gridSpan w:val="4"/>
          </w:tcPr>
          <w:p>
            <w:pPr>
              <w:spacing w:after="0"/>
              <w:rPr>
                <w:sz w:val="15"/>
                <w:szCs w:val="15"/>
                <w:color w:val="auto"/>
              </w:rPr>
            </w:pP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w w:val="99"/>
              </w:rPr>
            </w:pPr>
            <w:hyperlink w:anchor="page114">
              <w:r>
                <w:rPr>
                  <w:rFonts w:ascii="Arial" w:cs="Arial" w:eastAsia="Arial" w:hAnsi="Arial"/>
                  <w:sz w:val="18"/>
                  <w:szCs w:val="18"/>
                  <w:color w:val="0000EE"/>
                  <w:w w:val="99"/>
                </w:rPr>
                <w:t>Apparel Group, Ltd., pursuant to 18 U.S.C. Section 1350, as adopted</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pursuant to Section 906 of the Sarbanes-Oxley Act of 2002, in</w:t>
              </w:r>
            </w:hyperlink>
          </w:p>
        </w:tc>
        <w:tc>
          <w:tcPr>
            <w:tcW w:w="460" w:type="dxa"/>
            <w:vAlign w:val="bottom"/>
            <w:tcBorders>
              <w:top w:val="single" w:sz="8" w:color="0000EE"/>
            </w:tcBorders>
            <w:gridSpan w:val="2"/>
          </w:tcPr>
          <w:p>
            <w:pPr>
              <w:spacing w:after="0"/>
              <w:rPr>
                <w:sz w:val="17"/>
                <w:szCs w:val="17"/>
                <w:color w:val="auto"/>
              </w:rPr>
            </w:pPr>
          </w:p>
        </w:tc>
        <w:tc>
          <w:tcPr>
            <w:tcW w:w="5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connection with G-III Apparel Group, Ltd.’s Annual Report on Form 10-</w:t>
              </w:r>
            </w:hyperlink>
          </w:p>
        </w:tc>
        <w:tc>
          <w:tcPr>
            <w:tcW w:w="2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K for the year ended January 31, 2019.</w:t>
              </w:r>
            </w:hyperlink>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40" w:type="dxa"/>
            <w:vAlign w:val="bottom"/>
            <w:shd w:val="clear" w:color="auto" w:fill="CCEEFF"/>
          </w:tcPr>
          <w:p>
            <w:pPr>
              <w:spacing w:after="0"/>
              <w:rPr>
                <w:sz w:val="18"/>
                <w:szCs w:val="18"/>
                <w:color w:val="auto"/>
              </w:rPr>
            </w:pPr>
          </w:p>
        </w:tc>
        <w:tc>
          <w:tcPr>
            <w:tcW w:w="54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Schema Document.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40" w:type="dxa"/>
            <w:vAlign w:val="bottom"/>
            <w:shd w:val="clear" w:color="auto" w:fill="CCEEFF"/>
          </w:tcPr>
          <w:p>
            <w:pPr>
              <w:spacing w:after="0"/>
              <w:rPr>
                <w:sz w:val="18"/>
                <w:szCs w:val="18"/>
                <w:color w:val="auto"/>
              </w:rPr>
            </w:pPr>
          </w:p>
        </w:tc>
        <w:tc>
          <w:tcPr>
            <w:tcW w:w="54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Extension Definition.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40" w:type="dxa"/>
            <w:vAlign w:val="bottom"/>
            <w:shd w:val="clear" w:color="auto" w:fill="CCEEFF"/>
          </w:tcPr>
          <w:p>
            <w:pPr>
              <w:spacing w:after="0"/>
              <w:rPr>
                <w:sz w:val="18"/>
                <w:szCs w:val="18"/>
                <w:color w:val="auto"/>
              </w:rPr>
            </w:pPr>
          </w:p>
        </w:tc>
        <w:tc>
          <w:tcPr>
            <w:tcW w:w="54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Label Linkbase Document.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0"/>
                <w:szCs w:val="20"/>
                <w:color w:val="auto"/>
              </w:rPr>
            </w:pPr>
          </w:p>
        </w:tc>
        <w:tc>
          <w:tcPr>
            <w:tcW w:w="5460" w:type="dxa"/>
            <w:vAlign w:val="bottom"/>
            <w:gridSpan w:val="10"/>
          </w:tcPr>
          <w:p>
            <w:pPr>
              <w:spacing w:after="0"/>
              <w:rPr>
                <w:sz w:val="20"/>
                <w:szCs w:val="20"/>
                <w:color w:val="auto"/>
              </w:rPr>
            </w:pPr>
            <w:r>
              <w:rPr>
                <w:rFonts w:ascii="Arial" w:cs="Arial" w:eastAsia="Arial" w:hAnsi="Arial"/>
                <w:sz w:val="18"/>
                <w:szCs w:val="18"/>
                <w:color w:val="auto"/>
              </w:rPr>
              <w:t>XBRL Presentation Linkbase Document.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-3593465</wp:posOffset>
            </wp:positionV>
            <wp:extent cx="1028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-3593465</wp:posOffset>
            </wp:positionV>
            <wp:extent cx="1028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-3593465</wp:posOffset>
            </wp:positionV>
            <wp:extent cx="1028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102870" cy="1714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-3593465</wp:posOffset>
            </wp:positionV>
            <wp:extent cx="857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102235</wp:posOffset>
            </wp:positionV>
            <wp:extent cx="1440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48"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20" w:hanging="317"/>
        <w:spacing w:after="0" w:line="264" w:lineRule="auto"/>
        <w:tabs>
          <w:tab w:leader="none" w:pos="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spacing w:after="0" w:line="183" w:lineRule="exact"/>
        <w:rPr>
          <w:sz w:val="20"/>
          <w:szCs w:val="20"/>
          <w:color w:val="auto"/>
        </w:rPr>
      </w:pPr>
    </w:p>
    <w:p>
      <w:pPr>
        <w:spacing w:after="0" w:line="207" w:lineRule="exact"/>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K SUMMARY.</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G-III APPAREL GROUP, LTD.</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Morris Goldfarb</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-130810</wp:posOffset>
            </wp:positionV>
            <wp:extent cx="2478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303"/>
        </w:trPr>
        <w:tc>
          <w:tcPr>
            <w:tcW w:w="3120" w:type="dxa"/>
            <w:vAlign w:val="bottom"/>
          </w:tcPr>
          <w:p>
            <w:pPr>
              <w:spacing w:after="0"/>
              <w:rPr>
                <w:sz w:val="20"/>
                <w:szCs w:val="20"/>
                <w:color w:val="auto"/>
              </w:rPr>
            </w:pPr>
            <w:r>
              <w:rPr>
                <w:rFonts w:ascii="Arial" w:cs="Arial" w:eastAsia="Arial" w:hAnsi="Arial"/>
                <w:sz w:val="18"/>
                <w:szCs w:val="18"/>
                <w:color w:val="auto"/>
              </w:rPr>
              <w:t>/s/ Morris Goldfarb</w:t>
            </w:r>
          </w:p>
        </w:tc>
        <w:tc>
          <w:tcPr>
            <w:tcW w:w="180" w:type="dxa"/>
            <w:vAlign w:val="bottom"/>
          </w:tcPr>
          <w:p>
            <w:pPr>
              <w:spacing w:after="0"/>
              <w:rPr>
                <w:sz w:val="24"/>
                <w:szCs w:val="2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Director, Chairman of the Board and Chief</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8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4"/>
              </w:rPr>
              <w:t>Executive Officer (principal executive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Morris Goldfarb</w:t>
            </w:r>
          </w:p>
        </w:tc>
        <w:tc>
          <w:tcPr>
            <w:tcW w:w="180" w:type="dxa"/>
            <w:vAlign w:val="bottom"/>
            <w:vMerge w:val="continue"/>
          </w:tcPr>
          <w:p>
            <w:pPr>
              <w:spacing w:after="0"/>
              <w:rPr>
                <w:sz w:val="19"/>
                <w:szCs w:val="19"/>
                <w:color w:val="auto"/>
              </w:rPr>
            </w:pPr>
          </w:p>
        </w:tc>
        <w:tc>
          <w:tcPr>
            <w:tcW w:w="38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Arial" w:cs="Arial" w:eastAsia="Arial" w:hAnsi="Arial"/>
                <w:sz w:val="18"/>
                <w:szCs w:val="18"/>
                <w:color w:val="auto"/>
              </w:rPr>
              <w:t>/s/ Neal S. Nackman</w:t>
            </w:r>
          </w:p>
        </w:tc>
        <w:tc>
          <w:tcPr>
            <w:tcW w:w="180" w:type="dxa"/>
            <w:vAlign w:val="bottom"/>
          </w:tcPr>
          <w:p>
            <w:pPr>
              <w:spacing w:after="0"/>
              <w:rPr>
                <w:sz w:val="23"/>
                <w:szCs w:val="23"/>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Chief Financial Officer (principal financial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8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3"/>
              </w:rPr>
              <w:t>accounting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Neal S. Nackman</w:t>
            </w:r>
          </w:p>
        </w:tc>
        <w:tc>
          <w:tcPr>
            <w:tcW w:w="180" w:type="dxa"/>
            <w:vAlign w:val="bottom"/>
            <w:vMerge w:val="continue"/>
          </w:tcPr>
          <w:p>
            <w:pPr>
              <w:spacing w:after="0"/>
              <w:rPr>
                <w:sz w:val="19"/>
                <w:szCs w:val="19"/>
                <w:color w:val="auto"/>
              </w:rPr>
            </w:pPr>
          </w:p>
        </w:tc>
        <w:tc>
          <w:tcPr>
            <w:tcW w:w="38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Sammy Aaron</w:t>
            </w:r>
          </w:p>
        </w:tc>
        <w:tc>
          <w:tcPr>
            <w:tcW w:w="180" w:type="dxa"/>
            <w:vAlign w:val="bottom"/>
          </w:tcPr>
          <w:p>
            <w:pPr>
              <w:spacing w:after="0"/>
              <w:rPr>
                <w:sz w:val="24"/>
                <w:szCs w:val="2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Director, Vice Chairman and President</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Sammy Aaron</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Brosig</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Thomas J. Brosig</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Feller</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Alan Feller</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Goldfarb</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Jeffrey Goldfarb</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Jeanette Nostra</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Jeanette Nostra</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Pomerantz</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Laura Pomerantz</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Allen Sirkin</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Allen Sirkin</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Willem van Bokhorst</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Willem van Bokhorst</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Vitali</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Cheryl Vitali</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White</w:t>
            </w:r>
          </w:p>
        </w:tc>
        <w:tc>
          <w:tcPr>
            <w:tcW w:w="180" w:type="dxa"/>
            <w:vAlign w:val="bottom"/>
          </w:tcPr>
          <w:p>
            <w:pPr>
              <w:spacing w:after="0"/>
              <w:rPr>
                <w:sz w:val="24"/>
                <w:szCs w:val="24"/>
                <w:color w:val="auto"/>
              </w:rPr>
            </w:pPr>
          </w:p>
        </w:tc>
        <w:tc>
          <w:tcPr>
            <w:tcW w:w="3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28, 2019</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Richard White</w:t>
            </w:r>
          </w:p>
        </w:tc>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3120" w:type="dxa"/>
            <w:vAlign w:val="bottom"/>
          </w:tcPr>
          <w:p>
            <w:pPr>
              <w:spacing w:after="0"/>
              <w:rPr>
                <w:sz w:val="24"/>
                <w:szCs w:val="24"/>
                <w:color w:val="auto"/>
              </w:rPr>
            </w:pPr>
          </w:p>
        </w:tc>
        <w:tc>
          <w:tcPr>
            <w:tcW w:w="3840" w:type="dxa"/>
            <w:vAlign w:val="bottom"/>
            <w:gridSpan w:val="2"/>
          </w:tcPr>
          <w:p>
            <w:pPr>
              <w:jc w:val="right"/>
              <w:ind w:right="2251"/>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40" w:type="dxa"/>
            <w:vAlign w:val="bottom"/>
            <w:gridSpan w:val="13"/>
          </w:tcPr>
          <w:p>
            <w:pPr>
              <w:ind w:left="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80" w:type="dxa"/>
            <w:vAlign w:val="bottom"/>
            <w:gridSpan w:val="15"/>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First Amendment of Lease, dated July 31, 2012, by and between Centerpoint Herrod, LLC, as</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10.10(b)</w:t>
            </w:r>
          </w:p>
        </w:tc>
        <w:tc>
          <w:tcPr>
            <w:tcW w:w="504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successor in interest to The Realty Associates Fund VI, LP, and G-III.</w:t>
              </w:r>
            </w:hyperlink>
          </w:p>
        </w:tc>
        <w:tc>
          <w:tcPr>
            <w:tcW w:w="172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7480" w:type="dxa"/>
            <w:vAlign w:val="bottom"/>
            <w:gridSpan w:val="15"/>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Subsidiaries of G-III.</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7480" w:type="dxa"/>
            <w:vAlign w:val="bottom"/>
            <w:gridSpan w:val="15"/>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Consent of Independent Registered Public Accounting Firm, Ernst &amp; Young LLP.</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80" w:type="dxa"/>
            <w:vAlign w:val="bottom"/>
            <w:gridSpan w:val="15"/>
          </w:tcPr>
          <w:p>
            <w:pPr>
              <w:spacing w:after="0" w:line="17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Certification by Morris Goldfarb, Chief Executive Officer of G-III Apparel Group, Ltd.,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20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w:anchor="page111">
              <w:r>
                <w:rPr>
                  <w:rFonts w:ascii="Arial" w:cs="Arial" w:eastAsia="Arial" w:hAnsi="Arial"/>
                  <w:sz w:val="18"/>
                  <w:szCs w:val="18"/>
                  <w:color w:val="0000EE"/>
                  <w:w w:val="96"/>
                </w:rPr>
                <w:t>Rule 13a – 14(a) or Rule 15d – 14(a) of the Securities Exchange Act of 1934, as amended, in</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38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connection with G-III Apparel Group, Ltd.’s Annual Report on Form 10-K for the fiscal year ended</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7480" w:type="dxa"/>
            <w:vAlign w:val="bottom"/>
            <w:gridSpan w:val="1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 by Neal S. Nackman, Chief Financial Officer of G-III Apparel Group, Ltd., pursuant to</w:t>
              </w:r>
            </w:hyperlink>
          </w:p>
        </w:tc>
        <w:tc>
          <w:tcPr>
            <w:tcW w:w="24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480" w:type="dxa"/>
            <w:vAlign w:val="bottom"/>
            <w:gridSpan w:val="15"/>
            <w:shd w:val="clear" w:color="auto" w:fill="CCEEFF"/>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Rule 13a – 14(a) or Rule 15d – 14(a) of the Securities Exchange Act of 1934, as amended, 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66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4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connection with G-III Apparel Group, Ltd.’s Annual Report on Form 10-K for the fiscal year ended</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31.2</w:t>
            </w:r>
          </w:p>
        </w:tc>
        <w:tc>
          <w:tcPr>
            <w:tcW w:w="7480" w:type="dxa"/>
            <w:vAlign w:val="bottom"/>
            <w:gridSpan w:val="15"/>
            <w:shd w:val="clear" w:color="auto" w:fill="CCEEFF"/>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80" w:type="dxa"/>
            <w:vAlign w:val="bottom"/>
            <w:gridSpan w:val="15"/>
          </w:tcPr>
          <w:p>
            <w:pPr>
              <w:spacing w:after="0" w:line="17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Certification by Morris Goldfarb, Chief Executive Officer of G-III Apparel Group, Ltd., pursuant to 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U.S.C. Section 1350, as adopted pursuant to Section 906 of the Sarbanes-Oxley Act of 2002, in</w:t>
              </w:r>
            </w:hyperlink>
          </w:p>
        </w:tc>
        <w:tc>
          <w:tcPr>
            <w:tcW w:w="54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connection with G-III Apparel Group, Ltd.’s Annual Report on Form 10-K for the fiscal year ended</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7480" w:type="dxa"/>
            <w:vAlign w:val="bottom"/>
            <w:gridSpan w:val="1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7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by Neal S. Nackman, Chief Financial Officer of G-III Apparel Group, Ltd., pursuant to 18</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688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U.S.C. Section 1350, as adopted pursuant to Section 906 of the Sarbanes-Oxley Act of 2002, in</w:t>
              </w:r>
            </w:hyperlink>
          </w:p>
        </w:tc>
        <w:tc>
          <w:tcPr>
            <w:tcW w:w="60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connection with G-III Apparel Group, Ltd.’s Annual Report on Form 10-K for the fiscal year ended</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32.2</w:t>
            </w:r>
          </w:p>
        </w:tc>
        <w:tc>
          <w:tcPr>
            <w:tcW w:w="7480" w:type="dxa"/>
            <w:vAlign w:val="bottom"/>
            <w:gridSpan w:val="15"/>
            <w:shd w:val="clear" w:color="auto" w:fill="CCEEFF"/>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748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74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7480" w:type="dxa"/>
            <w:vAlign w:val="bottom"/>
            <w:gridSpan w:val="15"/>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74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Extension Definition.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7480" w:type="dxa"/>
            <w:vAlign w:val="bottom"/>
            <w:gridSpan w:val="15"/>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74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15(a)) G-III Apparel Group, Ltd. and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6"/>
            <w:vMerge w:val="restart"/>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Reports of Independent Registered Public Accounting Firm</w:t>
              </w:r>
            </w:hyperlink>
          </w:p>
        </w:tc>
        <w:tc>
          <w:tcPr>
            <w:tcW w:w="4140" w:type="dxa"/>
            <w:vAlign w:val="bottom"/>
            <w:gridSpan w:val="2"/>
            <w:vMerge w:val="restart"/>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6"/>
            <w:vMerge w:val="continue"/>
          </w:tcPr>
          <w:p>
            <w:pPr>
              <w:spacing w:after="0"/>
              <w:rPr>
                <w:sz w:val="14"/>
                <w:szCs w:val="14"/>
                <w:color w:val="auto"/>
              </w:rPr>
            </w:pPr>
          </w:p>
        </w:tc>
        <w:tc>
          <w:tcPr>
            <w:tcW w:w="4140" w:type="dxa"/>
            <w:vAlign w:val="bottom"/>
            <w:gridSpan w:val="2"/>
            <w:vMerge w:val="continue"/>
          </w:tcPr>
          <w:p>
            <w:pPr>
              <w:spacing w:after="0"/>
              <w:rPr>
                <w:sz w:val="14"/>
                <w:szCs w:val="14"/>
                <w:color w:val="auto"/>
              </w:rPr>
            </w:pPr>
          </w:p>
        </w:tc>
        <w:tc>
          <w:tcPr>
            <w:tcW w:w="620" w:type="dxa"/>
            <w:vAlign w:val="bottom"/>
          </w:tcPr>
          <w:p>
            <w:pPr>
              <w:ind w:left="180"/>
              <w:spacing w:after="0" w:line="17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w:t>
              </w:r>
            </w:hyperlink>
          </w:p>
        </w:tc>
        <w:tc>
          <w:tcPr>
            <w:tcW w:w="6340" w:type="dxa"/>
            <w:vAlign w:val="bottom"/>
            <w:gridSpan w:val="7"/>
          </w:tcPr>
          <w:p>
            <w:pPr>
              <w:spacing w:after="0"/>
              <w:rPr>
                <w:sz w:val="17"/>
                <w:szCs w:val="17"/>
                <w:color w:val="auto"/>
              </w:rPr>
            </w:pPr>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Income and Comprehensive Income</w:t>
              </w:r>
            </w:hyperlink>
          </w:p>
        </w:tc>
        <w:tc>
          <w:tcPr>
            <w:tcW w:w="3800" w:type="dxa"/>
            <w:vAlign w:val="bottom"/>
          </w:tcPr>
          <w:p>
            <w:pPr>
              <w:spacing w:after="0"/>
              <w:rPr>
                <w:sz w:val="17"/>
                <w:szCs w:val="17"/>
                <w:color w:val="auto"/>
              </w:rPr>
            </w:pPr>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4880" w:type="dxa"/>
            <w:vAlign w:val="bottom"/>
            <w:gridSpan w:val="4"/>
          </w:tcPr>
          <w:p>
            <w:pPr>
              <w:spacing w:after="0"/>
              <w:rPr>
                <w:sz w:val="17"/>
                <w:szCs w:val="17"/>
                <w:color w:val="auto"/>
              </w:rPr>
            </w:pPr>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5560" w:type="dxa"/>
            <w:vAlign w:val="bottom"/>
            <w:gridSpan w:val="6"/>
          </w:tcPr>
          <w:p>
            <w:pPr>
              <w:spacing w:after="0"/>
              <w:rPr>
                <w:sz w:val="17"/>
                <w:szCs w:val="17"/>
                <w:color w:val="auto"/>
              </w:rPr>
            </w:pPr>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5280" w:type="dxa"/>
            <w:vAlign w:val="bottom"/>
            <w:gridSpan w:val="5"/>
          </w:tcPr>
          <w:p>
            <w:pPr>
              <w:spacing w:after="0"/>
              <w:rPr>
                <w:sz w:val="17"/>
                <w:szCs w:val="17"/>
                <w:color w:val="auto"/>
              </w:rPr>
            </w:pPr>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8440" w:type="dxa"/>
            <w:vAlign w:val="bottom"/>
            <w:gridSpan w:val="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SCHEDULE II — Valuation and Qualifying Accounts</w:t>
              </w:r>
            </w:hyperlink>
          </w:p>
        </w:tc>
        <w:tc>
          <w:tcPr>
            <w:tcW w:w="620" w:type="dxa"/>
            <w:vAlign w:val="bottom"/>
          </w:tcPr>
          <w:p>
            <w:pPr>
              <w:ind w:left="18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schedules for which provision is made in the applicable regulations of the Securities and Exchange Commission are not required under the related instructions or are inapplicable and, accordingly, are omitted.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G-III Apparel Group,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G-III Apparel Group, Ltd. and subsidiaries (the Company) as of January 31, 2019 and 2018, the related consolidated statements of income and comprehensive income, stockholders' equity and cash flows for each of the three years in the period ended January 31,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2019 and 2018, and the results of its operations and its cash flows for each of the three years in the period ended January 31, 2019, in conformity with U.S. generally accepted accounting principles.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January 31, 2019, based on criteria established in Internal Control-Integrated Framework issued by the Committee of Sponsoring Organizations of the Treadway Commission (2013 framework) and our report dated March 28,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in Note A to the consolidated financial statements, the Company changed its method for recognizing revenue as a result of the adoption of Accounting Standards Update (ASU) No. 2014-09, Revenue from Contracts with Customers (Topic 606), and the amendments in ASUs 2015-14, 2016-08, 2016-10 and 2016-12 effective February 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40" w:firstLine="1449"/>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G-III Apparel Group, Ltd.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G-III Apparel Group, Ltd. and subsidiaries’ internal control over financial reporting as of January 31, 2019, based on criteria established in Internal Control — 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2019, based on the COSO criteria.</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January 31, 2019 and 2018, the related consolidated statements of income and comprehensive income, stockholders’ equity and cash flows for each of the three years in the period ended January 31, 2019, and the related notes and financial statement schedule listed in the Index at Item 15(a) and our report dated March 28, 2019 expressed an unqualified opinion thereon.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5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w:t>
            </w:r>
          </w:p>
        </w:tc>
        <w:tc>
          <w:tcPr>
            <w:tcW w:w="160" w:type="dxa"/>
            <w:vAlign w:val="bottom"/>
            <w:shd w:val="clear" w:color="auto" w:fill="CCEEFF"/>
          </w:tcPr>
          <w:p>
            <w:pPr>
              <w:spacing w:after="0"/>
              <w:rPr>
                <w:sz w:val="18"/>
                <w:szCs w:val="18"/>
                <w:color w:val="auto"/>
              </w:rPr>
            </w:pPr>
          </w:p>
        </w:tc>
      </w:tr>
      <w:tr>
        <w:trPr>
          <w:trHeight w:val="202"/>
        </w:trPr>
        <w:tc>
          <w:tcPr>
            <w:tcW w:w="64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$0.9 million and $2.1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million, respectively</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502,133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294,430</w:t>
            </w:r>
          </w:p>
        </w:tc>
        <w:tc>
          <w:tcPr>
            <w:tcW w:w="160" w:type="dxa"/>
            <w:vAlign w:val="bottom"/>
          </w:tcPr>
          <w:p>
            <w:pPr>
              <w:jc w:val="right"/>
              <w:ind w:right="15"/>
              <w:spacing w:after="0"/>
              <w:rPr>
                <w:sz w:val="20"/>
                <w:szCs w:val="20"/>
                <w:color w:val="auto"/>
              </w:rPr>
            </w:pPr>
            <w:r>
              <w:rPr>
                <w:rFonts w:ascii="Arial" w:cs="Arial" w:eastAsia="Arial" w:hAnsi="Arial"/>
                <w:sz w:val="9"/>
                <w:szCs w:val="9"/>
                <w:color w:val="auto"/>
                <w:w w:val="72"/>
              </w:rPr>
              <w:t>(1)</w:t>
            </w: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553,323</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15,058</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51,014</w:t>
            </w:r>
          </w:p>
        </w:tc>
        <w:tc>
          <w:tcPr>
            <w:tcW w:w="160" w:type="dxa"/>
            <w:vAlign w:val="bottom"/>
            <w:shd w:val="clear" w:color="auto" w:fill="CCEEFF"/>
          </w:tcPr>
          <w:p>
            <w:pPr>
              <w:spacing w:after="0"/>
              <w:rPr>
                <w:sz w:val="18"/>
                <w:szCs w:val="18"/>
                <w:color w:val="auto"/>
              </w:rPr>
            </w:pPr>
          </w:p>
        </w:tc>
      </w:tr>
      <w:tr>
        <w:trPr>
          <w:trHeight w:val="210"/>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1,253,895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959,601</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97,857</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46,405</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439,742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442,265</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261,137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160" w:type="dxa"/>
            <w:vAlign w:val="bottom"/>
            <w:shd w:val="clear" w:color="auto" w:fill="CCEEFF"/>
          </w:tcPr>
          <w:p>
            <w:pPr>
              <w:spacing w:after="0"/>
              <w:rPr>
                <w:sz w:val="18"/>
                <w:szCs w:val="18"/>
                <w:color w:val="auto"/>
              </w:rPr>
            </w:pPr>
          </w:p>
        </w:tc>
      </w:tr>
      <w:tr>
        <w:trPr>
          <w:trHeight w:val="217"/>
        </w:trPr>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c>
          <w:tcPr>
            <w:tcW w:w="160" w:type="dxa"/>
            <w:vAlign w:val="bottom"/>
            <w:tcBorders>
              <w:bottom w:val="single" w:sz="8" w:color="CCEEFF"/>
            </w:tcBorders>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225,499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232,364</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Customer refund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347,167</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Notes payable, net of discount and unamortized issuance costs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386,604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391,044</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160" w:type="dxa"/>
            <w:vAlign w:val="bottom"/>
            <w:tcBorders>
              <w:bottom w:val="single" w:sz="8" w:color="CCEEFF"/>
            </w:tcBorders>
          </w:tcPr>
          <w:p>
            <w:pPr>
              <w:spacing w:after="0"/>
              <w:rPr>
                <w:sz w:val="18"/>
                <w:szCs w:val="18"/>
                <w:color w:val="auto"/>
              </w:rPr>
            </w:pPr>
          </w:p>
        </w:tc>
      </w:tr>
      <w:tr>
        <w:trPr>
          <w:trHeight w:val="210"/>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1,019,049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794,488</w:t>
            </w:r>
          </w:p>
        </w:tc>
        <w:tc>
          <w:tcPr>
            <w:tcW w:w="160" w:type="dxa"/>
            <w:vAlign w:val="bottom"/>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Preferred stock; 1,000 shares authorized; no shares issued and outstanding</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64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Common stock - $0.01 par value; 120,000 shares authorized; 49,387 and 49,219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respectively</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20"/>
                <w:szCs w:val="20"/>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464,112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451,844</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758,881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674,542</w:t>
            </w: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 held in treasury, at cost - 678 and 106 shares, respectively</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r>
      <w:tr>
        <w:trPr>
          <w:trHeight w:val="210"/>
        </w:trPr>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1,189,009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1,120,689</w:t>
            </w:r>
          </w:p>
        </w:tc>
        <w:tc>
          <w:tcPr>
            <w:tcW w:w="160" w:type="dxa"/>
            <w:vAlign w:val="bottom"/>
            <w:tcBorders>
              <w:bottom w:val="single" w:sz="8" w:color="CCEEFF"/>
            </w:tcBorders>
          </w:tcPr>
          <w:p>
            <w:pPr>
              <w:spacing w:after="0"/>
              <w:rPr>
                <w:sz w:val="18"/>
                <w:szCs w:val="18"/>
                <w:color w:val="auto"/>
              </w:rPr>
            </w:pPr>
          </w:p>
        </w:tc>
      </w:tr>
      <w:tr>
        <w:trPr>
          <w:trHeight w:val="217"/>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2,208,058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1,915,177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76"/>
        </w:trPr>
        <w:tc>
          <w:tcPr>
            <w:tcW w:w="2280" w:type="dxa"/>
            <w:vAlign w:val="bottom"/>
            <w:tcBorders>
              <w:bottom w:val="single" w:sz="8" w:color="auto"/>
            </w:tcBorders>
          </w:tcPr>
          <w:p>
            <w:pPr>
              <w:spacing w:after="0"/>
              <w:rPr>
                <w:sz w:val="15"/>
                <w:szCs w:val="15"/>
                <w:color w:val="auto"/>
              </w:rPr>
            </w:pPr>
          </w:p>
        </w:tc>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15"/>
        </w:trPr>
        <w:tc>
          <w:tcPr>
            <w:tcW w:w="2280" w:type="dxa"/>
            <w:vAlign w:val="bottom"/>
          </w:tcPr>
          <w:p>
            <w:pPr>
              <w:ind w:left="120"/>
              <w:spacing w:after="0"/>
              <w:rPr>
                <w:sz w:val="20"/>
                <w:szCs w:val="20"/>
                <w:color w:val="auto"/>
              </w:rPr>
            </w:pPr>
            <w:r>
              <w:rPr>
                <w:rFonts w:ascii="Arial" w:cs="Arial" w:eastAsia="Arial" w:hAnsi="Arial"/>
                <w:sz w:val="9"/>
                <w:szCs w:val="9"/>
                <w:color w:val="auto"/>
              </w:rPr>
              <w:t>(1)</w:t>
            </w:r>
          </w:p>
        </w:tc>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6"/>
        </w:trPr>
        <w:tc>
          <w:tcPr>
            <w:tcW w:w="6480" w:type="dxa"/>
            <w:vAlign w:val="bottom"/>
            <w:gridSpan w:val="2"/>
          </w:tcPr>
          <w:p>
            <w:pPr>
              <w:ind w:left="480"/>
              <w:spacing w:after="0"/>
              <w:rPr>
                <w:sz w:val="20"/>
                <w:szCs w:val="20"/>
                <w:color w:val="auto"/>
              </w:rPr>
            </w:pPr>
            <w:r>
              <w:rPr>
                <w:rFonts w:ascii="Arial" w:cs="Arial" w:eastAsia="Arial" w:hAnsi="Arial"/>
                <w:sz w:val="16"/>
                <w:szCs w:val="16"/>
                <w:color w:val="auto"/>
              </w:rPr>
              <w:t>Also, net of accrued returns of $61.2 million and sales discounts of $102.1 million.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19"/>
        </w:trPr>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(As Adjusted)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(As Adjusted)</w:t>
            </w:r>
          </w:p>
        </w:tc>
        <w:tc>
          <w:tcPr>
            <w:tcW w:w="20" w:type="dxa"/>
            <w:vAlign w:val="bottom"/>
          </w:tcPr>
          <w:p>
            <w:pPr>
              <w:spacing w:after="0"/>
              <w:rPr>
                <w:sz w:val="10"/>
                <w:szCs w:val="10"/>
                <w:color w:val="auto"/>
              </w:rPr>
            </w:pPr>
          </w:p>
        </w:tc>
      </w:tr>
      <w:tr>
        <w:trPr>
          <w:trHeight w:val="171"/>
        </w:trPr>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3,076,208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2,806,938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2,386,435</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1,969,099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1,752,199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1,545,107</w:t>
            </w:r>
          </w:p>
        </w:tc>
        <w:tc>
          <w:tcPr>
            <w:tcW w:w="20" w:type="dxa"/>
            <w:vAlign w:val="bottom"/>
          </w:tcPr>
          <w:p>
            <w:pPr>
              <w:spacing w:after="0"/>
              <w:rPr>
                <w:sz w:val="18"/>
                <w:szCs w:val="18"/>
                <w:color w:val="auto"/>
              </w:rPr>
            </w:pPr>
          </w:p>
        </w:tc>
      </w:tr>
      <w:tr>
        <w:trPr>
          <w:trHeight w:val="210"/>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1,054,739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841,328</w:t>
            </w:r>
          </w:p>
        </w:tc>
        <w:tc>
          <w:tcPr>
            <w:tcW w:w="20" w:type="dxa"/>
            <w:vAlign w:val="bottom"/>
          </w:tcPr>
          <w:p>
            <w:pPr>
              <w:spacing w:after="0"/>
              <w:rPr>
                <w:sz w:val="18"/>
                <w:szCs w:val="18"/>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704,436</w:t>
            </w:r>
          </w:p>
        </w:tc>
        <w:tc>
          <w:tcPr>
            <w:tcW w:w="20" w:type="dxa"/>
            <w:vAlign w:val="bottom"/>
          </w:tcPr>
          <w:p>
            <w:pPr>
              <w:spacing w:after="0"/>
              <w:rPr>
                <w:sz w:val="18"/>
                <w:szCs w:val="18"/>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Asset impairments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20" w:type="dxa"/>
            <w:vAlign w:val="bottom"/>
          </w:tcPr>
          <w:p>
            <w:pPr>
              <w:spacing w:after="0"/>
              <w:rPr>
                <w:sz w:val="18"/>
                <w:szCs w:val="18"/>
                <w:color w:val="auto"/>
              </w:rPr>
            </w:pPr>
          </w:p>
        </w:tc>
      </w:tr>
      <w:tr>
        <w:trPr>
          <w:trHeight w:val="210"/>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93,931</w:t>
            </w:r>
          </w:p>
        </w:tc>
        <w:tc>
          <w:tcPr>
            <w:tcW w:w="20" w:type="dxa"/>
            <w:vAlign w:val="bottom"/>
          </w:tcPr>
          <w:p>
            <w:pPr>
              <w:spacing w:after="0"/>
              <w:rPr>
                <w:sz w:val="18"/>
                <w:szCs w:val="18"/>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Other loss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2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1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183,830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77,762</w:t>
            </w:r>
          </w:p>
        </w:tc>
        <w:tc>
          <w:tcPr>
            <w:tcW w:w="20" w:type="dxa"/>
            <w:vAlign w:val="bottom"/>
          </w:tcPr>
          <w:p>
            <w:pPr>
              <w:spacing w:after="0"/>
              <w:rPr>
                <w:sz w:val="18"/>
                <w:szCs w:val="18"/>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20" w:type="dxa"/>
            <w:vAlign w:val="bottom"/>
          </w:tcPr>
          <w:p>
            <w:pPr>
              <w:spacing w:after="0"/>
              <w:rPr>
                <w:sz w:val="18"/>
                <w:szCs w:val="18"/>
                <w:color w:val="auto"/>
              </w:rPr>
            </w:pPr>
          </w:p>
        </w:tc>
      </w:tr>
      <w:tr>
        <w:trPr>
          <w:trHeight w:val="217"/>
        </w:trPr>
        <w:tc>
          <w:tcPr>
            <w:tcW w:w="48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w:t>
            </w:r>
          </w:p>
        </w:tc>
        <w:tc>
          <w:tcPr>
            <w:tcW w:w="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48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r>
      <w:tr>
        <w:trPr>
          <w:trHeight w:val="223"/>
        </w:trPr>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Weighted average number of shares outstanding</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46,308</w:t>
            </w:r>
          </w:p>
        </w:tc>
        <w:tc>
          <w:tcPr>
            <w:tcW w:w="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48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23"/>
        </w:trPr>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Weighted average number of shares outstanding</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47,394</w:t>
            </w:r>
          </w:p>
        </w:tc>
        <w:tc>
          <w:tcPr>
            <w:tcW w:w="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51,938</w:t>
            </w:r>
          </w:p>
        </w:tc>
        <w:tc>
          <w:tcPr>
            <w:tcW w:w="20" w:type="dxa"/>
            <w:vAlign w:val="bottom"/>
          </w:tcPr>
          <w:p>
            <w:pPr>
              <w:spacing w:after="0"/>
              <w:rPr>
                <w:sz w:val="18"/>
                <w:szCs w:val="18"/>
                <w:color w:val="auto"/>
              </w:rPr>
            </w:pPr>
          </w:p>
        </w:tc>
      </w:tr>
      <w:tr>
        <w:trPr>
          <w:trHeight w:val="216"/>
        </w:trPr>
        <w:tc>
          <w:tcPr>
            <w:tcW w:w="4860" w:type="dxa"/>
            <w:vAlign w:val="bottom"/>
            <w:gridSpan w:val="4"/>
          </w:tcPr>
          <w:p>
            <w:pPr>
              <w:spacing w:after="0"/>
              <w:rPr>
                <w:sz w:val="20"/>
                <w:szCs w:val="20"/>
                <w:color w:val="auto"/>
              </w:rPr>
            </w:pPr>
            <w:r>
              <w:rPr>
                <w:rFonts w:ascii="Arial" w:cs="Arial" w:eastAsia="Arial" w:hAnsi="Arial"/>
                <w:sz w:val="18"/>
                <w:szCs w:val="18"/>
                <w:color w:val="auto"/>
              </w:rPr>
              <w:t>Other comprehensive income (loss):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20" w:type="dxa"/>
            <w:vAlign w:val="bottom"/>
          </w:tcPr>
          <w:p>
            <w:pPr>
              <w:spacing w:after="0"/>
              <w:rPr>
                <w:sz w:val="18"/>
                <w:szCs w:val="18"/>
                <w:color w:val="auto"/>
              </w:rPr>
            </w:pPr>
          </w:p>
        </w:tc>
      </w:tr>
      <w:tr>
        <w:trPr>
          <w:trHeight w:val="210"/>
        </w:trPr>
        <w:tc>
          <w:tcPr>
            <w:tcW w:w="48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comprehensive income (loss)</w:t>
            </w:r>
          </w:p>
        </w:tc>
        <w:tc>
          <w:tcPr>
            <w:tcW w:w="1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20" w:type="dxa"/>
            <w:vAlign w:val="bottom"/>
          </w:tcPr>
          <w:p>
            <w:pPr>
              <w:spacing w:after="0"/>
              <w:rPr>
                <w:sz w:val="18"/>
                <w:szCs w:val="18"/>
                <w:color w:val="auto"/>
              </w:rPr>
            </w:pPr>
          </w:p>
        </w:tc>
      </w:tr>
      <w:tr>
        <w:trPr>
          <w:trHeight w:val="217"/>
        </w:trPr>
        <w:tc>
          <w:tcPr>
            <w:tcW w:w="48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Held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9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$ 353,750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$ 560,480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(6,956)</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Shares issued to LVMH in connection with</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DKI acquisition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(4,033)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51,938</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 as of January 31, 2017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437,777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(27,722)</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612,418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1,021,236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exercised/vested,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Taxes paid for net share settlements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gain,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22,200</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 as of January 31, 2018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451,844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674,542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1,120,689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exercised/vested,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Taxes paid for net share settlements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(9,672)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(20,311)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Cumulative effect of adoption of ASC 606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(53,728)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138,067</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Balance as of January 31, 2019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$ 464,112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$ 758,881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1,189,009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4"/>
                <w:szCs w:val="14"/>
                <w:b w:val="1"/>
                <w:bCs w:val="1"/>
                <w:color w:val="auto"/>
              </w:rPr>
              <w:t>Year Ended January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138,067</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62,124</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51,938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Adjustments to reconcile net income to net cash provided by operating activities,</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of assets and liabilities acquired: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37,783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 impairments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loss in unconsolidated affiliates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(207,877)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(68,775)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(47,959)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assets,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00"/>
              <w:spacing w:after="0"/>
              <w:rPr>
                <w:sz w:val="20"/>
                <w:szCs w:val="20"/>
                <w:color w:val="auto"/>
              </w:rPr>
            </w:pPr>
            <w:r>
              <w:rPr>
                <w:rFonts w:ascii="Arial" w:cs="Arial" w:eastAsia="Arial" w:hAnsi="Arial"/>
                <w:sz w:val="16"/>
                <w:szCs w:val="16"/>
                <w:color w:val="auto"/>
              </w:rPr>
              <w:t>Customer refund liabilities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177,144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103,829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Investment in unconsolidated affiliate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(9,951)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Return of capital from unconsolidated affiliate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Proceeds from sale of a retail store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net of cash acquired</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term loan,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Repayment of borrowings - new revolving credit facility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(2,315,935)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(2,018,892)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borrowings - new revolving credit facility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2,303,932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1,939,774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Repayment of borrowings - old revolving credit facility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exercise of equity awards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Purchase of treasury 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Taxes paid for net share settlements</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(37,951)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(83,654)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367,631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79,957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132,587</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70,138</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45,776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79,957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payments: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Interest, net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35,807</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31,644</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payments,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6"/>
                <w:szCs w:val="16"/>
                <w:color w:val="auto"/>
              </w:rPr>
              <w:t>Non-cash investment and financing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Shares of common stock issued to LVMH in connection with the acquisition of</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DKI</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Note issued to LVMH in connection with the acquisition of DKI</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Business Activity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consolidates the accounts of all its wholly-owned and majority-owned subsidiaries. KL North America B.V. (“KLNA”) and Fabco Holding B.V. (“Fabco”) are Dutch limited liability companies that are joint ventures that are 49% owned by the Company. Karl Lagerfeld Holding B.V. (“KLH”), formerly known as Kingdom Holdings 1 B.V., is a Dutch limited liability company that is 19% owned by the Company. These investments are accounted for using the equity method of accounting. All material intercompany balances and transactions have been eliminated.</w:t>
      </w:r>
    </w:p>
    <w:p>
      <w:pPr>
        <w:spacing w:after="0" w:line="17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year ended or ending closest to the Company’s fiscal year. For example, with respect to the Company’s results for the year ended January 31, 2019, the results of Vilebrequin, KLH, KLNA and Fabco are included for the year ended December 31, 2018. The Company’s retail operations segment reports results on a 52/53</w:t>
      </w:r>
      <w:r>
        <w:rPr>
          <w:rFonts w:ascii="MS PGothic" w:cs="MS PGothic" w:eastAsia="MS PGothic" w:hAnsi="MS PGothic"/>
          <w:sz w:val="16"/>
          <w:szCs w:val="16"/>
          <w:color w:val="auto"/>
        </w:rPr>
        <w:t>‑</w:t>
      </w:r>
      <w:r>
        <w:rPr>
          <w:rFonts w:ascii="Arial" w:cs="Arial" w:eastAsia="Arial" w:hAnsi="Arial"/>
          <w:sz w:val="16"/>
          <w:szCs w:val="16"/>
          <w:color w:val="auto"/>
        </w:rPr>
        <w:t>week fiscal year. The Company’s years ended January 31, 2019 and 2017 were both 52</w:t>
      </w:r>
      <w:r>
        <w:rPr>
          <w:rFonts w:ascii="MS PGothic" w:cs="MS PGothic" w:eastAsia="MS PGothic" w:hAnsi="MS PGothic"/>
          <w:sz w:val="16"/>
          <w:szCs w:val="16"/>
          <w:color w:val="auto"/>
        </w:rPr>
        <w:t>‑</w:t>
      </w:r>
      <w:r>
        <w:rPr>
          <w:rFonts w:ascii="Arial" w:cs="Arial" w:eastAsia="Arial" w:hAnsi="Arial"/>
          <w:sz w:val="16"/>
          <w:szCs w:val="16"/>
          <w:color w:val="auto"/>
        </w:rPr>
        <w:t>week fiscal years for the retail operations segment. The Company’s year ended January 31, 2018 was a 53</w:t>
      </w:r>
      <w:r>
        <w:rPr>
          <w:rFonts w:ascii="MS PGothic" w:cs="MS PGothic" w:eastAsia="MS PGothic" w:hAnsi="MS PGothic"/>
          <w:sz w:val="16"/>
          <w:szCs w:val="16"/>
          <w:color w:val="auto"/>
        </w:rPr>
        <w:t>‑</w:t>
      </w:r>
      <w:r>
        <w:rPr>
          <w:rFonts w:ascii="Arial" w:cs="Arial" w:eastAsia="Arial" w:hAnsi="Arial"/>
          <w:sz w:val="16"/>
          <w:szCs w:val="16"/>
          <w:color w:val="auto"/>
        </w:rPr>
        <w:t>week fiscal year for the retail operations segment. For fiscal 2019, 2018 and 2017, the retail operations segment year end was February 2, 2019, February 3, 2018 and January 28,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February 1, 2018, the Company adopted Financial Accounting Standards Board (“FASB”) Accounting Standard Codification (“ASC”)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using the modified retrospective method as of January 31, 2018. Under ASC 606, 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Customer refund liabilities were recorded as a reduction to accounts receivable prior to the adoption of ASC 606. Historical return rates are calculated on a product line basis. The remainder of the historical rates for variable consideration are calculated by customer by product lines.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recognizes retail sales when the customer takes possession of the goods and tenders payment, generally at the point of sale. E-commerce revenues from customers through the Company’s e-commerce platforms are recognized when the customer takes possession of the goods. The Company’s sales are recorded net of applicable sales taxes.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wholesale revenues and retail store revenues are shown net of returns, discounts and other allowances. Under ASC 606, the Company now classifies cooperative advertising as a reduction of net sales. Previously, cooperative advertising was recorded in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Accounts Receivable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Estimated costs associated with trade discounts, advertising allowances, markdowns, and reserves for returns are reflected as a reduction of net sales. Under ASC 606, all of these reserves, which constitute variable consideration, are classified as current liabilities under “Customer refund liabilities”. Prior to ASC 606, these reserves were part of the allowances netted against accounts receivable. The Company reserves against known chargebacks, as well as for an estimate of potential future deductions by customers. These provisions result from seasonal negotiations with the Company’s customers as well as historical deduction trends, net of historical recoveries and the evaluation of current market conditions.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Inventories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Goodwill and Other Intangibles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accounted for under the purchase method of accounting. Goodwill and certain intangible assets deemed to have indefinite lives are not amortized, but are subject to annual impairment tests using a qualitative evaluation or a quantitative test combining a discounted cash flow analysis and a market approach.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2018, the Company wrote off goodwill of $0.7 million related to the retail operations segment, as a result of the performance of the retail operations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Depreciation and Amortization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Impairment of Long-Lived Assets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accordance with ASC Topic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the Company annually evaluates the carrying value of its long-lived assets to determine whether changes have occurred that would suggest that the carrying amount of such assets may not be recoverable based on the estimated future undiscounted cash flows of the businesses to which the assets relate. Any impairment would be equal to the amount by which the carrying value of the assets exceeded its fair value.</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fiscal 2019, the Company recorded a $2.8 million impairment charge related to leasehold improvements and furniture and fixtures at certain of its Wilsons, G.H. Bass and DKNY stores as a result of the performance at these stores.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2018, the Company recorded a $6.5 million impairment charge related to leasehold improvements and furniture and fixtures at certain of its Wilsons, G.H. Bass and Vilebrequin stores as a result of the performance at these stores. In addition, the Company recorded a $0.7 million impairment charge with respect to furniture and fixtures located in certain customers’ stores.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the Company recorded a $10.5 million impairment charge related to leasehold improvements and furniture and fixtures at certain of its Wilsons and G.H. Bass stores as a result of the performance at these stores.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and uncertain tax positions in accordance with 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Deferred income taxes reflect the tax effects of temporary differences between the carrying values of assets and liabilities for financial reporting purposes and the amounts used for income tax purposes.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Cuts and Jobs Act of 2017 (“TCJA”) was signed into law making significant changes to the Internal Revenue Code. Changes include, but are not limited to, a corporate tax rate decrease from 35% to 21% effective for tax years beginning after December 31, 2017, a one-time transition tax on the mandatory deemed repatriation of cumulative foreign earnings as of December 31, 2017, a new taxation on foreign earnings called Global Intangible Low Taxed Income (“GILTI”), and the new Base Erosion Anti-Abuse Tax (“BEAT”).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Income Per Common Share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stock options outstanding during the period. Approximately 336,000, 466,000 and 384,000 shares for the years ended January 31, 2019, 2018 and 2017, respectively, have been excluded from the diluted net income per share calculation. In addition, all share based payments outstanding that vest based on the achievement of performance and/or market price conditions, and for which the respective performance and/or market price conditions have not been achieved, have been excluded from the diluted per share calculation. The Company issued 168,179, 201,968 and 194,618 shares of common stock in connection with the exercise or vesting of equity awards during the years ended January 31, 2019, 2018 and 2017, respectively. In addition, the Company re-issued 150,809 and 270,083 treasury shares in connection with the vesting of equity awards in fiscal 2019 and fiscal 2018, respectively.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8"/>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62,124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48,820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46,308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 net income per share</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Diluted restricted stock awards and stock options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49,750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47,394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Diluted net income per share</w:t>
            </w:r>
          </w:p>
        </w:tc>
        <w:tc>
          <w:tcPr>
            <w:tcW w:w="1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Equity Award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requires all share-based payments to employees, including grants of restricted stock unit awards and employee stock options, to be recognized as compensation expense over the service period (generally the vesting period) based on their fair values.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forfeited awards as they occur as permitted by Accounting Standard Update (“ASU”) 2016-09. Ultimately, the actual expense recognized over the vesting period will be for those shares that vested. Restricted stock unit awards generally vest over a two to five year period and certain awards also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All awards are expensed on a straight-line basis other than awards with market price performance and/or operating performance conditions, which are expensed under the requisite acceleration method.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the Company’s policy to grant stock options at prices not less than the fair market value on the date of the grant. Option terms, vesting and exercise periods vary, except that the term of an option may not exceed ten years.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Also, in accordance with ASU 2016</w:t>
      </w:r>
      <w:r>
        <w:rPr>
          <w:rFonts w:ascii="MS PGothic" w:cs="MS PGothic" w:eastAsia="MS PGothic" w:hAnsi="MS PGothic"/>
          <w:sz w:val="17"/>
          <w:szCs w:val="17"/>
          <w:color w:val="auto"/>
        </w:rPr>
        <w:t>‑</w:t>
      </w:r>
      <w:r>
        <w:rPr>
          <w:rFonts w:ascii="Arial" w:cs="Arial" w:eastAsia="Arial" w:hAnsi="Arial"/>
          <w:sz w:val="17"/>
          <w:szCs w:val="17"/>
          <w:color w:val="auto"/>
        </w:rPr>
        <w:t>09, excess tax benefits arising from the lapse or exercise of an equity award are no longer recognized in additional paid-in capital. The assumed proceeds from applying the treasury stock method when computing net income per share is amended to exclude the amount of excess tax benefits that would be recognized in additional paid-in capital. This change in accounting resulted in approximately 207,000 additional diluted common shares being included in the diluted net income per share calculation for the year ended January 31,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Cost of Goods Sold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Shipping and Handling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$125.9 million, $120.2 million and $99.1 million for the years ended January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Advertising Costs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$87.0 million, $104.8 million and $89.5 million for the years ended January 31, 2019, 2018 and 2017, respectively. Prepaid advertising, which represents advance payments to licensors for minimum guaranteed payments for advertising under the Company’s licensing agreements, was $9.0 million and $9.7 million at January 31,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Use of Estimates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and carrying values of intangible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 Value of Financial Instruments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6"/>
                <w:szCs w:val="16"/>
                <w:b w:val="1"/>
                <w:bCs w:val="1"/>
                <w:color w:val="auto"/>
              </w:rPr>
              <w:t>Carrying Value</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6"/>
                <w:szCs w:val="16"/>
                <w:b w:val="1"/>
                <w:bCs w:val="1"/>
                <w:color w:val="auto"/>
              </w:rPr>
              <w:t>Fair Value</w:t>
            </w:r>
          </w:p>
        </w:tc>
      </w:tr>
      <w:tr>
        <w:trPr>
          <w:trHeight w:val="185"/>
        </w:trPr>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w w:val="95"/>
              </w:rPr>
              <w:t>January 31,</w:t>
            </w:r>
          </w:p>
        </w:tc>
        <w:tc>
          <w:tcPr>
            <w:tcW w:w="300" w:type="dxa"/>
            <w:vAlign w:val="bottom"/>
          </w:tcPr>
          <w:p>
            <w:pPr>
              <w:spacing w:after="0"/>
              <w:rPr>
                <w:sz w:val="16"/>
                <w:szCs w:val="16"/>
                <w:color w:val="auto"/>
              </w:rPr>
            </w:pPr>
          </w:p>
        </w:tc>
        <w:tc>
          <w:tcPr>
            <w:tcW w:w="1040" w:type="dxa"/>
            <w:vAlign w:val="bottom"/>
          </w:tcPr>
          <w:p>
            <w:pPr>
              <w:jc w:val="right"/>
              <w:ind w:right="94"/>
              <w:spacing w:after="0"/>
              <w:rPr>
                <w:sz w:val="20"/>
                <w:szCs w:val="20"/>
                <w:color w:val="auto"/>
              </w:rPr>
            </w:pPr>
            <w:r>
              <w:rPr>
                <w:rFonts w:ascii="Arial" w:cs="Arial" w:eastAsia="Arial" w:hAnsi="Arial"/>
                <w:sz w:val="16"/>
                <w:szCs w:val="16"/>
                <w:b w:val="1"/>
                <w:bCs w:val="1"/>
                <w:color w:val="auto"/>
                <w:w w:val="95"/>
              </w:rPr>
              <w:t>January 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w w:val="95"/>
              </w:rPr>
              <w:t>January 31,</w:t>
            </w:r>
          </w:p>
        </w:tc>
        <w:tc>
          <w:tcPr>
            <w:tcW w:w="320" w:type="dxa"/>
            <w:vAlign w:val="bottom"/>
          </w:tcPr>
          <w:p>
            <w:pPr>
              <w:spacing w:after="0"/>
              <w:rPr>
                <w:sz w:val="16"/>
                <w:szCs w:val="16"/>
                <w:color w:val="auto"/>
              </w:rPr>
            </w:pPr>
          </w:p>
        </w:tc>
        <w:tc>
          <w:tcPr>
            <w:tcW w:w="1040" w:type="dxa"/>
            <w:vAlign w:val="bottom"/>
          </w:tcPr>
          <w:p>
            <w:pPr>
              <w:jc w:val="right"/>
              <w:ind w:right="94"/>
              <w:spacing w:after="0"/>
              <w:rPr>
                <w:sz w:val="20"/>
                <w:szCs w:val="20"/>
                <w:color w:val="auto"/>
              </w:rPr>
            </w:pPr>
            <w:r>
              <w:rPr>
                <w:rFonts w:ascii="Arial" w:cs="Arial" w:eastAsia="Arial" w:hAnsi="Arial"/>
                <w:sz w:val="16"/>
                <w:szCs w:val="16"/>
                <w:b w:val="1"/>
                <w:bCs w:val="1"/>
                <w:color w:val="auto"/>
                <w:w w:val="95"/>
              </w:rPr>
              <w:t>January 31,</w:t>
            </w:r>
          </w:p>
        </w:tc>
      </w:tr>
      <w:tr>
        <w:trPr>
          <w:trHeight w:val="213"/>
        </w:trPr>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Financial Instrument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Level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r>
      <w:tr>
        <w:trPr>
          <w:trHeight w:val="199"/>
        </w:trPr>
        <w:tc>
          <w:tcPr>
            <w:tcW w:w="2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814"/>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w:t>
            </w: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96,618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88,608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2% note issued to LVMH Moet Hennessy Louis Vuitton Inc. (“LVMH”) in connection with the acquisition of DKI was issued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note issued to LVMH was considered a Level 3 valuation 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Foreign Currency Translation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3640" w:firstLine="3"/>
        <w:spacing w:after="0" w:line="383" w:lineRule="auto"/>
        <w:tabs>
          <w:tab w:leader="none" w:pos="31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Effects of Recently Adopted and Issued Accounting Pronouncements </w:t>
      </w:r>
      <w:r>
        <w:rPr>
          <w:rFonts w:ascii="Arial" w:cs="Arial" w:eastAsia="Arial" w:hAnsi="Arial"/>
          <w:sz w:val="18"/>
          <w:szCs w:val="18"/>
          <w:i w:val="1"/>
          <w:iCs w:val="1"/>
          <w:color w:val="auto"/>
        </w:rPr>
        <w:t>Recently Adopted Accounting Guidance</w:t>
      </w:r>
    </w:p>
    <w:p>
      <w:pPr>
        <w:spacing w:after="0" w:line="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February 2018, the FASB issued ASU 2018</w:t>
      </w:r>
      <w:r>
        <w:rPr>
          <w:rFonts w:ascii="MS PGothic" w:cs="MS PGothic" w:eastAsia="MS PGothic" w:hAnsi="MS PGothic"/>
          <w:sz w:val="16"/>
          <w:szCs w:val="16"/>
          <w:color w:val="auto"/>
        </w:rPr>
        <w:t>‑</w:t>
      </w:r>
      <w:r>
        <w:rPr>
          <w:rFonts w:ascii="Arial" w:cs="Arial" w:eastAsia="Arial" w:hAnsi="Arial"/>
          <w:sz w:val="16"/>
          <w:szCs w:val="16"/>
          <w:color w:val="auto"/>
        </w:rPr>
        <w:t>03, “Technical Corrections and Improvements to Financial Instruments – Overall (Subtopic 825</w:t>
      </w:r>
      <w:r>
        <w:rPr>
          <w:rFonts w:ascii="MS PGothic" w:cs="MS PGothic" w:eastAsia="MS PGothic" w:hAnsi="MS PGothic"/>
          <w:sz w:val="16"/>
          <w:szCs w:val="16"/>
          <w:color w:val="auto"/>
        </w:rPr>
        <w:t>‑</w:t>
      </w:r>
      <w:r>
        <w:rPr>
          <w:rFonts w:ascii="Arial" w:cs="Arial" w:eastAsia="Arial" w:hAnsi="Arial"/>
          <w:sz w:val="16"/>
          <w:szCs w:val="16"/>
          <w:color w:val="auto"/>
        </w:rPr>
        <w:t>10): Recognition and Measurement of Financial Assets and Financial Liabilities”, which makes technical corrections to certain aspects of ASU 2016</w:t>
      </w:r>
      <w:r>
        <w:rPr>
          <w:rFonts w:ascii="MS PGothic" w:cs="MS PGothic" w:eastAsia="MS PGothic" w:hAnsi="MS PGothic"/>
          <w:sz w:val="16"/>
          <w:szCs w:val="16"/>
          <w:color w:val="auto"/>
        </w:rPr>
        <w:t>‑</w:t>
      </w:r>
      <w:r>
        <w:rPr>
          <w:rFonts w:ascii="Arial" w:cs="Arial" w:eastAsia="Arial" w:hAnsi="Arial"/>
          <w:sz w:val="16"/>
          <w:szCs w:val="16"/>
          <w:color w:val="auto"/>
        </w:rPr>
        <w:t>01 (on recognition of financial assets and financial liabilities), including the following: (i) equity securities without a readily determinable fair value — discontinuation, (ii) equity securities without a readily determinable fair value — adjustments, (iii) forward contracts and purchased options, (iv) presentation requirements for certain fair value option liabilities, (v) fair value option liabilities denominated in a foreign currency and (vi) transition guidance for equity securities without a readily determinable fair value. Public business entities with fiscal years beginning between December 15, 2017, and June 15, 2018, were not required to adopt the amendments until the interim period beginning after June 15, 2018. The Company adopted the provisions of ASU 2018</w:t>
      </w:r>
      <w:r>
        <w:rPr>
          <w:rFonts w:ascii="MS PGothic" w:cs="MS PGothic" w:eastAsia="MS PGothic" w:hAnsi="MS PGothic"/>
          <w:sz w:val="16"/>
          <w:szCs w:val="16"/>
          <w:color w:val="auto"/>
        </w:rPr>
        <w:t>‑</w:t>
      </w:r>
      <w:r>
        <w:rPr>
          <w:rFonts w:ascii="Arial" w:cs="Arial" w:eastAsia="Arial" w:hAnsi="Arial"/>
          <w:sz w:val="16"/>
          <w:szCs w:val="16"/>
          <w:color w:val="auto"/>
        </w:rPr>
        <w:t>03 during the third quarter of fiscal 2019. The adoption of ASU 2018</w:t>
      </w:r>
      <w:r>
        <w:rPr>
          <w:rFonts w:ascii="MS PGothic" w:cs="MS PGothic" w:eastAsia="MS PGothic" w:hAnsi="MS PGothic"/>
          <w:sz w:val="16"/>
          <w:szCs w:val="16"/>
          <w:color w:val="auto"/>
        </w:rPr>
        <w:t>‑</w:t>
      </w:r>
      <w:r>
        <w:rPr>
          <w:rFonts w:ascii="Arial" w:cs="Arial" w:eastAsia="Arial" w:hAnsi="Arial"/>
          <w:sz w:val="16"/>
          <w:szCs w:val="16"/>
          <w:color w:val="auto"/>
        </w:rPr>
        <w:t>03 did not have any impact on the Company’s consolidated financial statements.</w:t>
      </w:r>
    </w:p>
    <w:p>
      <w:pPr>
        <w:spacing w:after="0" w:line="12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May 2017, the Financial Accounting Standards Board (“FASB”) issued ASU 2017</w:t>
      </w:r>
      <w:r>
        <w:rPr>
          <w:rFonts w:ascii="MS PGothic" w:cs="MS PGothic" w:eastAsia="MS PGothic" w:hAnsi="MS PGothic"/>
          <w:sz w:val="17"/>
          <w:szCs w:val="17"/>
          <w:color w:val="auto"/>
        </w:rPr>
        <w:t>‑</w:t>
      </w:r>
      <w:r>
        <w:rPr>
          <w:rFonts w:ascii="Arial" w:cs="Arial" w:eastAsia="Arial" w:hAnsi="Arial"/>
          <w:sz w:val="17"/>
          <w:szCs w:val="17"/>
          <w:color w:val="auto"/>
        </w:rPr>
        <w:t>09, “Compensation — Stock Compensation (Topic 718): Scope of Modification Accounting.” ASU 2017</w:t>
      </w:r>
      <w:r>
        <w:rPr>
          <w:rFonts w:ascii="MS PGothic" w:cs="MS PGothic" w:eastAsia="MS PGothic" w:hAnsi="MS PGothic"/>
          <w:sz w:val="17"/>
          <w:szCs w:val="17"/>
          <w:color w:val="auto"/>
        </w:rPr>
        <w:t>‑</w:t>
      </w:r>
      <w:r>
        <w:rPr>
          <w:rFonts w:ascii="Arial" w:cs="Arial" w:eastAsia="Arial" w:hAnsi="Arial"/>
          <w:sz w:val="17"/>
          <w:szCs w:val="17"/>
          <w:color w:val="auto"/>
        </w:rPr>
        <w:t>09 provides clarification as to when modification accounting should be used for changes to the terms or conditions of a share-based payment award. ASU 2017</w:t>
      </w:r>
      <w:r>
        <w:rPr>
          <w:rFonts w:ascii="MS PGothic" w:cs="MS PGothic" w:eastAsia="MS PGothic" w:hAnsi="MS PGothic"/>
          <w:sz w:val="17"/>
          <w:szCs w:val="17"/>
          <w:color w:val="auto"/>
        </w:rPr>
        <w:t>‑</w:t>
      </w:r>
      <w:r>
        <w:rPr>
          <w:rFonts w:ascii="Arial" w:cs="Arial" w:eastAsia="Arial" w:hAnsi="Arial"/>
          <w:sz w:val="17"/>
          <w:szCs w:val="17"/>
          <w:color w:val="auto"/>
        </w:rPr>
        <w:t>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w:t>
      </w:r>
      <w:r>
        <w:rPr>
          <w:rFonts w:ascii="MS PGothic" w:cs="MS PGothic" w:eastAsia="MS PGothic" w:hAnsi="MS PGothic"/>
          <w:sz w:val="17"/>
          <w:szCs w:val="17"/>
          <w:color w:val="auto"/>
        </w:rPr>
        <w:t>‑</w:t>
      </w:r>
      <w:r>
        <w:rPr>
          <w:rFonts w:ascii="Arial" w:cs="Arial" w:eastAsia="Arial" w:hAnsi="Arial"/>
          <w:sz w:val="17"/>
          <w:szCs w:val="17"/>
          <w:color w:val="auto"/>
        </w:rPr>
        <w:t>09 are effective for reporting periods beginning after December 15, 2017. The Company adopted the provisions of ASU 2017</w:t>
      </w:r>
      <w:r>
        <w:rPr>
          <w:rFonts w:ascii="MS PGothic" w:cs="MS PGothic" w:eastAsia="MS PGothic" w:hAnsi="MS PGothic"/>
          <w:sz w:val="17"/>
          <w:szCs w:val="17"/>
          <w:color w:val="auto"/>
        </w:rPr>
        <w:t>‑</w:t>
      </w:r>
      <w:r>
        <w:rPr>
          <w:rFonts w:ascii="Arial" w:cs="Arial" w:eastAsia="Arial" w:hAnsi="Arial"/>
          <w:sz w:val="17"/>
          <w:szCs w:val="17"/>
          <w:color w:val="auto"/>
        </w:rPr>
        <w:t>09 during the first quarter of fiscal 2019. The adoption of ASU 2017</w:t>
      </w:r>
      <w:r>
        <w:rPr>
          <w:rFonts w:ascii="MS PGothic" w:cs="MS PGothic" w:eastAsia="MS PGothic" w:hAnsi="MS PGothic"/>
          <w:sz w:val="17"/>
          <w:szCs w:val="17"/>
          <w:color w:val="auto"/>
        </w:rPr>
        <w:t>‑</w:t>
      </w:r>
      <w:r>
        <w:rPr>
          <w:rFonts w:ascii="Arial" w:cs="Arial" w:eastAsia="Arial" w:hAnsi="Arial"/>
          <w:sz w:val="17"/>
          <w:szCs w:val="17"/>
          <w:color w:val="auto"/>
        </w:rPr>
        <w:t>09 did not have any impact on the Company’s consolidated financial statements.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2017, the SEC staff issued Staff Accounting Bulletin 118 (“SAB 118”) to provide guidance for companies that had not completed their accounting for the income tax effects of the Tax Cuts and Jobs Act (“TCJA”). Due to the complexities of the TCJA, the Company’s final tax liability may materially differ from provisional estimates due to additional guidance and regulations issued by the U.S. Treasury Department, the Internal Revenue Service ("IRS") and state and local tax authorities. December 22, 2018 marked the end of the measurement period for purposes of SAB 118. As such, the Company has completed its analysis based on legislative updates relating to TCJA, which resulted in an immaterial impact to the Company’s overall financial results.</w:t>
      </w:r>
    </w:p>
    <w:p>
      <w:pPr>
        <w:spacing w:after="0" w:line="8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January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01, “Business Combinations (Topic 805): Clarifying the Definition of a Business.” The purpose of ASU 2017</w:t>
      </w:r>
      <w:r>
        <w:rPr>
          <w:rFonts w:ascii="MS PGothic" w:cs="MS PGothic" w:eastAsia="MS PGothic" w:hAnsi="MS PGothic"/>
          <w:sz w:val="18"/>
          <w:szCs w:val="18"/>
          <w:color w:val="auto"/>
        </w:rPr>
        <w:t>‑</w:t>
      </w:r>
      <w:r>
        <w:rPr>
          <w:rFonts w:ascii="Arial" w:cs="Arial" w:eastAsia="Arial" w:hAnsi="Arial"/>
          <w:sz w:val="18"/>
          <w:szCs w:val="18"/>
          <w:color w:val="auto"/>
        </w:rPr>
        <w:t>01 is to clarify the definition of a business to assist entities with evaluating whether transactions should be accounted for as acquisitions (or disposals) of assets or businesses. ASU 2017</w:t>
      </w:r>
      <w:r>
        <w:rPr>
          <w:rFonts w:ascii="MS PGothic" w:cs="MS PGothic" w:eastAsia="MS PGothic" w:hAnsi="MS PGothic"/>
          <w:sz w:val="18"/>
          <w:szCs w:val="18"/>
          <w:color w:val="auto"/>
        </w:rPr>
        <w:t>‑</w:t>
      </w:r>
      <w:r>
        <w:rPr>
          <w:rFonts w:ascii="Arial" w:cs="Arial" w:eastAsia="Arial" w:hAnsi="Arial"/>
          <w:sz w:val="18"/>
          <w:szCs w:val="18"/>
          <w:color w:val="auto"/>
        </w:rPr>
        <w:t>01 is effective for fiscal years beginning after December 15, 2017, including interim periods within that year. The amendments in ASU 2017</w:t>
      </w:r>
      <w:r>
        <w:rPr>
          <w:rFonts w:ascii="MS PGothic" w:cs="MS PGothic" w:eastAsia="MS PGothic" w:hAnsi="MS PGothic"/>
          <w:sz w:val="18"/>
          <w:szCs w:val="18"/>
          <w:color w:val="auto"/>
        </w:rPr>
        <w:t>‑</w:t>
      </w:r>
      <w:r>
        <w:rPr>
          <w:rFonts w:ascii="Arial" w:cs="Arial" w:eastAsia="Arial" w:hAnsi="Arial"/>
          <w:sz w:val="18"/>
          <w:szCs w:val="18"/>
          <w:color w:val="auto"/>
        </w:rPr>
        <w:t>01 should be applied prospectively on or after the effective date. The Company adopted the provisions of ASU 2017</w:t>
      </w:r>
      <w:r>
        <w:rPr>
          <w:rFonts w:ascii="MS PGothic" w:cs="MS PGothic" w:eastAsia="MS PGothic" w:hAnsi="MS PGothic"/>
          <w:sz w:val="18"/>
          <w:szCs w:val="18"/>
          <w:color w:val="auto"/>
        </w:rPr>
        <w:t>‑</w:t>
      </w:r>
      <w:r>
        <w:rPr>
          <w:rFonts w:ascii="Arial" w:cs="Arial" w:eastAsia="Arial" w:hAnsi="Arial"/>
          <w:sz w:val="18"/>
          <w:szCs w:val="18"/>
          <w:color w:val="auto"/>
        </w:rPr>
        <w:t>01 during the first quarter of fiscal 2019. The adoption of ASU 2017</w:t>
      </w:r>
      <w:r>
        <w:rPr>
          <w:rFonts w:ascii="MS PGothic" w:cs="MS PGothic" w:eastAsia="MS PGothic" w:hAnsi="MS PGothic"/>
          <w:sz w:val="18"/>
          <w:szCs w:val="18"/>
          <w:color w:val="auto"/>
        </w:rPr>
        <w:t>‑</w:t>
      </w:r>
      <w:r>
        <w:rPr>
          <w:rFonts w:ascii="Arial" w:cs="Arial" w:eastAsia="Arial" w:hAnsi="Arial"/>
          <w:sz w:val="18"/>
          <w:szCs w:val="18"/>
          <w:color w:val="auto"/>
        </w:rPr>
        <w:t>01 did not have any impact on the Company’s consolidated financial statements.</w:t>
      </w:r>
    </w:p>
    <w:p>
      <w:pPr>
        <w:spacing w:after="0" w:line="11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October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adopted the provisions of ASU 2016</w:t>
      </w:r>
      <w:r>
        <w:rPr>
          <w:rFonts w:ascii="MS PGothic" w:cs="MS PGothic" w:eastAsia="MS PGothic" w:hAnsi="MS PGothic"/>
          <w:sz w:val="17"/>
          <w:szCs w:val="17"/>
          <w:color w:val="auto"/>
        </w:rPr>
        <w:t>‑</w:t>
      </w:r>
      <w:r>
        <w:rPr>
          <w:rFonts w:ascii="Arial" w:cs="Arial" w:eastAsia="Arial" w:hAnsi="Arial"/>
          <w:sz w:val="17"/>
          <w:szCs w:val="17"/>
          <w:color w:val="auto"/>
        </w:rPr>
        <w:t>16 during the first quarter of fiscal 2019. The adoption of ASU 2016</w:t>
      </w:r>
      <w:r>
        <w:rPr>
          <w:rFonts w:ascii="MS PGothic" w:cs="MS PGothic" w:eastAsia="MS PGothic" w:hAnsi="MS PGothic"/>
          <w:sz w:val="17"/>
          <w:szCs w:val="17"/>
          <w:color w:val="auto"/>
        </w:rPr>
        <w:t>‑</w:t>
      </w:r>
      <w:r>
        <w:rPr>
          <w:rFonts w:ascii="Arial" w:cs="Arial" w:eastAsia="Arial" w:hAnsi="Arial"/>
          <w:sz w:val="17"/>
          <w:szCs w:val="17"/>
          <w:color w:val="auto"/>
        </w:rPr>
        <w:t>16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“Statement of Cash Flows (Topic 230): Classification of Certain Cash Receipts and Cash Payments,” which clarifies guidance with respect to the classification of eight specific cash flow issues. ASU 2016</w:t>
      </w:r>
      <w:r>
        <w:rPr>
          <w:rFonts w:ascii="MS PGothic" w:cs="MS PGothic" w:eastAsia="MS PGothic" w:hAnsi="MS PGothic"/>
          <w:sz w:val="16"/>
          <w:szCs w:val="16"/>
          <w:color w:val="auto"/>
        </w:rPr>
        <w:t>‑</w:t>
      </w:r>
      <w:r>
        <w:rPr>
          <w:rFonts w:ascii="Arial" w:cs="Arial" w:eastAsia="Arial" w:hAnsi="Arial"/>
          <w:sz w:val="16"/>
          <w:szCs w:val="16"/>
          <w:color w:val="auto"/>
        </w:rPr>
        <w:t>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w:t>
      </w:r>
      <w:r>
        <w:rPr>
          <w:rFonts w:ascii="MS PGothic" w:cs="MS PGothic" w:eastAsia="MS PGothic" w:hAnsi="MS PGothic"/>
          <w:sz w:val="16"/>
          <w:szCs w:val="16"/>
          <w:color w:val="auto"/>
        </w:rPr>
        <w:t>‑</w:t>
      </w:r>
      <w:r>
        <w:rPr>
          <w:rFonts w:ascii="Arial" w:cs="Arial" w:eastAsia="Arial" w:hAnsi="Arial"/>
          <w:sz w:val="16"/>
          <w:szCs w:val="16"/>
          <w:color w:val="auto"/>
        </w:rPr>
        <w:t>15 is effective for public business entities for fiscal years beginning after December 15, 2017, including interim periods within those fiscal years. Under ASU 2016</w:t>
      </w:r>
      <w:r>
        <w:rPr>
          <w:rFonts w:ascii="MS PGothic" w:cs="MS PGothic" w:eastAsia="MS PGothic" w:hAnsi="MS PGothic"/>
          <w:sz w:val="16"/>
          <w:szCs w:val="16"/>
          <w:color w:val="auto"/>
        </w:rPr>
        <w:t>‑</w:t>
      </w:r>
      <w:r>
        <w:rPr>
          <w:rFonts w:ascii="Arial" w:cs="Arial" w:eastAsia="Arial" w:hAnsi="Arial"/>
          <w:sz w:val="16"/>
          <w:szCs w:val="16"/>
          <w:color w:val="auto"/>
        </w:rPr>
        <w:t>15, entities must apply the guidance retrospectively to all periods presented but may apply it prospectively if retrospective application would be impracticable. The Company adopted the provisions of ASU 2016</w:t>
      </w:r>
      <w:r>
        <w:rPr>
          <w:rFonts w:ascii="MS PGothic" w:cs="MS PGothic" w:eastAsia="MS PGothic" w:hAnsi="MS PGothic"/>
          <w:sz w:val="16"/>
          <w:szCs w:val="16"/>
          <w:color w:val="auto"/>
        </w:rPr>
        <w:t>‑</w:t>
      </w:r>
      <w:r>
        <w:rPr>
          <w:rFonts w:ascii="Arial" w:cs="Arial" w:eastAsia="Arial" w:hAnsi="Arial"/>
          <w:sz w:val="16"/>
          <w:szCs w:val="16"/>
          <w:color w:val="auto"/>
        </w:rPr>
        <w:t>15 during the first quarter of fiscal 2019.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did not have a material impact on the Company’s consolidated financial statements.</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January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01, “Financial Instruments — Overall (Subtopic 825</w:t>
      </w:r>
      <w:r>
        <w:rPr>
          <w:rFonts w:ascii="MS PGothic" w:cs="MS PGothic" w:eastAsia="MS PGothic" w:hAnsi="MS PGothic"/>
          <w:sz w:val="17"/>
          <w:szCs w:val="17"/>
          <w:color w:val="auto"/>
        </w:rPr>
        <w:t>‑</w:t>
      </w:r>
      <w:r>
        <w:rPr>
          <w:rFonts w:ascii="Arial" w:cs="Arial" w:eastAsia="Arial" w:hAnsi="Arial"/>
          <w:sz w:val="17"/>
          <w:szCs w:val="17"/>
          <w:color w:val="auto"/>
        </w:rPr>
        <w:t>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w:t>
      </w:r>
    </w:p>
    <w:p>
      <w:pPr>
        <w:spacing w:after="0" w:line="2" w:lineRule="exact"/>
        <w:rPr>
          <w:sz w:val="20"/>
          <w:szCs w:val="20"/>
          <w:color w:val="auto"/>
        </w:rPr>
      </w:pPr>
    </w:p>
    <w:p>
      <w:pPr>
        <w:jc w:val="both"/>
        <w:ind w:firstLine="3"/>
        <w:spacing w:after="0" w:line="216" w:lineRule="exact"/>
        <w:tabs>
          <w:tab w:leader="none" w:pos="3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presentation and disclosure requirements and (iv) clarifies that an entity should evaluate the need for a valuation allowance on a deferred tax asset related to available-for-sale securities in combination with the entity’s other deferred tax assets. ASU 2016</w:t>
      </w:r>
      <w:r>
        <w:rPr>
          <w:rFonts w:ascii="MS PGothic" w:cs="MS PGothic" w:eastAsia="MS PGothic" w:hAnsi="MS PGothic"/>
          <w:sz w:val="17"/>
          <w:szCs w:val="17"/>
          <w:color w:val="auto"/>
        </w:rPr>
        <w:t>‑</w:t>
      </w:r>
      <w:r>
        <w:rPr>
          <w:rFonts w:ascii="Arial" w:cs="Arial" w:eastAsia="Arial" w:hAnsi="Arial"/>
          <w:sz w:val="17"/>
          <w:szCs w:val="17"/>
          <w:color w:val="auto"/>
        </w:rPr>
        <w:t>01 is effective for fiscal years beginning after December 15, 2017, including interim periods within those fiscal years. The Company adopted the provisions of ASU 2016</w:t>
      </w:r>
      <w:r>
        <w:rPr>
          <w:rFonts w:ascii="MS PGothic" w:cs="MS PGothic" w:eastAsia="MS PGothic" w:hAnsi="MS PGothic"/>
          <w:sz w:val="17"/>
          <w:szCs w:val="17"/>
          <w:color w:val="auto"/>
        </w:rPr>
        <w:t>‑</w:t>
      </w:r>
      <w:r>
        <w:rPr>
          <w:rFonts w:ascii="Arial" w:cs="Arial" w:eastAsia="Arial" w:hAnsi="Arial"/>
          <w:sz w:val="17"/>
          <w:szCs w:val="17"/>
          <w:color w:val="auto"/>
        </w:rPr>
        <w:t>15 during the first quarter of fiscal 2019. The adoption of ASU 2016</w:t>
      </w:r>
      <w:r>
        <w:rPr>
          <w:rFonts w:ascii="MS PGothic" w:cs="MS PGothic" w:eastAsia="MS PGothic" w:hAnsi="MS PGothic"/>
          <w:sz w:val="17"/>
          <w:szCs w:val="17"/>
          <w:color w:val="auto"/>
        </w:rPr>
        <w:t>‑</w:t>
      </w:r>
      <w:r>
        <w:rPr>
          <w:rFonts w:ascii="Arial" w:cs="Arial" w:eastAsia="Arial" w:hAnsi="Arial"/>
          <w:sz w:val="17"/>
          <w:szCs w:val="17"/>
          <w:color w:val="auto"/>
        </w:rPr>
        <w:t>15 did not have a material impact on the Company’s consolidated financial statements.</w:t>
      </w:r>
    </w:p>
    <w:p>
      <w:pPr>
        <w:spacing w:after="0" w:line="20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May 2014, the FASB issued ASU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(Topic 606).” This update replaces the previous revenue recognition guidance in GAAP and requires an entity to recognize the amount of revenue to which it expects to be entitled for the transfer of promised goods or services to customers. The FASB clarified this guidance by issuing ASU 2017</w:t>
      </w:r>
      <w:r>
        <w:rPr>
          <w:rFonts w:ascii="MS PGothic" w:cs="MS PGothic" w:eastAsia="MS PGothic" w:hAnsi="MS PGothic"/>
          <w:sz w:val="16"/>
          <w:szCs w:val="16"/>
          <w:color w:val="auto"/>
        </w:rPr>
        <w:t>‑</w:t>
      </w:r>
      <w:r>
        <w:rPr>
          <w:rFonts w:ascii="Arial" w:cs="Arial" w:eastAsia="Arial" w:hAnsi="Arial"/>
          <w:sz w:val="16"/>
          <w:szCs w:val="16"/>
          <w:color w:val="auto"/>
        </w:rPr>
        <w:t>13, “Amendments to SEC Paragraphs Pursuant to the Staff Announcement at the July 20, 2017 EITF Meeting and Rescission of Prior SEC Staff Announcements and Observer Comments”; ASU 2016</w:t>
      </w:r>
      <w:r>
        <w:rPr>
          <w:rFonts w:ascii="MS PGothic" w:cs="MS PGothic" w:eastAsia="MS PGothic" w:hAnsi="MS PGothic"/>
          <w:sz w:val="16"/>
          <w:szCs w:val="16"/>
          <w:color w:val="auto"/>
        </w:rPr>
        <w:t>‑</w:t>
      </w:r>
      <w:r>
        <w:rPr>
          <w:rFonts w:ascii="Arial" w:cs="Arial" w:eastAsia="Arial" w:hAnsi="Arial"/>
          <w:sz w:val="16"/>
          <w:szCs w:val="16"/>
          <w:color w:val="auto"/>
        </w:rPr>
        <w:t>08, “Principal versus Agent Considerations (Reporting Revenue Gross versus Net)”; ASU 2016</w:t>
      </w:r>
      <w:r>
        <w:rPr>
          <w:rFonts w:ascii="MS PGothic" w:cs="MS PGothic" w:eastAsia="MS PGothic" w:hAnsi="MS PGothic"/>
          <w:sz w:val="16"/>
          <w:szCs w:val="16"/>
          <w:color w:val="auto"/>
        </w:rPr>
        <w:t>‑</w:t>
      </w:r>
      <w:r>
        <w:rPr>
          <w:rFonts w:ascii="Arial" w:cs="Arial" w:eastAsia="Arial" w:hAnsi="Arial"/>
          <w:sz w:val="16"/>
          <w:szCs w:val="16"/>
          <w:color w:val="auto"/>
        </w:rPr>
        <w:t>10, “Identifying Performance Obligations and Licensing”; ASU 2016</w:t>
      </w:r>
      <w:r>
        <w:rPr>
          <w:rFonts w:ascii="MS PGothic" w:cs="MS PGothic" w:eastAsia="MS PGothic" w:hAnsi="MS PGothic"/>
          <w:sz w:val="16"/>
          <w:szCs w:val="16"/>
          <w:color w:val="auto"/>
        </w:rPr>
        <w:t>‑</w:t>
      </w:r>
      <w:r>
        <w:rPr>
          <w:rFonts w:ascii="Arial" w:cs="Arial" w:eastAsia="Arial" w:hAnsi="Arial"/>
          <w:sz w:val="16"/>
          <w:szCs w:val="16"/>
          <w:color w:val="auto"/>
        </w:rPr>
        <w:t>12, “Narrow-Scope Improvements and Practical Expedients”; and ASU 2016</w:t>
      </w:r>
      <w:r>
        <w:rPr>
          <w:rFonts w:ascii="MS PGothic" w:cs="MS PGothic" w:eastAsia="MS PGothic" w:hAnsi="MS PGothic"/>
          <w:sz w:val="16"/>
          <w:szCs w:val="16"/>
          <w:color w:val="auto"/>
        </w:rPr>
        <w:t>‑</w:t>
      </w:r>
      <w:r>
        <w:rPr>
          <w:rFonts w:ascii="Arial" w:cs="Arial" w:eastAsia="Arial" w:hAnsi="Arial"/>
          <w:sz w:val="16"/>
          <w:szCs w:val="16"/>
          <w:color w:val="auto"/>
        </w:rPr>
        <w:t>20, “Technical Corrections and Improvements to ASC 606, Revenue from Contracts with Customers.” The amendments to ASU 2014</w:t>
      </w:r>
      <w:r>
        <w:rPr>
          <w:rFonts w:ascii="MS PGothic" w:cs="MS PGothic" w:eastAsia="MS PGothic" w:hAnsi="MS PGothic"/>
          <w:sz w:val="16"/>
          <w:szCs w:val="16"/>
          <w:color w:val="auto"/>
        </w:rPr>
        <w:t>‑</w:t>
      </w:r>
      <w:r>
        <w:rPr>
          <w:rFonts w:ascii="Arial" w:cs="Arial" w:eastAsia="Arial" w:hAnsi="Arial"/>
          <w:sz w:val="16"/>
          <w:szCs w:val="16"/>
          <w:color w:val="auto"/>
        </w:rPr>
        <w:t>09 were intended to render more detailed implementation guidance with the expectation of reducing the degree of judgment necessary to comply with ASC 606. These new standards have the same effective date as ASU 2014</w:t>
      </w:r>
      <w:r>
        <w:rPr>
          <w:rFonts w:ascii="MS PGothic" w:cs="MS PGothic" w:eastAsia="MS PGothic" w:hAnsi="MS PGothic"/>
          <w:sz w:val="16"/>
          <w:szCs w:val="16"/>
          <w:color w:val="auto"/>
        </w:rPr>
        <w:t>‑</w:t>
      </w:r>
      <w:r>
        <w:rPr>
          <w:rFonts w:ascii="Arial" w:cs="Arial" w:eastAsia="Arial" w:hAnsi="Arial"/>
          <w:sz w:val="16"/>
          <w:szCs w:val="16"/>
          <w:color w:val="auto"/>
        </w:rPr>
        <w:t>09 and were effective for public entities for fiscal years beginning after December 15, 2017, and interim periods within those fiscal years. The Company adopted the provisions of ASU 2014</w:t>
      </w:r>
      <w:r>
        <w:rPr>
          <w:rFonts w:ascii="MS PGothic" w:cs="MS PGothic" w:eastAsia="MS PGothic" w:hAnsi="MS PGothic"/>
          <w:sz w:val="16"/>
          <w:szCs w:val="16"/>
          <w:color w:val="auto"/>
        </w:rPr>
        <w:t>‑</w:t>
      </w:r>
      <w:r>
        <w:rPr>
          <w:rFonts w:ascii="Arial" w:cs="Arial" w:eastAsia="Arial" w:hAnsi="Arial"/>
          <w:sz w:val="16"/>
          <w:szCs w:val="16"/>
          <w:color w:val="auto"/>
        </w:rPr>
        <w:t>09, as subsequently amended, during the first quarter of fiscal 2019.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adopted the pronouncement using a modified retrospective approach. The Company performed an analysis of its current revenue streams worldwide and identified changes that resulted from the adoption of the new guidance. The Company implemented changes to its accounting processes and controls to support the new revenue recognition and disclosure requirements. The adoption of ASC 606 primarily affects the wholesale operations segment in the timing of recognition of certain adjustments that were recorded in net sales. For example, the Company previously recorded markdowns and certain customer allowances when the liability was known or incurred. Please refer to Note B for further details with respect to the adoption of this guidance by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Guidance Issued Being Evaluated for Adoption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 —Chapter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is currently evaluating the potential impact of ASU 2018-13 on its consolidated financial statements.</w:t>
      </w:r>
    </w:p>
    <w:p>
      <w:pPr>
        <w:spacing w:after="0" w:line="16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June 2018, the FASB issued ASU 2018</w:t>
      </w:r>
      <w:r>
        <w:rPr>
          <w:rFonts w:ascii="MS PGothic" w:cs="MS PGothic" w:eastAsia="MS PGothic" w:hAnsi="MS PGothic"/>
          <w:sz w:val="17"/>
          <w:szCs w:val="17"/>
          <w:color w:val="auto"/>
        </w:rPr>
        <w:t>‑</w:t>
      </w:r>
      <w:r>
        <w:rPr>
          <w:rFonts w:ascii="Arial" w:cs="Arial" w:eastAsia="Arial" w:hAnsi="Arial"/>
          <w:sz w:val="17"/>
          <w:szCs w:val="17"/>
          <w:color w:val="auto"/>
        </w:rPr>
        <w:t>07, “FASB Simplifies Guidance on Nonemployee Share-Based Payments”, which supersedes ASC 505</w:t>
      </w:r>
      <w:r>
        <w:rPr>
          <w:rFonts w:ascii="MS PGothic" w:cs="MS PGothic" w:eastAsia="MS PGothic" w:hAnsi="MS PGothic"/>
          <w:sz w:val="17"/>
          <w:szCs w:val="17"/>
          <w:color w:val="auto"/>
        </w:rPr>
        <w:t>‑</w:t>
      </w:r>
      <w:r>
        <w:rPr>
          <w:rFonts w:ascii="Arial" w:cs="Arial" w:eastAsia="Arial" w:hAnsi="Arial"/>
          <w:sz w:val="17"/>
          <w:szCs w:val="17"/>
          <w:color w:val="auto"/>
        </w:rPr>
        <w:t>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ASU 2018</w:t>
      </w:r>
      <w:r>
        <w:rPr>
          <w:rFonts w:ascii="MS PGothic" w:cs="MS PGothic" w:eastAsia="MS PGothic" w:hAnsi="MS PGothic"/>
          <w:sz w:val="17"/>
          <w:szCs w:val="17"/>
          <w:color w:val="auto"/>
        </w:rPr>
        <w:t>‑</w:t>
      </w:r>
      <w:r>
        <w:rPr>
          <w:rFonts w:ascii="Arial" w:cs="Arial" w:eastAsia="Arial" w:hAnsi="Arial"/>
          <w:sz w:val="17"/>
          <w:szCs w:val="17"/>
          <w:color w:val="auto"/>
        </w:rPr>
        <w:t>07 is effective for fiscal years beginning after December 15, 2018, and interim periods within those fiscal years. Early adoption of ASU 2018</w:t>
      </w:r>
      <w:r>
        <w:rPr>
          <w:rFonts w:ascii="MS PGothic" w:cs="MS PGothic" w:eastAsia="MS PGothic" w:hAnsi="MS PGothic"/>
          <w:sz w:val="17"/>
          <w:szCs w:val="17"/>
          <w:color w:val="auto"/>
        </w:rPr>
        <w:t>‑</w:t>
      </w:r>
      <w:r>
        <w:rPr>
          <w:rFonts w:ascii="Arial" w:cs="Arial" w:eastAsia="Arial" w:hAnsi="Arial"/>
          <w:sz w:val="17"/>
          <w:szCs w:val="17"/>
          <w:color w:val="auto"/>
        </w:rPr>
        <w:t>07 is permitted for all entities, but no earlier than the date on which an entity adopts ASC 606. The Company does not expect ASU 2018</w:t>
      </w:r>
      <w:r>
        <w:rPr>
          <w:rFonts w:ascii="MS PGothic" w:cs="MS PGothic" w:eastAsia="MS PGothic" w:hAnsi="MS PGothic"/>
          <w:sz w:val="17"/>
          <w:szCs w:val="17"/>
          <w:color w:val="auto"/>
        </w:rPr>
        <w:t>‑</w:t>
      </w:r>
      <w:r>
        <w:rPr>
          <w:rFonts w:ascii="Arial" w:cs="Arial" w:eastAsia="Arial" w:hAnsi="Arial"/>
          <w:sz w:val="17"/>
          <w:szCs w:val="17"/>
          <w:color w:val="auto"/>
        </w:rPr>
        <w:t>07 to have an impact on its consolidated financial statements.</w:t>
      </w:r>
    </w:p>
    <w:p>
      <w:pPr>
        <w:spacing w:after="0" w:line="20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February 2018, the FASB issued ASU 2018</w:t>
      </w:r>
      <w:r>
        <w:rPr>
          <w:rFonts w:ascii="MS PGothic" w:cs="MS PGothic" w:eastAsia="MS PGothic" w:hAnsi="MS PGothic"/>
          <w:sz w:val="17"/>
          <w:szCs w:val="17"/>
          <w:color w:val="auto"/>
        </w:rPr>
        <w:t>‑</w:t>
      </w:r>
      <w:r>
        <w:rPr>
          <w:rFonts w:ascii="Arial" w:cs="Arial" w:eastAsia="Arial" w:hAnsi="Arial"/>
          <w:sz w:val="17"/>
          <w:szCs w:val="17"/>
          <w:color w:val="auto"/>
        </w:rPr>
        <w:t>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TCJA is recorded. The amendments to ASU 2018</w:t>
      </w:r>
      <w:r>
        <w:rPr>
          <w:rFonts w:ascii="MS PGothic" w:cs="MS PGothic" w:eastAsia="MS PGothic" w:hAnsi="MS PGothic"/>
          <w:sz w:val="17"/>
          <w:szCs w:val="17"/>
          <w:color w:val="auto"/>
        </w:rPr>
        <w:t>‑</w:t>
      </w:r>
      <w:r>
        <w:rPr>
          <w:rFonts w:ascii="Arial" w:cs="Arial" w:eastAsia="Arial" w:hAnsi="Arial"/>
          <w:sz w:val="17"/>
          <w:szCs w:val="17"/>
          <w:color w:val="auto"/>
        </w:rPr>
        <w:t>02 are effective for all entities for fiscal years beginning after December 15, 2018, and interim periods within those fiscal years. Early adoption of ASU 2018</w:t>
      </w:r>
      <w:r>
        <w:rPr>
          <w:rFonts w:ascii="MS PGothic" w:cs="MS PGothic" w:eastAsia="MS PGothic" w:hAnsi="MS PGothic"/>
          <w:sz w:val="17"/>
          <w:szCs w:val="17"/>
          <w:color w:val="auto"/>
        </w:rPr>
        <w:t>‑</w:t>
      </w:r>
      <w:r>
        <w:rPr>
          <w:rFonts w:ascii="Arial" w:cs="Arial" w:eastAsia="Arial" w:hAnsi="Arial"/>
          <w:sz w:val="17"/>
          <w:szCs w:val="17"/>
          <w:color w:val="auto"/>
        </w:rPr>
        <w:t>02 is permitted, including adoption in any interim period for the public business entities for reporting periods for which financial statements have not yet been issued. The amendments of ASU 2018</w:t>
      </w:r>
      <w:r>
        <w:rPr>
          <w:rFonts w:ascii="MS PGothic" w:cs="MS PGothic" w:eastAsia="MS PGothic" w:hAnsi="MS PGothic"/>
          <w:sz w:val="17"/>
          <w:szCs w:val="17"/>
          <w:color w:val="auto"/>
        </w:rPr>
        <w:t>‑</w:t>
      </w:r>
      <w:r>
        <w:rPr>
          <w:rFonts w:ascii="Arial" w:cs="Arial" w:eastAsia="Arial" w:hAnsi="Arial"/>
          <w:sz w:val="17"/>
          <w:szCs w:val="17"/>
          <w:color w:val="auto"/>
        </w:rPr>
        <w:t>02 should be applied either in the period of adoption or retrospectively to each period (or periods) in which the effect of the change in the U.S. federal corporate income tax rate in the TCJA is recognized. The Company is currently assessing the impact that adopting ASU 2018</w:t>
      </w:r>
      <w:r>
        <w:rPr>
          <w:rFonts w:ascii="MS PGothic" w:cs="MS PGothic" w:eastAsia="MS PGothic" w:hAnsi="MS PGothic"/>
          <w:sz w:val="17"/>
          <w:szCs w:val="17"/>
          <w:color w:val="auto"/>
        </w:rPr>
        <w:t>‑</w:t>
      </w:r>
      <w:r>
        <w:rPr>
          <w:rFonts w:ascii="Arial" w:cs="Arial" w:eastAsia="Arial" w:hAnsi="Arial"/>
          <w:sz w:val="17"/>
          <w:szCs w:val="17"/>
          <w:color w:val="auto"/>
        </w:rPr>
        <w:t>02 will have on its financial statements and footnote disclosures.</w:t>
      </w:r>
    </w:p>
    <w:p>
      <w:pPr>
        <w:spacing w:after="0" w:line="21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“Leases (Topic 842).” The primary difference between the current requirement under GAAP and ASU 2016</w:t>
      </w:r>
      <w:r>
        <w:rPr>
          <w:rFonts w:ascii="MS PGothic" w:cs="MS PGothic" w:eastAsia="MS PGothic" w:hAnsi="MS PGothic"/>
          <w:sz w:val="16"/>
          <w:szCs w:val="16"/>
          <w:color w:val="auto"/>
        </w:rPr>
        <w:t>‑</w:t>
      </w:r>
      <w:r>
        <w:rPr>
          <w:rFonts w:ascii="Arial" w:cs="Arial" w:eastAsia="Arial" w:hAnsi="Arial"/>
          <w:sz w:val="16"/>
          <w:szCs w:val="16"/>
          <w:color w:val="auto"/>
        </w:rPr>
        <w:t>02 is the recognition of lease assets and lease liabilities by lessees for those leases classified as operating leases. The FASB has continued to clarify this guidance and most recently issued ASU 2018-20, “Leases (Topic 842) – Narrow-Scope Improvements for Lessors”, ASU 2018-11, “Leases (Topic 842) – Targeted Improvements”, ASU 2018-10, “Codification Improvements to Topic 842, Leases” and ASU 2017</w:t>
      </w:r>
      <w:r>
        <w:rPr>
          <w:rFonts w:ascii="MS PGothic" w:cs="MS PGothic" w:eastAsia="MS PGothic" w:hAnsi="MS PGothic"/>
          <w:sz w:val="16"/>
          <w:szCs w:val="16"/>
          <w:color w:val="auto"/>
        </w:rPr>
        <w:t>‑</w:t>
      </w:r>
      <w:r>
        <w:rPr>
          <w:rFonts w:ascii="Arial" w:cs="Arial" w:eastAsia="Arial" w:hAnsi="Arial"/>
          <w:sz w:val="16"/>
          <w:szCs w:val="16"/>
          <w:color w:val="auto"/>
        </w:rPr>
        <w:t>13, “Amendments to SEC Paragraphs Pursuant to the Staff Announcement at the July 20, 2017 EITF Meeting and Rescission of Prior SEC Staff Announcements and Observer Comments.” ASU 2016</w:t>
      </w:r>
      <w:r>
        <w:rPr>
          <w:rFonts w:ascii="MS PGothic" w:cs="MS PGothic" w:eastAsia="MS PGothic" w:hAnsi="MS PGothic"/>
          <w:sz w:val="16"/>
          <w:szCs w:val="16"/>
          <w:color w:val="auto"/>
        </w:rPr>
        <w:t>‑</w:t>
      </w:r>
      <w:r>
        <w:rPr>
          <w:rFonts w:ascii="Arial" w:cs="Arial" w:eastAsia="Arial" w:hAnsi="Arial"/>
          <w:sz w:val="16"/>
          <w:szCs w:val="16"/>
          <w:color w:val="auto"/>
        </w:rPr>
        <w:t>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criteria that are for the most part similar to those applied in current lease accounting. ASU 2016</w:t>
      </w:r>
      <w:r>
        <w:rPr>
          <w:rFonts w:ascii="MS PGothic" w:cs="MS PGothic" w:eastAsia="MS PGothic" w:hAnsi="MS PGothic"/>
          <w:sz w:val="17"/>
          <w:szCs w:val="17"/>
          <w:color w:val="auto"/>
        </w:rPr>
        <w:t>‑</w:t>
      </w:r>
      <w:r>
        <w:rPr>
          <w:rFonts w:ascii="Arial" w:cs="Arial" w:eastAsia="Arial" w:hAnsi="Arial"/>
          <w:sz w:val="17"/>
          <w:szCs w:val="17"/>
          <w:color w:val="auto"/>
        </w:rPr>
        <w:t>02 may be adopted using a modified retrospective transition, and provides for certain practical expedients. Transactions will require application of the new guidance at the beginning of the earliest comparative period presented. With the issuance of ASU 2018-11, the FASB has provided entities with an additional transition method which will not require adjustments to comparative periods or require modified disclosures in those comparative periods. The guidance is effective for public entities for fiscal years beginning after December 15, 2018, and interim periods within those fiscal years.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adopted the requirements of the new lease standard effective February 1, 2019. The Company has elected the optional transition method to apply the standard as of the effective date and therefore, will not apply the standard to the comparative periods presented in its financial statements. If the Company determines any right-of-use assets are impaired at the effective date of adoption, a cumulative-effect adjustment in retained earnings will be recognized. The Company has elected the transition package of three practical expedients permitted within the standard, which eliminates the requirements to reassess prior conclusions about lease identification, lease classification, and initial direct costs. The hindsight practical expedient, which permits the use of hindsight when determining lease term and impairment of right-of-use assets will not be elected.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 The Company is finalizing the impact of the standard to its accounting policies, processes, disclosures, and internal controls over financial reporting.</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ASU 2016-02 will have a significant impact on the Consolidated Balance Sheet as material assets and obligations primarily related to approximately 437 retail store leases, as well to corporate office, warehouse and distribution center operating leases, will be recorded. The Company expects to record operating lease liabilities and corresponding right-of-use assets of approximately $300.0 million to $400.0 million based on the present value of the remaining minimum rental payments using discount rates as of the effective date and certain adjustments. The Company does not expect a material impact on its Consolidated Statement of Income and Comprehensive Income or Consolidated Statement of Cash Flows as a result of the adoption of the new lease accounting standard.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Reclassification of Prior Year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reclassifications have been made to the Consolidated Statements of Income and Comprehensive Income as a result of the Company’s reclassifying the impact of certain components of foreign currency gain (loss) from cost of goods sold and interest expense to other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B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RECOGNITION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 2018, the Company adopted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Prospectively, the adoption of ASC 606 primarily affects the timing of recognition of certain adjustments that are recorded in net sales for the wholesale operations segment. Under ASC 606,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adoption of ASC 606 also resulted in prospectively changing the presentation of certain items on the Consolidated Balance Sheets and the Consolidated Statements of Income and Comprehensive Income. Under the prior guidance, the liability recorded in connection with variable consideration was recorded as a reduction to accounts receivable. With the adoption of ASC 606, these amounts have been classified as a current liability under “Customer refund liabilities” in the Consolidated Balance Sheet. Additionally, the Company now classifies cooperative advertising as a reduction of net sales in the Consolidated Statements of Income and Comprehensive Income. Previously, cooperative advertising was recorded in selling, general and administrative expenses.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summarize the impact of adopting ASC 606 on the Company’s Consolidated Balance Sheet as of January 31, 2019 and the Company’s Consolidated Statements of Income and Comprehensive Income for the year ended January 31,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As Reported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Without Adoption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Impact of Adoption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of ASC 606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502,133</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322,785</w:t>
            </w:r>
          </w:p>
        </w:tc>
        <w:tc>
          <w:tcPr>
            <w:tcW w:w="20" w:type="dxa"/>
            <w:vAlign w:val="bottom"/>
          </w:tcPr>
          <w:p>
            <w:pPr>
              <w:spacing w:after="0"/>
              <w:rPr>
                <w:sz w:val="18"/>
                <w:szCs w:val="18"/>
                <w:color w:val="auto"/>
              </w:rPr>
            </w:pPr>
          </w:p>
        </w:tc>
        <w:tc>
          <w:tcPr>
            <w:tcW w:w="3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assets, net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(102,841)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refund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(758,881)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(811,372)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11"/>
          </w:tcPr>
          <w:p>
            <w:pPr>
              <w:jc w:val="center"/>
              <w:ind w:right="52"/>
              <w:spacing w:after="0"/>
              <w:rPr>
                <w:sz w:val="20"/>
                <w:szCs w:val="20"/>
                <w:color w:val="auto"/>
              </w:rPr>
            </w:pPr>
            <w:r>
              <w:rPr>
                <w:rFonts w:ascii="Arial" w:cs="Arial" w:eastAsia="Arial" w:hAnsi="Arial"/>
                <w:sz w:val="14"/>
                <w:szCs w:val="14"/>
                <w:b w:val="1"/>
                <w:bCs w:val="1"/>
                <w:color w:val="auto"/>
                <w:w w:val="92"/>
              </w:rPr>
              <w:t>For the year ended January 31,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1"/>
          </w:tcPr>
          <w:p>
            <w:pPr>
              <w:jc w:val="center"/>
              <w:ind w:right="5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0"/>
                <w:szCs w:val="10"/>
                <w:color w:val="auto"/>
              </w:rPr>
            </w:pPr>
          </w:p>
        </w:tc>
        <w:tc>
          <w:tcPr>
            <w:tcW w:w="118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rPr>
              <w:t>Without Adoption</w:t>
            </w:r>
          </w:p>
        </w:tc>
        <w:tc>
          <w:tcPr>
            <w:tcW w:w="160" w:type="dxa"/>
            <w:vAlign w:val="bottom"/>
          </w:tcPr>
          <w:p>
            <w:pPr>
              <w:spacing w:after="0"/>
              <w:rPr>
                <w:sz w:val="10"/>
                <w:szCs w:val="10"/>
                <w:color w:val="auto"/>
              </w:rPr>
            </w:pPr>
          </w:p>
        </w:tc>
        <w:tc>
          <w:tcPr>
            <w:tcW w:w="12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Impact of Adoption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 ASC 606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3,076,208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3,099,114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5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1,969,099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1,965,153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profit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net impact on the Company’s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trademarks owned by the DKNY, Donna Karan, G.H. Bass, Andrew Marc and Vilebrequin businesses. As of January 31, 2019, revenues from license agreements represented an insignificant portion of wholesale revenues.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Variable Consideration</w:t>
      </w:r>
      <w:r>
        <w:rPr>
          <w:rFonts w:ascii="Arial" w:cs="Arial" w:eastAsia="Arial" w:hAnsi="Arial"/>
          <w:sz w:val="17"/>
          <w:szCs w:val="17"/>
          <w:color w:val="auto"/>
        </w:rPr>
        <w:t>. The difference between the amount initially billed and the amount collected represents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elements of variable consideration: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Markdowns</w:t>
      </w:r>
      <w:r>
        <w:rPr>
          <w:rFonts w:ascii="Arial" w:cs="Arial" w:eastAsia="Arial" w:hAnsi="Arial"/>
          <w:sz w:val="16"/>
          <w:szCs w:val="16"/>
          <w:color w:val="auto"/>
        </w:rPr>
        <w:t>. Markdown allowances consist of accommodations in the form of price reductions to wholesale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merchandise. In general, markdowns are granted to full price customers, such as department stores. Markdowns may vary year-over-year and are granted based on the performance of Company merchandise at a customer’s retail stores.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 Discounts. </w:t>
      </w:r>
      <w:r>
        <w:rPr>
          <w:rFonts w:ascii="Arial" w:cs="Arial" w:eastAsia="Arial" w:hAnsi="Arial"/>
          <w:sz w:val="18"/>
          <w:szCs w:val="18"/>
          <w:color w:val="auto"/>
        </w:rPr>
        <w:t>Term discounts represent a discount from the initial wholesale sales price to certain wholesale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customary industry practice.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Sales Allowances</w:t>
      </w:r>
      <w:r>
        <w:rPr>
          <w:rFonts w:ascii="Arial" w:cs="Arial" w:eastAsia="Arial" w:hAnsi="Arial"/>
          <w:sz w:val="18"/>
          <w:szCs w:val="18"/>
          <w:color w:val="auto"/>
        </w:rPr>
        <w:t>. Sales allowances are reductions of the selling price agreed upon with wholesale customers.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may be contractual or may be granted on a case-by-case basis. Non-contractual sales allowances may be granted in connection with billing adjustments and, in some cases, for product related issues.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Advertising Allowances</w:t>
      </w:r>
      <w:r>
        <w:rPr>
          <w:rFonts w:ascii="Arial" w:cs="Arial" w:eastAsia="Arial" w:hAnsi="Arial"/>
          <w:sz w:val="18"/>
          <w:szCs w:val="18"/>
          <w:color w:val="auto"/>
        </w:rPr>
        <w:t>. Advertising allowances consist of the Company’s financial participation in the promotional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wholesale customers. Wholesale customers may charge back a portion of the advertising expense incurred against open invoices. Advertising programs are generally agreed upon at the beginning of a season.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Allowances</w:t>
      </w:r>
      <w:r>
        <w:rPr>
          <w:rFonts w:ascii="Arial" w:cs="Arial" w:eastAsia="Arial" w:hAnsi="Arial"/>
          <w:sz w:val="18"/>
          <w:szCs w:val="18"/>
          <w:color w:val="auto"/>
        </w:rPr>
        <w:t>. General allowances consist of price reductions granted to a wholesale customer and may relate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participation in costs incurred by the customer during the sales process, as well as price differences, shortages and charges for operational non-compliance.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Return of Merchandise</w:t>
      </w:r>
      <w:r>
        <w:rPr>
          <w:rFonts w:ascii="Arial" w:cs="Arial" w:eastAsia="Arial" w:hAnsi="Arial"/>
          <w:sz w:val="18"/>
          <w:szCs w:val="18"/>
          <w:color w:val="auto"/>
        </w:rPr>
        <w:t>. For wholesale customers, the Company may make accommodations for returns of merchandise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underperforming at a customer’s retail stores. For retail customers, as a matter of Company policy, whether merchandise is purchased at the Company’s stores or on its e-commerce platforms, the consumer has up to 90 days to return merchandise from the date of purchase.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Variable consideration is estimated based on historical experience, current contractual and statutory requirements, specific known events and industry trends. The reserves for variable consideration are recorded under customer refund liabilities. As of January 31, 2019, customer refund liabilities amounted to $243.6 million. Customer refund liabilities were recorded as a reduction to accounts receivable as of January 31, 2018. Historical return rates are calculated on a product line basis. The remainder of the historical rates for variable consideration are calculated by customer by product 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$6.4 million and $6.0 million at January 31, 2019 and 2018, respectively. The Company recognized $5.8 million in revenue for the year ended January 31, 2019 which related to contract liabilities that existed at January 31, 2018. There were no contract assets recorded as of January 31, 2019 and January 31, 2018. Substantially all of the advance payments from licenses as of January 31, 2019 are expected to be recognized as revenue within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INVENTORIES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$42.4 million and $39.4 million at January 31, 2019 and 2018, respectively. The inventory return asset is recorded within prepaid expenses and other current assets as of January 31, 2019 and within inventories as of January 31,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held on consignment by the Company’s customers totaled $4.9 million at January 31, 2019 and $3.3 million at January 31, 2018. The Company retains the title to its inventory stored at its customers’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2018</w:t>
            </w:r>
          </w:p>
        </w:tc>
      </w:tr>
      <w:tr>
        <w:trPr>
          <w:trHeight w:val="142"/>
        </w:trPr>
        <w:tc>
          <w:tcPr>
            <w:tcW w:w="4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8"/>
              </w:rPr>
              <w:t>5 years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0" w:type="dxa"/>
            <w:vAlign w:val="bottom"/>
          </w:tcPr>
          <w:p>
            <w:pPr>
              <w:jc w:val="center"/>
              <w:ind w:left="1030"/>
              <w:spacing w:after="0"/>
              <w:rPr>
                <w:sz w:val="20"/>
                <w:szCs w:val="20"/>
                <w:color w:val="auto"/>
              </w:rPr>
            </w:pPr>
            <w:r>
              <w:rPr>
                <w:rFonts w:ascii="Arial" w:cs="Arial" w:eastAsia="Arial" w:hAnsi="Arial"/>
                <w:sz w:val="18"/>
                <w:szCs w:val="18"/>
                <w:color w:val="auto"/>
                <w:w w:val="89"/>
              </w:rPr>
              <w:t>3-13 years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77,091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9"/>
              </w:rPr>
              <w:t>3-10 years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88,733</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 equipment and software</w:t>
            </w:r>
          </w:p>
        </w:tc>
        <w:tc>
          <w:tcPr>
            <w:tcW w:w="2800" w:type="dxa"/>
            <w:vAlign w:val="bottom"/>
            <w:tcBorders>
              <w:bottom w:val="single" w:sz="8" w:color="CCEEFF"/>
            </w:tcBorders>
          </w:tcPr>
          <w:p>
            <w:pPr>
              <w:jc w:val="center"/>
              <w:ind w:left="1010"/>
              <w:spacing w:after="0"/>
              <w:rPr>
                <w:sz w:val="20"/>
                <w:szCs w:val="20"/>
                <w:color w:val="auto"/>
              </w:rPr>
            </w:pPr>
            <w:r>
              <w:rPr>
                <w:rFonts w:ascii="Arial" w:cs="Arial" w:eastAsia="Arial" w:hAnsi="Arial"/>
                <w:sz w:val="18"/>
                <w:szCs w:val="18"/>
                <w:color w:val="auto"/>
                <w:w w:val="87"/>
              </w:rPr>
              <w:t>2-5 years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28,301</w:t>
            </w:r>
          </w:p>
        </w:tc>
      </w:tr>
      <w:tr>
        <w:trPr>
          <w:trHeight w:val="210"/>
        </w:trPr>
        <w:tc>
          <w:tcPr>
            <w:tcW w:w="4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195,654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(123,936)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(97,797)</w:t>
            </w:r>
          </w:p>
        </w:tc>
      </w:tr>
      <w:tr>
        <w:trPr>
          <w:trHeight w:val="217"/>
        </w:trPr>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97,857</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wrote off fixed assets of $2.0 million and $3.6 million, net of accumulated depreciation, for the years ended January 31, 2019 and 2018. Depreciation expense was $33.9 million, $32.8 million and $29.6 million for the years ended January 31, 2019, 2018 and 2017, respectively. For the year ended January 31, 2019, the Company recorded a $2.8 million impairment charge related to leasehold improvements and furniture and fixtures of certain Wilsons, G.H. Bass and DKNY stores as a result of the performance of these stores. For the year ended January 31, 2018, the Company recorded (i) a $6.5 million impairment charge related to leasehold improvements and furniture and fixtures of certain Wilsons, G.H. Bass and Vilebrequin stores as a result of the performance of these stores and (ii) a $0.7 million impairment charge with respect to furniture and fixtures located in certain customers’ stores. For the year ended January 31, 2017, the Company recorded a $10.5 million impairment charge on leasehold improvements and furniture and fixtures of certain of its Wilsons and G.H. Bass stores as a result of the performance of these stores.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evaluates long-lived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to the asset’s estimated fair value. If the fair value is less than the carrying value, the Company recognizes an impairment charge. The carrying amount of the asset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January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Finite-lived intangible assets</w:t>
            </w:r>
          </w:p>
        </w:tc>
        <w:tc>
          <w:tcPr>
            <w:tcW w:w="302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ind w:left="120"/>
              <w:spacing w:after="0"/>
              <w:rPr>
                <w:sz w:val="20"/>
                <w:szCs w:val="20"/>
                <w:color w:val="auto"/>
              </w:rPr>
            </w:pPr>
            <w:r>
              <w:rPr>
                <w:rFonts w:ascii="Arial" w:cs="Arial" w:eastAsia="Arial" w:hAnsi="Arial"/>
                <w:sz w:val="18"/>
                <w:szCs w:val="18"/>
                <w:color w:val="auto"/>
              </w:rPr>
              <w:t>Licenses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14 years</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19,395</w:t>
            </w:r>
          </w:p>
        </w:tc>
        <w:tc>
          <w:tcPr>
            <w:tcW w:w="120" w:type="dxa"/>
            <w:vAlign w:val="bottom"/>
          </w:tcPr>
          <w:p>
            <w:pPr>
              <w:spacing w:after="0"/>
              <w:rPr>
                <w:sz w:val="18"/>
                <w:szCs w:val="18"/>
                <w:color w:val="auto"/>
              </w:rPr>
            </w:pP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8-12 years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5100" w:type="dxa"/>
            <w:vAlign w:val="bottom"/>
            <w:gridSpan w:val="3"/>
          </w:tcPr>
          <w:p>
            <w:pPr>
              <w:ind w:left="120"/>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15-17 years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48,371</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10"/>
        </w:trPr>
        <w:tc>
          <w:tcPr>
            <w:tcW w:w="5100" w:type="dxa"/>
            <w:vAlign w:val="bottom"/>
            <w:gridSpan w:val="3"/>
          </w:tcPr>
          <w:p>
            <w:pPr>
              <w:ind w:left="220"/>
              <w:spacing w:after="0"/>
              <w:rPr>
                <w:sz w:val="20"/>
                <w:szCs w:val="20"/>
                <w:color w:val="auto"/>
              </w:rPr>
            </w:pPr>
            <w:r>
              <w:rPr>
                <w:rFonts w:ascii="Arial" w:cs="Arial" w:eastAsia="Arial" w:hAnsi="Arial"/>
                <w:sz w:val="18"/>
                <w:szCs w:val="18"/>
                <w:color w:val="auto"/>
              </w:rPr>
              <w:t>Subtotal</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76,155</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Accumulated amortization</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(34,759)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finite-lived intangible assets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46,405</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8"/>
                <w:szCs w:val="18"/>
                <w:color w:val="auto"/>
                <w:w w:val="91"/>
              </w:rPr>
              <w:t>Indefinite-lived intangible assets</w:t>
            </w:r>
          </w:p>
        </w:tc>
        <w:tc>
          <w:tcPr>
            <w:tcW w:w="27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ind w:left="1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261,137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262,710</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442,265</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indefinite-lived intangible assets</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704,975</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1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743,283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with respect to finite-lived intangibles amounted to $4.6 million, $4.5 million and $2.5 million for the years ended January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with respect to intangibles for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January 31,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Amortization Expense</w:t>
            </w: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jc w:val="right"/>
              <w:ind w:right="49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3,871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3,154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Trademarks and customer relationships having finite lives are amortized over their estimated useful lives and measured for impairment when events or circumstances indicate that the carrying value may be impaired.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amounts of goodwill for each of the years ended January 31, 2019 and 2018 are summarized by reportable segment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31, 2017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269,262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Adjustments to acquired goodwill</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3,137</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31, 2018</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17"/>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31, 2019</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261,137</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the test in the fourth fiscal quarter of each year using a qualitative evaluation or a quantitative test that is a combination of a discounted cash flow analysis and a market approach. The discounted cash flow approach requires that certain assumptions and estimates be made regarding industry economic factors and future profitability. The market approach estimates the fair value based on comparisons with the market values and market multiples of earnings and revenues of similar public companies.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2018, the Company reduced goodwill recorded in connection with the acquisition of DKI by $9.0 million due to certain adjustments related to unrecorded indemnification obligations from LVMH, asset reserves, fixed assets and the section 338(h)(10) tax election adjustment. The Company also wrote off the goodwill associated with the retail operations segment of $0.7 million as a result of the performance of the retail operations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January 31, 2019</w:t>
            </w: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January 31, 2018</w:t>
            </w:r>
          </w:p>
        </w:tc>
      </w:tr>
      <w:tr>
        <w:trPr>
          <w:trHeight w:val="142"/>
        </w:trPr>
        <w:tc>
          <w:tcPr>
            <w:tcW w:w="2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2"/>
                <w:szCs w:val="12"/>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New revolving credit facility</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12,003</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r>
      <w:tr>
        <w:trPr>
          <w:trHeight w:val="210"/>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437,003</w:t>
            </w: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Less: Net debt issuance costs </w:t>
            </w:r>
            <w:r>
              <w:rPr>
                <w:rFonts w:ascii="Arial" w:cs="Arial" w:eastAsia="Arial" w:hAnsi="Arial"/>
                <w:sz w:val="8"/>
                <w:szCs w:val="8"/>
                <w:color w:val="auto"/>
              </w:rPr>
              <w:t>(1)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(12,626)</w:t>
            </w:r>
          </w:p>
        </w:tc>
      </w:tr>
      <w:tr>
        <w:trPr>
          <w:trHeight w:val="216"/>
        </w:trPr>
        <w:tc>
          <w:tcPr>
            <w:tcW w:w="6720" w:type="dxa"/>
            <w:vAlign w:val="bottom"/>
            <w:gridSpan w:val="2"/>
          </w:tcPr>
          <w:p>
            <w:pPr>
              <w:ind w:left="400"/>
              <w:spacing w:after="0"/>
              <w:rPr>
                <w:sz w:val="20"/>
                <w:szCs w:val="20"/>
                <w:color w:val="auto"/>
              </w:rPr>
            </w:pPr>
            <w:r>
              <w:rPr>
                <w:rFonts w:ascii="Arial" w:cs="Arial" w:eastAsia="Arial" w:hAnsi="Arial"/>
                <w:sz w:val="18"/>
                <w:szCs w:val="18"/>
                <w:color w:val="auto"/>
              </w:rPr>
              <w:t>Debt discount</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(28,382)</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(33,333)</w:t>
            </w:r>
          </w:p>
        </w:tc>
      </w:tr>
      <w:tr>
        <w:trPr>
          <w:trHeight w:val="217"/>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391,044</w:t>
            </w:r>
          </w:p>
        </w:tc>
      </w:tr>
      <w:tr>
        <w:trPr>
          <w:trHeight w:val="108"/>
        </w:trPr>
        <w:tc>
          <w:tcPr>
            <w:tcW w:w="228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4" w:lineRule="exact"/>
        <w:rPr>
          <w:sz w:val="20"/>
          <w:szCs w:val="20"/>
          <w:color w:val="auto"/>
        </w:rPr>
      </w:pPr>
    </w:p>
    <w:p>
      <w:pPr>
        <w:ind w:left="320" w:right="100" w:hanging="317"/>
        <w:spacing w:after="0" w:line="210" w:lineRule="exact"/>
        <w:tabs>
          <w:tab w:leader="none" w:pos="320" w:val="left"/>
        </w:tabs>
        <w:numPr>
          <w:ilvl w:val="0"/>
          <w:numId w:val="27"/>
        </w:numPr>
        <w:rPr>
          <w:rFonts w:ascii="Arial" w:cs="Arial" w:eastAsia="Arial" w:hAnsi="Arial"/>
          <w:sz w:val="18"/>
          <w:szCs w:val="18"/>
          <w:color w:val="auto"/>
        </w:rPr>
      </w:pPr>
      <w:r>
        <w:rPr>
          <w:rFonts w:ascii="Arial" w:cs="Arial" w:eastAsia="Arial" w:hAnsi="Arial"/>
          <w:sz w:val="16"/>
          <w:szCs w:val="16"/>
          <w:color w:val="auto"/>
        </w:rPr>
        <w:t>Does not include the debt issuance costs, net of amortization, totaling $7.1 million and $9.</w:t>
      </w:r>
      <w:r>
        <w:rPr>
          <w:rFonts w:ascii="Arial" w:cs="Arial" w:eastAsia="Arial" w:hAnsi="Arial"/>
          <w:sz w:val="18"/>
          <w:szCs w:val="18"/>
          <w:color w:val="auto"/>
        </w:rPr>
        <w:t>5</w:t>
      </w:r>
      <w:r>
        <w:rPr>
          <w:rFonts w:ascii="Arial" w:cs="Arial" w:eastAsia="Arial" w:hAnsi="Arial"/>
          <w:sz w:val="16"/>
          <w:szCs w:val="16"/>
          <w:color w:val="auto"/>
        </w:rPr>
        <w:t xml:space="preserve"> million as of January 31, 2019 and 2018, respectively, related to the new revolving credit facility. The debt issuance costs have been deferred and are classified in prepaid expense in the accompanying Consolidated Balance Sheets as required under ASU 2015</w:t>
      </w:r>
      <w:r>
        <w:rPr>
          <w:rFonts w:ascii="MS PGothic" w:cs="MS PGothic" w:eastAsia="MS PGothic" w:hAnsi="MS PGothic"/>
          <w:sz w:val="16"/>
          <w:szCs w:val="16"/>
          <w:color w:val="auto"/>
        </w:rPr>
        <w:t>‑</w:t>
      </w:r>
      <w:r>
        <w:rPr>
          <w:rFonts w:ascii="Arial" w:cs="Arial" w:eastAsia="Arial" w:hAnsi="Arial"/>
          <w:sz w:val="16"/>
          <w:szCs w:val="16"/>
          <w:color w:val="auto"/>
        </w:rPr>
        <w:t>15.</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acquisition of DKI, the Company borrowed $350.0 million under a senior secured term loan facility (the “Term Loan”). The Term Loan will mature in December 2022. The Term Loan was subject to amortization payments of 0.625% of the original aggregate principal amount of the Term Loan per quarter, with the balance due at maturity. On December 1, 2016, the Company prepaid $50.0 million in principal amount of the Term Loan. This prepayment relieved the Company of its obligation to make quarterly amortization payments for the remainder of the Term Loan.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outstanding principal amount of the Term Loan accrues at a rate equal to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secured (i) on a first-priority basis by a lien on the Company’s real estate assets, equipment and fixtures, equity interests and intellectual property and certain related rights owned by the Company and by certain of the Company’s subsidiaries and (ii) by a second-priority security interest in other assets of the Company and certain of its subsidiaries, which secure on a first-priority basis the Company’s asset-based loan facility described below under the caption “New Revolving Credit Facility”.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January 31, 2019, the Company was in compliance with these covenants.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Loan may be prepaid, at the option of the Company, in whole or in part, at any time at par plus accrued interest, and, in the case of prepayments from the proceeds of certain refinancings prior to December 1, 2017, subject to a 1% prepayment fee. The Term Loan is required to be prepaid with the proceeds of certain asset sales if such proceeds are not applied as required by the Term Loan within certain specified deadlines. The Term Loan is also required to be prepaid in an amount equal to 75% of the “Excess Cash Flow” (as defined in the Term Loan) of the Company with respect to each fiscal year ending on or after January 31, 2018. The percentage of Excess Cash Flow that must be so applied is reduced to 50% if the Company’s senior secured leverage ratio is less than 3.00 to 1.00, to 25% if the Company’s senior secured leverage ratio is less than 2.75 to 1.00 and to 0% if the Company’s senior secured leverage ratio is less than 2.25 to 1.00. As of January 31, 2019, the Company was not required to make a mandatory prepayment provision on excess cash flow as defined within the Term Loan.</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 also incurred debt issuance costs totaling $18.3 million related to the Term Loan, of which $2.6 million have been expensed in connection with the $50 million prepayment. In accordance with ASU 2015</w:t>
      </w:r>
      <w:r>
        <w:rPr>
          <w:rFonts w:ascii="MS PGothic" w:cs="MS PGothic" w:eastAsia="MS PGothic" w:hAnsi="MS PGothic"/>
          <w:sz w:val="18"/>
          <w:szCs w:val="18"/>
          <w:color w:val="auto"/>
        </w:rPr>
        <w:t>‑</w:t>
      </w:r>
      <w:r>
        <w:rPr>
          <w:rFonts w:ascii="Arial" w:cs="Arial" w:eastAsia="Arial" w:hAnsi="Arial"/>
          <w:sz w:val="18"/>
          <w:szCs w:val="18"/>
          <w:color w:val="auto"/>
        </w:rPr>
        <w:t>15, the debt issuance costs have been deferred and are presented as a contra-liability, offsetting the outstanding balance of the Term Loan, and are amortized using the effective interest method over the remaining life of the Term Loan.</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interest rate for amounts borrowed under the Term Loan was 7.48% for the year ended January 31, 2019. A 0.25% change in the interest rates applied to the Term Loan would change annual interest expense under the Term Loan by $0.8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Upon closing of the acquisition of DKI, the Company’s prior credit agreement (the “prior revolving credit facility”) was refinanced and replaced by a $650 million amended and restated credit agreement (the “new revolving credit facility”). Amounts available under the new revolving credit facility are subject to borrowing base formulas and over advances as specified in the new revolving credit facility agreement. Borrowings bear interest, at the Company’s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new revolving credit facility agreement. The new revolving credit facility has a five-year term ending December 1, 2021. In addition to paying interest on any outstanding borrowings under the new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73"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Company also incurred debt issuance costs totaling $12.4 million related to the new revolving credit facility. As permitted under ASU 2015</w:t>
      </w:r>
      <w:r>
        <w:rPr>
          <w:rFonts w:ascii="MS PGothic" w:cs="MS PGothic" w:eastAsia="MS PGothic" w:hAnsi="MS PGothic"/>
          <w:sz w:val="18"/>
          <w:szCs w:val="18"/>
          <w:color w:val="auto"/>
        </w:rPr>
        <w:t>‑</w:t>
      </w:r>
      <w:r>
        <w:rPr>
          <w:rFonts w:ascii="Arial" w:cs="Arial" w:eastAsia="Arial" w:hAnsi="Arial"/>
          <w:sz w:val="18"/>
          <w:szCs w:val="18"/>
          <w:color w:val="auto"/>
        </w:rPr>
        <w:t>15, the debt issuance costs have been deferred and are presented as an asset, which is subsequently amortized ratably over the term of the new revolving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new revolving credit facility is secured by specified assets of the Company and certain of its subsidiaries.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revolving credit facility contains a number of covenants that, among other things, restrict the Company’s ability, subject to specified exceptions, to incur additional debt; incur liens; sell or dispose of assets; merge with other companies; liquidate or dissolve itself; acquire other companies; make loans, advances, or guarantees; and make certain investments. In certain circumstances, the new revolving credit facility also requires G-III to maintain a minimum fixed charge coverage ratio, as defined, that should not exceed 1.00 to 1.00 for each period of twelve consecutive fiscal months of holdings. As of January 31, 2019, the Company was in compliance with these covenants.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31, 2019, interest under the new revolving credit facility was being charged at the weighted average rate of 3.77% per annum. The new revolving credit facility also includes amounts available for letters of credit. As of January 31, 2019, the Company had no borrowings outstanding under the new revolving credit facility. As of January 31, 2019, there were outstanding trade and standby letters of credit amounting to $11.4 million and $3.4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issuance of the LVMH Note, LVMH entered into (i) a subordination agreement with Barclays Bank PLC, as administrative agent for the lenders party to the Term Loan and collateral agent for the Senior Secured Parties thereunder and JPMorgan Chase Bank, N.A., as administrative agent for the lenders and other Senior Secured Parties under the new revolving credit facility, providing that the Company’s obligations under the LVMH Note are subordinate and junior to the Company’s obligations under the new revolving credit facility and the Term Loan, and (ii) a pledge and security agreement with the Company and its subsidiary, G-III Leather Fashions, Inc., pursuant to which the Company and G-III Leather Fashions, Inc. granted to LVMH a security interest in specified collateral to secure the Company’s payment and performance of the Company’s obligations under the LVMH Note that is subordinate and junior to the security interest granted by the Company with respect to the Company’s obligations under the new revolving credit facility agreement and Term Loan.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Revolving Credit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acquisition of DKI, the prior revolving credit facility consisted of a five-year senior secured credit facility providing for borrowings in the aggregate principal amount of up to $450 million through August 2017. Amounts available under the prior revolving credit facility were subject to borrowing base formulas and other advances as specified in the related credit agreement. Borrowings bore interest, at the Company’s option, at LIBOR plus a margin of 1.5% to 2.0% or prime plus a margin of 0.5% to 1.0%, with the applicable margin determined based on availability under the prior revolving credit facility.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interest rate for amounts borrowed under the prior revolving credit facility was 2.1% for the period starting February 2, 2016 and ending November 30, 2016, when the prior revolving credit facility was replaced by the new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Debt Maturities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2019, the Company’s mandatory debt repayments mature in the years ending up to January 31, 2024 or thereafter.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January 31,</w:t>
            </w:r>
          </w:p>
        </w:tc>
        <w:tc>
          <w:tcPr>
            <w:tcW w:w="1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r>
      <w:tr>
        <w:trPr>
          <w:trHeight w:val="142"/>
        </w:trPr>
        <w:tc>
          <w:tcPr>
            <w:tcW w:w="4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(In thousands)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2021</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2023</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432"/>
        </w:trPr>
        <w:tc>
          <w:tcPr>
            <w:tcW w:w="4920" w:type="dxa"/>
            <w:vAlign w:val="bottom"/>
          </w:tcPr>
          <w:p>
            <w:pPr>
              <w:spacing w:after="0"/>
              <w:rPr>
                <w:sz w:val="20"/>
                <w:szCs w:val="20"/>
                <w:color w:val="auto"/>
              </w:rPr>
            </w:pPr>
            <w:r>
              <w:rPr>
                <w:rFonts w:ascii="Arial" w:cs="Arial" w:eastAsia="Arial" w:hAnsi="Arial"/>
                <w:sz w:val="18"/>
                <w:szCs w:val="18"/>
                <w:i w:val="1"/>
                <w:iCs w:val="1"/>
                <w:color w:val="auto"/>
              </w:rPr>
              <w:t>Accrued expenses</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January 31,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January 31, 2018</w:t>
            </w:r>
          </w:p>
        </w:tc>
      </w:tr>
      <w:tr>
        <w:trPr>
          <w:trHeight w:val="142"/>
        </w:trPr>
        <w:tc>
          <w:tcPr>
            <w:tcW w:w="4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6"/>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0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44,519</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36,137</w:t>
            </w: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1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58,322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58,918</w:t>
            </w:r>
          </w:p>
        </w:tc>
      </w:tr>
      <w:tr>
        <w:trPr>
          <w:trHeight w:val="21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102,841</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4"/>
              </w:rPr>
              <w:t>Year Ended January 31,</w:t>
            </w:r>
          </w:p>
        </w:tc>
        <w:tc>
          <w:tcPr>
            <w:tcW w:w="640" w:type="dxa"/>
            <w:vAlign w:val="bottom"/>
            <w:tcBorders>
              <w:bottom w:val="single" w:sz="8" w:color="auto"/>
            </w:tcBorders>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Federal</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23,463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28,723</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22,925</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city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16"/>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w:t>
            </w: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r>
      <w:tr>
        <w:trPr>
          <w:trHeight w:val="210"/>
        </w:trPr>
        <w:tc>
          <w:tcPr>
            <w:tcW w:w="40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Deferred</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State and city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2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408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r>
      <w:tr>
        <w:trPr>
          <w:trHeight w:val="23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Income before income taxes</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137,748</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r>
      <w:tr>
        <w:trPr>
          <w:trHeight w:val="216"/>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Non-United States</w:t>
            </w: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w:t>
            </w:r>
          </w:p>
        </w:tc>
      </w:tr>
      <w:tr>
        <w:trPr>
          <w:trHeight w:val="217"/>
        </w:trPr>
        <w:tc>
          <w:tcPr>
            <w:tcW w:w="40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183,830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110,049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77,762</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U.S. government enacted comprehensive tax legislation regime commonly referred to as the TCJA. The TCJA included a broad range of complex provisions impacting the taxation of multi-national companies including the Company. Specifically, the Company is impacted by the change in the U.S. Federal corporate income tax rate from 35% to 21% (effective January 1, 2018). Further, the new regime includes a one-time transition tax on foreign earnings that were previously deferred, taxation of certain performance-based compensation paid to the Company’s top executive officers that was previously deductible, full expensing of fixed assets and the deductibility of certain costs, and GILTI.</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TCJA, the Company recorded $6.9 million as additional income tax expense in the fourth quarter of 2017, the period in which the legislation was enacted. The total expense primarily comprised of approximately $3.3 million related to the transition tax and approximately $4.4 million tax expense related to revaluing U.S. deferred tax assets and liabilities using the new U.S. corporate tax rate of 21%. Other provisional impacts were primarily related to the state tax impact of the prorated reduced federal tax rate. SAB 118 was issued to address the application of U.S. GAAP in situations when a company does not have the necessary information available, prepared, or analyzed to complete the accounting for certain income tax effects of the TCJA. December 22, 2018 marked the end of the measurement period for purposes of SAB 118. As such, the Company has completed its analysis based on legislative updates relating to TCJA, which resulted in an immaterial impact to the Company’s overall financial results.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TCJA subjects a U.S. parent company to current tax on its GILTI. We elected to account for any tax on GILTI in the period in which it was incurred. At January 31, 2019, the Company incurred a GILTI tax impact of $0.2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components of the Company’s net deferred tax asset at January 31, 2019 and 2018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80"/>
        </w:trPr>
        <w:tc>
          <w:tcPr>
            <w:tcW w:w="512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2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2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Straight-line lease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Provision for bad debts and sales allowances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17,819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Supplemental employee retirement plan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Inventory write-downs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operating loss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deferred income tax assets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39,068</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valuation allowance</w:t>
            </w:r>
          </w:p>
        </w:tc>
        <w:tc>
          <w:tcPr>
            <w:tcW w:w="1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(16,234)</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(21,742)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(22,804)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income tax liabilities</w:t>
            </w:r>
          </w:p>
        </w:tc>
        <w:tc>
          <w:tcPr>
            <w:tcW w:w="1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(41,869)</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8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2019 and 2018, deferred tax liabilities of $15.1 million and $15.8 million, respectively, relate to intangible assets in Switzerland. The remaining intangible assets relate primarily to the 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undistributed earnings of the Company’s foreign subsidiaries are approximately $78.0 million for the fiscal year ended January 31, 2019. Those earnings are considered indefinitely reinvested. Even though the undistributed earnings can be distributed back generally without U.S. federal income tax as a result of the one-time transition tax under the TCJA regime, the Company will not change its indefinite reinvestment assertion with respect to those earnings. Upon distribution of those earnings in the form of dividends, the Company does not anticipate any material tax costs. As such, no deferred taxes have been provided for withholding taxes or other taxes that would result upon repatriation of undistributed foreign earnings.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effective rate reported in the financial statements for the years ended January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5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Provision for Federal income taxes at the statutory rate</w:t>
            </w:r>
          </w:p>
        </w:tc>
        <w:tc>
          <w:tcPr>
            <w:tcW w:w="1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6"/>
              </w:rPr>
              <w:t>State and local income taxes, net of Federal tax benefit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1"/>
              </w:rPr>
              <w:t>Permanent differences resulting in Federal taxable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Tax reform</w:t>
            </w:r>
          </w:p>
        </w:tc>
        <w:tc>
          <w:tcPr>
            <w:tcW w:w="1900" w:type="dxa"/>
            <w:vAlign w:val="bottom"/>
          </w:tcPr>
          <w:p>
            <w:pPr>
              <w:spacing w:after="0"/>
              <w:rPr>
                <w:sz w:val="18"/>
                <w:szCs w:val="18"/>
                <w:color w:val="auto"/>
              </w:rPr>
            </w:pPr>
          </w:p>
        </w:tc>
        <w:tc>
          <w:tcPr>
            <w:tcW w:w="10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Share-based payments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Valuation allowance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Actual provision for income taxes</w:t>
            </w:r>
          </w:p>
        </w:tc>
        <w:tc>
          <w:tcPr>
            <w:tcW w:w="1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648"/>
        </w:trPr>
        <w:tc>
          <w:tcPr>
            <w:tcW w:w="4280" w:type="dxa"/>
            <w:vAlign w:val="bottom"/>
          </w:tcPr>
          <w:p>
            <w:pPr>
              <w:spacing w:after="0"/>
              <w:rPr>
                <w:sz w:val="24"/>
                <w:szCs w:val="24"/>
                <w:color w:val="auto"/>
              </w:rPr>
            </w:pPr>
          </w:p>
        </w:tc>
        <w:tc>
          <w:tcPr>
            <w:tcW w:w="2940" w:type="dxa"/>
            <w:vAlign w:val="bottom"/>
            <w:gridSpan w:val="3"/>
          </w:tcPr>
          <w:p>
            <w:pPr>
              <w:jc w:val="right"/>
              <w:ind w:right="2430"/>
              <w:spacing w:after="0"/>
              <w:rPr>
                <w:sz w:val="20"/>
                <w:szCs w:val="20"/>
                <w:color w:val="auto"/>
              </w:rPr>
            </w:pPr>
            <w:r>
              <w:rPr>
                <w:rFonts w:ascii="Arial" w:cs="Arial" w:eastAsia="Arial" w:hAnsi="Arial"/>
                <w:sz w:val="18"/>
                <w:szCs w:val="18"/>
                <w:color w:val="auto"/>
              </w:rPr>
              <w:t>F-28</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Valuation allowances represent deferred tax benefits where management is uncertain if the Company will have the ability to recognize those benefits in the future. As of January 31, 2019, the Company recorded an additional valuation allowance of $0.4 million against its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amounts of gross unrecognized tax benefits (excluding interest and penalties)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r>
      <w:tr>
        <w:trPr>
          <w:trHeight w:val="142"/>
        </w:trPr>
        <w:tc>
          <w:tcPr>
            <w:tcW w:w="5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Lapses of statues of limitations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uncertain income tax positions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files income tax returns in the U.S. federal jurisdiction and various state and foreign jurisdictions. As of January 31, 2019, there was a decrease in the unrecognized tax position reserve of $0.1 million for lapses in the statute of limitations in the uncertain income tax positions reserves.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policy on classification is to include interest in interest and financing charges, net and penalties in selling, general and administrative expenses in the accompanying Consolidated Statements of Income and Comprehensive Income. The Company and certain of its subsidiaries are subject to U.S. Federal income tax as well as income tax of multiple state, local, and foreign jurisdictions. One of its foreign subsidiaries, T.R.B. International S.A., has a ruling with the Swiss government that taxes commercial foreign sourced income at an 11.6% rate. The ruling was extended to the year ending December 31, 2019.</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the major jurisdictions, the Company and its subsidiaries are subject to examination in the United States and various foreign jurisdictions for fiscal year 2014 and forward. The Company is currently under audit examination by New York and Canada for fiscal year 2014 and 2015. The Company believes that it is reasonably possible there will be no change to its unrecognized income tax position reserves during the next twelve months due to the applicable statues of limitations.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warehousing, executive and sales facilities, retail stores, equipment and vehicles under operating leases with options to renew at varying terms. Leases with provisions for increasing rents have been accounted for on a straight-line basis over the life of the lease.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leases provide for contingent rents, which are determined as a percentage of gross sales. The Company records a contingent rent liability in accrued expenses on the Consolidated Balance Sheets and the corresponding rent expense in the Consolidated Statements of Income and Comprehensive Income when management determines that achieving the specified levels during the fiscal year is probable.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schedule sets forth the future minimum rental payments for operating leases having non-cancelable lease periods in excess of one year at January 31,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Year Ending January 31,</w:t>
            </w:r>
          </w:p>
        </w:tc>
        <w:tc>
          <w:tcPr>
            <w:tcW w:w="160" w:type="dxa"/>
            <w:vAlign w:val="bottom"/>
          </w:tcPr>
          <w:p>
            <w:pPr>
              <w:spacing w:after="0"/>
              <w:rPr>
                <w:sz w:val="14"/>
                <w:szCs w:val="14"/>
                <w:color w:val="auto"/>
              </w:rPr>
            </w:pP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r>
      <w:tr>
        <w:trPr>
          <w:trHeight w:val="142"/>
        </w:trPr>
        <w:tc>
          <w:tcPr>
            <w:tcW w:w="7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81,085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68,281</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60,358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49,416</w:t>
            </w:r>
          </w:p>
        </w:tc>
      </w:tr>
      <w:tr>
        <w:trPr>
          <w:trHeight w:val="216"/>
        </w:trPr>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79,996</w:t>
            </w:r>
          </w:p>
        </w:tc>
      </w:tr>
      <w:tr>
        <w:trPr>
          <w:trHeight w:val="217"/>
        </w:trPr>
        <w:tc>
          <w:tcPr>
            <w:tcW w:w="7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433,225</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on the above operating leases for the years ended January 31, 2019, 2018 and 2017 was $108.2 million, $110.4 million and $84.7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license agreements that provide for royalty payments based on net sales of licensed products. The Company incurred royalty expense (included in cost of goods sold) of $165.7 million, $154.3 million and $139.0 million for the years ended January 31, 2019, 2018 and 2017, respectively. Contractual advertising expense, which is normally based on a percentage of net sales associated with certain license agreements (included in selling, general and administrative expenses), was $46.2 million, $43.4 million and $39.2 million for the years ended January 31, 2019, 2018 and 2017, respectively. Based on minimum net sales requirements, future minimum royalty and advertising payments required under these agreements 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Year Ending January 31,</w:t>
            </w:r>
          </w:p>
        </w:tc>
        <w:tc>
          <w:tcPr>
            <w:tcW w:w="160" w:type="dxa"/>
            <w:vAlign w:val="bottom"/>
          </w:tcPr>
          <w:p>
            <w:pPr>
              <w:spacing w:after="0"/>
              <w:rPr>
                <w:sz w:val="14"/>
                <w:szCs w:val="14"/>
                <w:color w:val="auto"/>
              </w:rPr>
            </w:pP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r>
      <w:tr>
        <w:trPr>
          <w:trHeight w:val="142"/>
        </w:trPr>
        <w:tc>
          <w:tcPr>
            <w:tcW w:w="7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97,827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87,048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49,683</w:t>
            </w:r>
          </w:p>
        </w:tc>
      </w:tr>
      <w:tr>
        <w:trPr>
          <w:trHeight w:val="216"/>
        </w:trPr>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478,246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 except for the following: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Customs Duty Examination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G-III Canada secured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under the new valuation method. This amount was paid to the CBSA. Beginning February 1, 2018, the Company began paying duties based on the new valuation method. Expense amounts deferred for the year ended January 31, 2019, related to the higher dutiable values, were CAD$10.5 million ($8.0 million).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pursuant to this program, the Company acquired 723,072 of its shares of common stock for an aggregate purchase price of $20.3 million. The Company did not repurchase any shares during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January 31, 2019, the Company had 717,381 shares available for grant under its long-term incentive plan. The plan provides for the grant of equity and cash awards, including restricted stock awards, stock options and other stock unit awards to directors, officers and employees. Restricted stock unit awards generally vest over a two to five year period and certain awards also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It is the Company’s policy to grant stock options at prices not less than the fair market value on the date of the grant. Option terms, vesting and exercise periods vary, except that the term of an option may not exceed ten years.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31, 2016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630,642</w:t>
            </w: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(678,164)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ind w:right="232"/>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1,998,861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279,479</w:t>
            </w: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(10,391)</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1,772,577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529,253</w:t>
            </w: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(451,929)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(28,282)</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w:t>
      </w:r>
      <w:r>
        <w:rPr>
          <w:rFonts w:ascii="Arial" w:cs="Arial" w:eastAsia="Arial" w:hAnsi="Arial"/>
          <w:sz w:val="18"/>
          <w:szCs w:val="18"/>
          <w:b w:val="1"/>
          <w:bCs w:val="1"/>
          <w:color w:val="auto"/>
        </w:rPr>
        <w:t>.</w:t>
      </w:r>
      <w:r>
        <w:rPr>
          <w:rFonts w:ascii="Arial" w:cs="Arial" w:eastAsia="Arial" w:hAnsi="Arial"/>
          <w:sz w:val="18"/>
          <w:szCs w:val="18"/>
          <w:color w:val="auto"/>
        </w:rPr>
        <w:t xml:space="preserve"> This valuation is performed with the assistance of a third party valuation specialist. For restricted stock units with no performance conditions, grant date fair value is based on the market price on the date of grant.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$19.7 million, $19.7 million and $16.9 million in share-based compensation expense for the years ended January 31, 2019, 2018 and 2017, respectively, related to restricted stock unit grants. At January 31, 2019, 2018 and 2017, unrecognized costs related to the restricted stock units totaled $19.4 million, $23.0 million and $40.7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Average</w:t>
            </w: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 at beginning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331,651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(15,600)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(20,520)</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Cancelled or 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3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 at end of year</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251,131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0"/>
        </w:trPr>
        <w:tc>
          <w:tcPr>
            <w:tcW w:w="3740" w:type="dxa"/>
            <w:vAlign w:val="bottom"/>
          </w:tcPr>
          <w:p>
            <w:pPr>
              <w:spacing w:after="0" w:line="203" w:lineRule="exact"/>
              <w:rPr>
                <w:sz w:val="20"/>
                <w:szCs w:val="20"/>
                <w:color w:val="auto"/>
              </w:rPr>
            </w:pPr>
            <w:r>
              <w:rPr>
                <w:rFonts w:ascii="Arial" w:cs="Arial" w:eastAsia="Arial" w:hAnsi="Arial"/>
                <w:sz w:val="18"/>
                <w:szCs w:val="18"/>
                <w:color w:val="auto"/>
              </w:rPr>
              <w:t>Exercisable</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47,066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62,666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251,131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as of</w:t>
            </w:r>
          </w:p>
        </w:tc>
        <w:tc>
          <w:tcPr>
            <w:tcW w:w="18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Exercisable as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31,</w:t>
            </w: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8"/>
        </w:trPr>
        <w:tc>
          <w:tcPr>
            <w:tcW w:w="2860" w:type="dxa"/>
            <w:vAlign w:val="bottom"/>
            <w:gridSpan w:val="2"/>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Contractual Life</w:t>
            </w:r>
          </w:p>
        </w:tc>
        <w:tc>
          <w:tcPr>
            <w:tcW w:w="18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$5.55 - $9.20</w:t>
            </w:r>
          </w:p>
        </w:tc>
        <w:tc>
          <w:tcPr>
            <w:tcW w:w="1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$12.51 - $17.45</w:t>
            </w:r>
          </w:p>
        </w:tc>
        <w:tc>
          <w:tcPr>
            <w:tcW w:w="1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27,066</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$18.11 - $30.32</w:t>
            </w:r>
          </w:p>
        </w:tc>
        <w:tc>
          <w:tcPr>
            <w:tcW w:w="13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options was estimated using the Black-Scholes option-pricing model. This model requires the input of subjective assumptions that will usually have a significant impact on the fair value estimate. The Company granted 8,245 stock options during the year ended January 31, 2019. No stock options were granted during the years ended January 31,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assumptions used in the Black-Scholes option-pricing model for grants in fiscal 2019:</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 (in years)</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2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volatility was developed using historical volatility for periods equal to the expected term of the options.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risk-free interest rate was developed using the U.S. Treasury yield curve for periods equal to the expected term of the options on the grant date. An increase in the risk-free interest rate will increase stock compensation expense.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dividend yield is a ratio that estimates the expected dividend payments to shareholders. The Company has not declared a cash dividend and has estimated dividend yield at 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term of stock option grants was developed after considering vesting schedules, life of the option, and historical experience. An increase in the expected holding period will increase stock compensation expense.</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 accounts for forfeited awards as they occur as permitted by ASU 2016</w:t>
      </w:r>
      <w:r>
        <w:rPr>
          <w:rFonts w:ascii="MS PGothic" w:cs="MS PGothic" w:eastAsia="MS PGothic" w:hAnsi="MS PGothic"/>
          <w:sz w:val="18"/>
          <w:szCs w:val="18"/>
          <w:color w:val="auto"/>
        </w:rPr>
        <w:t>‑</w:t>
      </w:r>
      <w:r>
        <w:rPr>
          <w:rFonts w:ascii="Arial" w:cs="Arial" w:eastAsia="Arial" w:hAnsi="Arial"/>
          <w:sz w:val="18"/>
          <w:szCs w:val="18"/>
          <w:color w:val="auto"/>
        </w:rPr>
        <w:t>09. Ultimately, the actual expense recognized over the vesting period will be for those shares that vest.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weighted average remaining term for stock options outstanding was 1.9 years at January 31, 2019. The aggregate intrinsic value at January 31, 2019 was $1.1 million for stock options outstanding and $1.0 million for stock options exercisable. The intrinsic value for stock options is calculated based on the exercise price of the underlying awards and the market price of the Company’s common stock as of January 31, 2019, the reporting date.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Proceeds received from the exercise of stock options were $0.1 million and $1.6 million during the years ended January 31, 2019 and 2018, respectively. The intrinsic value of stock options exercised was $0.4 million and $3.6 million for the years ended January 31, 2019 and 2018, respectively. A portion of this amount is currently deductible for tax purposes.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 nominal amount and $0.1 million in compensation expense for the year ended January 31, 2019 and 2017, respectively, related to stock options. No compensation expense related to stock options was recognized for the year ended January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CONCENTRATION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Two customers in the wholesale operations segment accounted for approximately 24.8% and 12.4%, respectively, of the Company’s net sales for the year ended January 31, 2019. One customer accounted for 22.2% and 21.8% of the Company’s net sales for the years ended January 31, 2018 and 2017, respectively. Two customers in the wholesale operations segment accounted for approximately 27.5% and 16.5%, respectively, of the Company’s net accounts receivable as of January 31, 2019. Two customers accounted for approximately 22.2% and 17.2%, respectively, of the Company’s net accounts receivable as of January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Sourcing</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sourced from China approximately 61.5%, 65.1% and 72.0% of the inventory purchased for the years ended January 31, 2019, 2018 and 2017, respectively. During the year ended January 31, 2019 and 2018, the Company sourced 14.4% and 14.7% of its purchases from one vendor in China, respectively. During the year ended January 31, 2017, the Company sourced 23.9% (13.6% and 10.3%) of its purchases from two vendors in China. The Company believes it has alternative manufacturing sources available to meet its current and future production requirements in the event the Company is required to change current manufacturers or current manufacturers are unavailable to fulfill the Company’s production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EMPLOYEE BENEFIT PLANS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$3.8 million, $3.6 million and $2.9 million for the years ended January 31, 2019, 2018 and 2017, respectively. The DKI 401(k) plan and trust for U.S. based non-union employees was merged with the GIII Plan on June 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SEGMENTS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trademarks owned by the Donna Karan, DKNY, G.H. Bass, Andrew Marc and Vilebrequin businesses. The retail operations segment consists primarily of the Wilsons Leather, G.H. Bass and DKNY stores, as well as a limited number of Calvin Klein Performance and Karl Lagerfeld Paris stores. Sales through the Company’s owned websites, with the exception of Vilebrequin, are also included in the retail operations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segment information, in thousands, is presented for the fiscal years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January 31, 2019</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2,716,958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3,076,208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1,837,335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249,278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1,969,099</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879,623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1,107,109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570,290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264,473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834,763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Asset impairments</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17"/>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230,714</w:t>
            </w:r>
          </w:p>
        </w:tc>
      </w:tr>
      <w:tr>
        <w:trPr>
          <w:trHeight w:val="864"/>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2"/>
                <w:szCs w:val="12"/>
                <w:color w:val="auto"/>
              </w:rPr>
            </w:pPr>
          </w:p>
        </w:tc>
        <w:tc>
          <w:tcPr>
            <w:tcW w:w="9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2,454,008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2,806,938</w:t>
            </w:r>
          </w:p>
        </w:tc>
      </w:tr>
      <w:tr>
        <w:trPr>
          <w:trHeight w:val="216"/>
        </w:trPr>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1,650,084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251,679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1,752,199</w:t>
            </w: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1,054,739</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284,083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855,247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r>
      <w:tr>
        <w:trPr>
          <w:trHeight w:val="216"/>
        </w:trPr>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 impairments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r>
      <w:tr>
        <w:trPr>
          <w:trHeight w:val="217"/>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153,825</w:t>
            </w:r>
          </w:p>
        </w:tc>
      </w:tr>
      <w:tr>
        <w:trPr>
          <w:trHeight w:val="378"/>
        </w:trPr>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January 31, 2017</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2"/>
                <w:szCs w:val="12"/>
                <w:color w:val="auto"/>
              </w:rPr>
            </w:pPr>
          </w:p>
        </w:tc>
        <w:tc>
          <w:tcPr>
            <w:tcW w:w="9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8"/>
                <w:szCs w:val="8"/>
                <w:color w:val="auto"/>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2,021,736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2,386,435</w:t>
            </w:r>
          </w:p>
        </w:tc>
      </w:tr>
      <w:tr>
        <w:trPr>
          <w:trHeight w:val="216"/>
        </w:trPr>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1,387,274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267,351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1,545,107</w:t>
            </w: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841,328</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457,786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704,436</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10,480</w:t>
            </w:r>
          </w:p>
        </w:tc>
      </w:tr>
      <w:tr>
        <w:trPr>
          <w:trHeight w:val="217"/>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93,931</w:t>
            </w:r>
          </w:p>
        </w:tc>
      </w:tr>
      <w:tr>
        <w:trPr>
          <w:trHeight w:val="108"/>
        </w:trPr>
        <w:tc>
          <w:tcPr>
            <w:tcW w:w="22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98"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intersegment sales to the Company’s retail operations segment.</w:t>
      </w:r>
    </w:p>
    <w:p>
      <w:pPr>
        <w:spacing w:after="0" w:line="32" w:lineRule="exact"/>
        <w:rPr>
          <w:rFonts w:ascii="Arial" w:cs="Arial" w:eastAsia="Arial" w:hAnsi="Arial"/>
          <w:sz w:val="16"/>
          <w:szCs w:val="16"/>
          <w:color w:val="auto"/>
        </w:rPr>
      </w:pPr>
    </w:p>
    <w:p>
      <w:pPr>
        <w:ind w:left="320" w:right="240" w:hanging="317"/>
        <w:spacing w:after="0" w:line="293"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reclassifications have been made between the wholesale operations segment and the elimination column as a result of sales eliminations within the wholesale operations segment being misclassified as inter-segment eliminations.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January 31,</w:t>
            </w:r>
          </w:p>
        </w:tc>
      </w:tr>
      <w:tr>
        <w:trPr>
          <w:trHeight w:val="171"/>
        </w:trPr>
        <w:tc>
          <w:tcPr>
            <w:tcW w:w="3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142"/>
        </w:trPr>
        <w:tc>
          <w:tcPr>
            <w:tcW w:w="3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1,834,610</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1,554,191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190,996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215,568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145,418</w:t>
            </w: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2,208,058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net sales and long-lived assets by geographic region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9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Long-Lived</w:t>
            </w:r>
          </w:p>
        </w:tc>
        <w:tc>
          <w:tcPr>
            <w:tcW w:w="140" w:type="dxa"/>
            <w:vAlign w:val="bottom"/>
          </w:tcPr>
          <w:p>
            <w:pPr>
              <w:spacing w:after="0"/>
              <w:rPr>
                <w:sz w:val="10"/>
                <w:szCs w:val="10"/>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Long-Lived</w:t>
            </w:r>
          </w:p>
        </w:tc>
        <w:tc>
          <w:tcPr>
            <w:tcW w:w="140" w:type="dxa"/>
            <w:vAlign w:val="bottom"/>
          </w:tcPr>
          <w:p>
            <w:pPr>
              <w:spacing w:after="0"/>
              <w:rPr>
                <w:sz w:val="10"/>
                <w:szCs w:val="10"/>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Long-Lived</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Assets</w:t>
            </w: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$ 2,656,479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$ 762,444</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$ 2,466,107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$ 770,128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$ 2,180,409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$ 790,341</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Non-United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419,729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191,719</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340,831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185,448</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206,026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178,665</w:t>
            </w:r>
          </w:p>
        </w:tc>
        <w:tc>
          <w:tcPr>
            <w:tcW w:w="0" w:type="dxa"/>
            <w:vAlign w:val="bottom"/>
          </w:tcPr>
          <w:p>
            <w:pPr>
              <w:spacing w:after="0"/>
              <w:rPr>
                <w:sz w:val="1"/>
                <w:szCs w:val="1"/>
                <w:color w:val="auto"/>
              </w:rPr>
            </w:pPr>
          </w:p>
        </w:tc>
      </w:tr>
      <w:tr>
        <w:trPr>
          <w:trHeight w:val="217"/>
        </w:trPr>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$ 3,076,208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$ 954,163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$ 2,806,938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$ 955,576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$ 2,386,435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$ 969,006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locations outside of the United States totaled $4.3 million, $3.7 million and $4.6 million for the years ended January 31, 2019,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EQUITY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Fabco Holding B.V.</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2017, the Company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owns 49% of the joint venture, with Amlon owning the remaining 51%. The joint venture was funded with $25 million of equity to be used to strengthen the DKNY and Donna Karan brands and accelerate the growth of the business in the region. Of this amount, the Company contributed an aggregate of $10.0 million. Starting January 1, 2018, this joint venture is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Consolidated Balance Sheets at January 31,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Karl Lagerfeld Holding B.V.</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The investment in KLH, which is being accounted for under the equity method of accounting, is reflected in Investment in Unconsolidated Affiliates on the Consolidated Balance Sheets at January 31,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KL North America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 eyewear, fragrance, cosmetics, watches, jewelry, and hospitality services) and apparel in the United States, Canada and Mexico. The investment in KLNA, which is being accounted for under the equity method of accounting, is reflected in Investment in Unconsolidated Affiliates on the Consolidated Balance Sheets at January 31, 2019 and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Fabco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G-III owns a 49% ownership interest in Fabco and is considered a related party of Fabco (see Note M). The Company sells inventory to Fabco and granted Fabco’s subsidiary the right to use certain Donna Karan and DKNY trademarks. In fiscal 2019, the Company sold $4.3 million in inventory to Fabco. The Company recorded $2.2 million and $0.2 million of licensing revenue from Fabco during the years ended January 31, 2019 and 2018, respectively. As of January 31, 2019, Fabco prepaid $0.8 million to the Company for minimum royalties and marketing fees relating to the first quarter of 2019 and has a $0.5 million payable balance relating to inventory purchased from the Company and its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KL North America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G-III owns a 49% ownership interest in KLNA and is considered a related party of KLNA (see note M). The Company entered into a licensing agreement to use the brand rights to certain Karl Lagerfeld trademarks held by KLNA. The Company incurred royalty and advertising expense of $6.4 million, $4.8 million and $4.0 million for the years ended January 31, 2019, 2018 and 2017, respectively. The amount of royalty and advertising due to KLNA as of January 31, 2019, 2018 and 2017 was $2.1 million, $1.5 million and $0.7 million,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QUARTERLY FINANCIAL DATA (UNAUDITED)</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Summarized quarterly financial data for the fiscal years ended January 31, 2018 and 2019 are as follows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3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20" w:type="dxa"/>
            <w:vAlign w:val="bottom"/>
          </w:tcPr>
          <w:p>
            <w:pPr>
              <w:spacing w:after="0"/>
              <w:rPr>
                <w:sz w:val="10"/>
                <w:szCs w:val="10"/>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 xml:space="preserve">2019 </w:t>
            </w:r>
            <w:r>
              <w:rPr>
                <w:rFonts w:ascii="Arial" w:cs="Arial" w:eastAsia="Arial" w:hAnsi="Arial"/>
                <w:sz w:val="14"/>
                <w:szCs w:val="14"/>
                <w:b w:val="1"/>
                <w:bCs w:val="1"/>
                <w:color w:val="auto"/>
                <w:w w:val="86"/>
                <w:vertAlign w:val="superscript"/>
              </w:rPr>
              <w:t>(1)</w:t>
            </w:r>
          </w:p>
        </w:tc>
        <w:tc>
          <w:tcPr>
            <w:tcW w:w="2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1,072,982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766,785</w:t>
            </w:r>
          </w:p>
        </w:tc>
        <w:tc>
          <w:tcPr>
            <w:tcW w:w="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231,544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258,938</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8"/>
                <w:szCs w:val="18"/>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20"/>
                <w:szCs w:val="20"/>
                <w:color w:val="auto"/>
              </w:rPr>
            </w:pPr>
          </w:p>
        </w:tc>
      </w:tr>
      <w:tr>
        <w:trPr>
          <w:trHeight w:val="269"/>
        </w:trPr>
        <w:tc>
          <w:tcPr>
            <w:tcW w:w="3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19"/>
        </w:trPr>
        <w:tc>
          <w:tcPr>
            <w:tcW w:w="3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April 30,</w:t>
            </w:r>
          </w:p>
        </w:tc>
        <w:tc>
          <w:tcPr>
            <w:tcW w:w="14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20" w:type="dxa"/>
            <w:vAlign w:val="bottom"/>
          </w:tcPr>
          <w:p>
            <w:pPr>
              <w:spacing w:after="0"/>
              <w:rPr>
                <w:sz w:val="10"/>
                <w:szCs w:val="10"/>
                <w:color w:val="auto"/>
              </w:rPr>
            </w:pPr>
          </w:p>
        </w:tc>
      </w:tr>
      <w:tr>
        <w:trPr>
          <w:trHeight w:val="171"/>
        </w:trPr>
        <w:tc>
          <w:tcPr>
            <w:tcW w:w="3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 xml:space="preserve">2018 </w:t>
            </w:r>
            <w:r>
              <w:rPr>
                <w:rFonts w:ascii="Arial" w:cs="Arial" w:eastAsia="Arial" w:hAnsi="Arial"/>
                <w:sz w:val="14"/>
                <w:szCs w:val="14"/>
                <w:b w:val="1"/>
                <w:bCs w:val="1"/>
                <w:color w:val="auto"/>
                <w:w w:val="86"/>
                <w:vertAlign w:val="superscript"/>
              </w:rPr>
              <w:t>(2)</w:t>
            </w:r>
          </w:p>
        </w:tc>
        <w:tc>
          <w:tcPr>
            <w:tcW w:w="2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4"/>
                <w:szCs w:val="14"/>
                <w:b w:val="1"/>
                <w:bCs w:val="1"/>
                <w:color w:val="auto"/>
                <w:vertAlign w:val="superscript"/>
              </w:rPr>
              <w:t>(3)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538,006</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1,024,993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714,897</w:t>
            </w:r>
          </w:p>
        </w:tc>
        <w:tc>
          <w:tcPr>
            <w:tcW w:w="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201,716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202,990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391,096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258,937</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line="278"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5"/>
          <w:szCs w:val="15"/>
          <w:color w:val="auto"/>
        </w:rPr>
        <w:t>During the fourth quarter of fiscal 2019, the Company recorded a $2.</w:t>
      </w:r>
      <w:r>
        <w:rPr>
          <w:rFonts w:ascii="Arial" w:cs="Arial" w:eastAsia="Arial" w:hAnsi="Arial"/>
          <w:sz w:val="17"/>
          <w:szCs w:val="17"/>
          <w:color w:val="auto"/>
        </w:rPr>
        <w:t>8</w:t>
      </w:r>
      <w:r>
        <w:rPr>
          <w:rFonts w:ascii="Arial" w:cs="Arial" w:eastAsia="Arial" w:hAnsi="Arial"/>
          <w:sz w:val="15"/>
          <w:szCs w:val="15"/>
          <w:color w:val="auto"/>
        </w:rPr>
        <w:t xml:space="preserve"> million impairment charge related to leasehold improvements and furniture and fixtures at certain of Wilsons, G.H. Bass and DKNY stores as a result of the performance at these stores.</w:t>
      </w:r>
    </w:p>
    <w:p>
      <w:pPr>
        <w:jc w:val="both"/>
        <w:ind w:left="320" w:hanging="317"/>
        <w:spacing w:after="0" w:line="301"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fourth quarter of fiscal 2018, the Company recorded (i) a $6.5 million impairment charge related to leasehold improvements and furniture and fixtures at certain of Wilsons, G.H. Bass and Vilebrequin stores as a result of the performance at these stores, (ii) a $0.7 million impairment charge with respect to furniture and fixtures located in certain customers’ stores and (iii) a $0.7 million write-off of goodwill related to the retail operations segment as a result of the performance of the retail operations segment.</w:t>
      </w:r>
    </w:p>
    <w:p>
      <w:pPr>
        <w:spacing w:after="0" w:line="2" w:lineRule="exact"/>
        <w:rPr>
          <w:rFonts w:ascii="Arial" w:cs="Arial" w:eastAsia="Arial" w:hAnsi="Arial"/>
          <w:sz w:val="14"/>
          <w:szCs w:val="14"/>
          <w:color w:val="auto"/>
        </w:rPr>
      </w:pPr>
    </w:p>
    <w:p>
      <w:pPr>
        <w:ind w:left="320" w:hanging="317"/>
        <w:spacing w:after="0" w:line="288"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reclassifications have been made as a result of the Company’s reclassifying the impact of certain components of foreign currency gain (loss) from cost of goods sold and interest expense to other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31, 2019, 2018 and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Charges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Transition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Cost and</w:t>
            </w:r>
          </w:p>
        </w:tc>
        <w:tc>
          <w:tcPr>
            <w:tcW w:w="2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 xml:space="preserve">Deductions </w:t>
            </w:r>
            <w:r>
              <w:rPr>
                <w:rFonts w:ascii="Arial" w:cs="Arial" w:eastAsia="Arial" w:hAnsi="Arial"/>
                <w:sz w:val="14"/>
                <w:szCs w:val="14"/>
                <w:b w:val="1"/>
                <w:bCs w:val="1"/>
                <w:color w:val="auto"/>
                <w:w w:val="89"/>
                <w:vertAlign w:val="superscript"/>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Expenses</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January 31, 2019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Reserve for returns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62,278</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Reserve for sales allowances </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102,144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375,118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362,567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181,312</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165,416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432,755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420,274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244,514</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January 31, 2018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Reserve for returns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61,179</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Reserve for sales allowances </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303,734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296,084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102,144</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155,488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337,298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327,370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165,416</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January 31, 2017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Reserve for returns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 xml:space="preserve">Reserve for sales allowances </w:t>
            </w:r>
            <w:r>
              <w:rPr>
                <w:rFonts w:ascii="Arial" w:cs="Arial" w:eastAsia="Arial" w:hAnsi="Arial"/>
                <w:sz w:val="8"/>
                <w:szCs w:val="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266,263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244,684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135,698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307,728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287,938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155,488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9060"/>
          </w:cols>
          <w:pgMar w:left="1420" w:top="121" w:right="1419" w:bottom="1440" w:gutter="0" w:footer="0" w:header="0"/>
        </w:sectPr>
      </w:pPr>
    </w:p>
    <w:p>
      <w:pPr>
        <w:ind w:left="120"/>
        <w:spacing w:after="0"/>
        <w:rPr>
          <w:sz w:val="20"/>
          <w:szCs w:val="20"/>
          <w:color w:val="auto"/>
        </w:rPr>
      </w:pPr>
      <w:r>
        <w:rPr>
          <w:rFonts w:ascii="Arial" w:cs="Arial" w:eastAsia="Arial" w:hAnsi="Arial"/>
          <w:sz w:val="8"/>
          <w:szCs w:val="8"/>
          <w:color w:val="auto"/>
        </w:rPr>
        <w:t>(1)</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Accounts written off as uncollectible, net of recoveries.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See Note A in the accompanying Notes to Consolidated Financial Statements for a description of sales allowances.</w:t>
      </w:r>
    </w:p>
    <w:p>
      <w:pPr>
        <w:spacing w:after="0" w:line="200" w:lineRule="exact"/>
        <w:rPr>
          <w:sz w:val="20"/>
          <w:szCs w:val="20"/>
          <w:color w:val="auto"/>
        </w:rPr>
      </w:pPr>
    </w:p>
    <w:p>
      <w:pPr>
        <w:sectPr>
          <w:pgSz w:w="11900" w:h="16838" w:orient="portrait"/>
          <w:cols w:equalWidth="0" w:num="2">
            <w:col w:w="220" w:space="440"/>
            <w:col w:w="8400"/>
          </w:cols>
          <w:pgMar w:left="1420" w:top="12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10.10(b)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FIRST AMENDMENT TO LEASE </w:t>
      </w:r>
      <w:r>
        <w:rPr>
          <w:rFonts w:ascii="Arial" w:cs="Arial" w:eastAsia="Arial" w:hAnsi="Arial"/>
          <w:sz w:val="18"/>
          <w:szCs w:val="18"/>
          <w:color w:val="auto"/>
        </w:rPr>
        <w:t>("Amendment") is dated as of the 31</w:t>
      </w:r>
      <w:r>
        <w:rPr>
          <w:rFonts w:ascii="Arial" w:cs="Arial" w:eastAsia="Arial" w:hAnsi="Arial"/>
          <w:sz w:val="8"/>
          <w:szCs w:val="8"/>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2012 by and between</w:t>
      </w:r>
      <w:r>
        <w:rPr>
          <w:rFonts w:ascii="Arial" w:cs="Arial" w:eastAsia="Arial" w:hAnsi="Arial"/>
          <w:sz w:val="18"/>
          <w:szCs w:val="18"/>
          <w:b w:val="1"/>
          <w:bCs w:val="1"/>
          <w:color w:val="auto"/>
        </w:rPr>
        <w:t xml:space="preserve"> CENTERPOINT HERROD, LLC, </w:t>
      </w:r>
      <w:r>
        <w:rPr>
          <w:rFonts w:ascii="Arial" w:cs="Arial" w:eastAsia="Arial" w:hAnsi="Arial"/>
          <w:sz w:val="18"/>
          <w:szCs w:val="18"/>
          <w:color w:val="auto"/>
        </w:rPr>
        <w:t>a Delaware limited liability company ("Landlord") and</w:t>
      </w:r>
      <w:r>
        <w:rPr>
          <w:rFonts w:ascii="Arial" w:cs="Arial" w:eastAsia="Arial" w:hAnsi="Arial"/>
          <w:sz w:val="18"/>
          <w:szCs w:val="18"/>
          <w:b w:val="1"/>
          <w:bCs w:val="1"/>
          <w:color w:val="auto"/>
        </w:rPr>
        <w:t xml:space="preserve"> G-III APPAREL GROUP LTD., </w:t>
      </w:r>
      <w:r>
        <w:rPr>
          <w:rFonts w:ascii="Arial" w:cs="Arial" w:eastAsia="Arial" w:hAnsi="Arial"/>
          <w:sz w:val="18"/>
          <w:szCs w:val="18"/>
          <w:color w:val="auto"/>
        </w:rPr>
        <w:t>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("Tenant").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4" w:lineRule="auto"/>
        <w:tabs>
          <w:tab w:leader="none" w:pos="13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Realty Associates Fund VI, L.P. ("Original Landlord") and Tenant entered into that certain Standard Industrial Lease dated June 29, 2006 (the "Lease") with respect to certain premises located at 308 Herrod Boulevard, South Brunswick New Jersey, as more particularly described in the Lease.</w:t>
      </w:r>
    </w:p>
    <w:p>
      <w:pPr>
        <w:spacing w:after="0" w:line="181" w:lineRule="exact"/>
        <w:rPr>
          <w:rFonts w:ascii="Arial" w:cs="Arial" w:eastAsia="Arial" w:hAnsi="Arial"/>
          <w:sz w:val="18"/>
          <w:szCs w:val="18"/>
          <w:color w:val="auto"/>
        </w:rPr>
      </w:pPr>
    </w:p>
    <w:p>
      <w:pPr>
        <w:ind w:left="1300" w:hanging="65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Landlord is the successor-in-interest to Original Landlord's right, title and interest in the Lease.</w:t>
      </w:r>
    </w:p>
    <w:p>
      <w:pPr>
        <w:spacing w:after="0" w:line="225" w:lineRule="exact"/>
        <w:rPr>
          <w:rFonts w:ascii="Arial" w:cs="Arial" w:eastAsia="Arial" w:hAnsi="Arial"/>
          <w:sz w:val="18"/>
          <w:szCs w:val="18"/>
          <w:color w:val="auto"/>
        </w:rPr>
      </w:pPr>
    </w:p>
    <w:p>
      <w:pPr>
        <w:jc w:val="both"/>
        <w:ind w:firstLine="648"/>
        <w:spacing w:after="0" w:line="264" w:lineRule="auto"/>
        <w:tabs>
          <w:tab w:leader="none" w:pos="13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 of the Lease expires on January 31, 2014 and notwithstanding Tenant's election not to exercise its Option to renew the Lease, Tenant has requested, and Landlord has agreed to, an extension of the Term of the Lease for eleven (11) years and therefore, the Term of the Lease shall be extended on the terms and conditions contained herein.</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162" w:lineRule="exact"/>
        <w:rPr>
          <w:sz w:val="20"/>
          <w:szCs w:val="20"/>
          <w:color w:val="auto"/>
        </w:rPr>
      </w:pPr>
    </w:p>
    <w:p>
      <w:pPr>
        <w:ind w:left="1320" w:hanging="672"/>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are incorporated into this Amendment as if fully set forth in this Section 1.</w:t>
      </w:r>
    </w:p>
    <w:p>
      <w:pPr>
        <w:spacing w:after="0" w:line="225" w:lineRule="exact"/>
        <w:rPr>
          <w:rFonts w:ascii="Arial" w:cs="Arial" w:eastAsia="Arial" w:hAnsi="Arial"/>
          <w:sz w:val="18"/>
          <w:szCs w:val="18"/>
          <w:color w:val="auto"/>
        </w:rPr>
      </w:pPr>
    </w:p>
    <w:p>
      <w:pPr>
        <w:ind w:left="1320" w:hanging="672"/>
        <w:spacing w:after="0"/>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All terms used herein, unless otherwise specified, shall have the meaning ascribed to them in the Lease.</w:t>
      </w:r>
    </w:p>
    <w:p>
      <w:pPr>
        <w:spacing w:after="0" w:line="248" w:lineRule="exact"/>
        <w:rPr>
          <w:rFonts w:ascii="Arial" w:cs="Arial" w:eastAsia="Arial" w:hAnsi="Arial"/>
          <w:sz w:val="16"/>
          <w:szCs w:val="16"/>
          <w:color w:val="auto"/>
        </w:rPr>
      </w:pPr>
    </w:p>
    <w:p>
      <w:pPr>
        <w:jc w:val="both"/>
        <w:ind w:firstLine="648"/>
        <w:spacing w:after="0" w:line="258" w:lineRule="auto"/>
        <w:tabs>
          <w:tab w:leader="none" w:pos="135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Extension of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for all of the Premises is hereby extended for an additional eleven (11)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("Extension Term") commencing on February 1, 2014 and continuing through and including January 31, 2025 ("Termination Date"). Except as modified herein, all terms and conditions of the Lease shall remain in full force and effect through the Extension Term. Commencing upon February 1, 2014, the Monthly Base Rent schedule for all of the Premises payable monthly through the new Termination Date shall be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4"/>
                <w:szCs w:val="14"/>
                <w:color w:val="auto"/>
              </w:rPr>
            </w:pPr>
          </w:p>
        </w:tc>
        <w:tc>
          <w:tcPr>
            <w:tcW w:w="3980" w:type="dxa"/>
            <w:vAlign w:val="bottom"/>
          </w:tcPr>
          <w:p>
            <w:pPr>
              <w:ind w:left="1400"/>
              <w:spacing w:after="0"/>
              <w:rPr>
                <w:sz w:val="20"/>
                <w:szCs w:val="20"/>
                <w:color w:val="auto"/>
              </w:rPr>
            </w:pPr>
            <w:r>
              <w:rPr>
                <w:rFonts w:ascii="Arial" w:cs="Arial" w:eastAsia="Arial" w:hAnsi="Arial"/>
                <w:sz w:val="14"/>
                <w:szCs w:val="14"/>
                <w:b w:val="1"/>
                <w:bCs w:val="1"/>
                <w:color w:val="auto"/>
              </w:rPr>
              <w:t>Monthly Base 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February 1, 2014 – January 31, 2015</w:t>
            </w: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February 1, 2015 – January 31, 2018</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$100,298.28 ($1,203,579.38/annum)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February 1, 2018 – January 31, 2022</w:t>
            </w: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$107,680.64 ($1,292,167.71/annum)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February 1, 2022 – January 31, 2025</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$113,535.62 ($1,362,427.42/annum)</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648"/>
        <w:spacing w:after="0" w:line="347" w:lineRule="auto"/>
        <w:tabs>
          <w:tab w:leader="none" w:pos="1431" w:val="left"/>
        </w:tabs>
        <w:numPr>
          <w:ilvl w:val="0"/>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to accept the Premises in its "as is" condition during the Extension Term and Landlord has</w:t>
      </w:r>
      <w:r>
        <w:rPr>
          <w:rFonts w:ascii="Arial" w:cs="Arial" w:eastAsia="Arial" w:hAnsi="Arial"/>
          <w:sz w:val="16"/>
          <w:szCs w:val="16"/>
          <w:b w:val="1"/>
          <w:bCs w:val="1"/>
          <w:color w:val="auto"/>
        </w:rPr>
        <w:t xml:space="preserve"> </w:t>
      </w:r>
      <w:r>
        <w:rPr>
          <w:rFonts w:ascii="Arial" w:cs="Arial" w:eastAsia="Arial" w:hAnsi="Arial"/>
          <w:sz w:val="16"/>
          <w:szCs w:val="16"/>
          <w:color w:val="auto"/>
        </w:rPr>
        <w:t>made no representations or warranties regarding the condition of the Premises, except for Tenant's Allowance (as herein defined).</w:t>
      </w:r>
    </w:p>
    <w:p>
      <w:pPr>
        <w:spacing w:after="0" w:line="116" w:lineRule="exact"/>
        <w:rPr>
          <w:rFonts w:ascii="Arial" w:cs="Arial" w:eastAsia="Arial" w:hAnsi="Arial"/>
          <w:sz w:val="16"/>
          <w:szCs w:val="16"/>
          <w:color w:val="auto"/>
        </w:rPr>
      </w:pPr>
    </w:p>
    <w:p>
      <w:pPr>
        <w:jc w:val="both"/>
        <w:ind w:firstLine="648"/>
        <w:spacing w:after="0" w:line="261" w:lineRule="auto"/>
        <w:tabs>
          <w:tab w:leader="none" w:pos="1391"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Improvement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agrees that Landlord shall pay to Tenant a tenant improvement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lesser of (i) the actual cost of Tenant Improvements (as hereinafter defined), or (ii) One Million and No/100 Dollars ($1,000,000.00) ("Tenant's Allowance") on the terms and conditions contained herein. Tenant's Allowance shall be paid to Tenant to reimburse Tenant for all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5" w:name="page106"/>
    <w:bookmarkEnd w:id="105"/>
    <w:p>
      <w:pPr>
        <w:jc w:val="both"/>
        <w:spacing w:after="0" w:line="268" w:lineRule="auto"/>
        <w:rPr>
          <w:sz w:val="20"/>
          <w:szCs w:val="20"/>
          <w:color w:val="auto"/>
        </w:rPr>
      </w:pPr>
      <w:r>
        <w:rPr>
          <w:rFonts w:ascii="Arial" w:cs="Arial" w:eastAsia="Arial" w:hAnsi="Arial"/>
          <w:sz w:val="17"/>
          <w:szCs w:val="17"/>
          <w:color w:val="auto"/>
        </w:rPr>
        <w:t>actual hard and soft costs arising out of or relating to the work platform and material handling system and equipment to be installed by Tenant in the Premises and related labor (including, but not limited to, (i) installation of sprinklers and any additional fire prevention materials or devices, (ii) installation of lighting, (iii) installation of a wireless network and related components, (iv) all fees, costs and expenses of all software to be used in conjunction with the Tenant Improvements, (v) all wireless devices to be used in conjunction with the Tenant Improvements, (vi) all fees, costs and expenses associated with designing the Tenant Improvements, (vii) all fees, costs and expenses associated with (a) application for any local, state or federal governmental permits, licenses, approvals or authorizations necessary to complete the Tenant Improvements and (b) approval, testing and/or installation relating to the Tenant Improvements) (collectively, "Tenant Improvements") and, provided Tenant complies with Section 13 of the Lease, approval for such Tenant Improvements shall not be unreasonably withheld, conditioned, or delayed. Landlord agrees that Tenant shall not be required to remove the Tenant Improvements at the expiration, or sooner termination, of the Term of the Lease. Landlord shall reimburse Tenant for Tenant Improvements, from time to time after the date hereof, within thirty (30) days after submission by Tenant to Landlord of paid invoices for Tenant Improvements and lien waivers from Tenant's general contractor. Tenant may request partial reimbursements for Tenant Improvements prior to completion of all Tenant Improvements. The aggregate amount of such reimbursements shall not exceed the total amount of Tenant's Allowance.</w:t>
      </w:r>
    </w:p>
    <w:p>
      <w:pPr>
        <w:spacing w:after="0" w:line="181" w:lineRule="exact"/>
        <w:rPr>
          <w:sz w:val="20"/>
          <w:szCs w:val="20"/>
          <w:color w:val="auto"/>
        </w:rPr>
      </w:pPr>
    </w:p>
    <w:p>
      <w:pPr>
        <w:jc w:val="both"/>
        <w:ind w:firstLine="648"/>
        <w:spacing w:after="0" w:line="269" w:lineRule="auto"/>
        <w:tabs>
          <w:tab w:leader="none" w:pos="1377" w:val="left"/>
        </w:tabs>
        <w:numPr>
          <w:ilvl w:val="0"/>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the parties hereto agree to amend the Lease as follows: (i) Section 9 of the Addendum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Tenant's Option to renew the Lease, shall be deemed deleted in its entirety; (ii) the second sentence of Section 27 (c) shall be deleted in its entirety and replaced with the following: "Tenant hereby represents that its North American Industry Classification System (herein "NAICS") Numbers are 424320, 424330, 424990 and 423990 as determined by reference to the NAICS Manual and its operations shall consist of the Use described in Section 1.5."; (iii) the fourth sentence of Section 27 (c) shall be deleted in its entirety and replace with the following: "If requested to do so by Landlord, but no more often than once per year, Tenant shall provide Landlord with a letter stating, to Tenant's actual knowledge, whether Tenant is designated as an industrial establishment under ISRA requiring an environmental audit approved by the New Jersey Department of Environmental Protection at the expiration or earlier termination of the Term; and (iv) the following shall be added to the end of Section 1.5: "Notwithstanding anything to the contrary herein, in addition to the Permitted Use, Tenant shall have the right to use the Premises for any lawful wholesale, retail or warehouse purpose without Landlord's consent so long as such use is in compliance with all applicable laws and does not cause Tenant to be designated as an industrial establishment under ISRA requiring an environmental audit approved by the New Jersey Department of Environmental Protection at the expiration or earlier termination of the Term."</w:t>
      </w:r>
    </w:p>
    <w:p>
      <w:pPr>
        <w:spacing w:after="0" w:line="176" w:lineRule="exact"/>
        <w:rPr>
          <w:rFonts w:ascii="Arial" w:cs="Arial" w:eastAsia="Arial" w:hAnsi="Arial"/>
          <w:sz w:val="17"/>
          <w:szCs w:val="17"/>
          <w:color w:val="auto"/>
        </w:rPr>
      </w:pPr>
    </w:p>
    <w:p>
      <w:pPr>
        <w:ind w:left="1420" w:hanging="772"/>
        <w:spacing w:after="0"/>
        <w:tabs>
          <w:tab w:leader="none" w:pos="1420"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No Other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 is only modified as set forth herein and in all other respects remains in full force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effect.</w:t>
      </w:r>
    </w:p>
    <w:p>
      <w:pPr>
        <w:spacing w:after="0" w:line="206" w:lineRule="exact"/>
        <w:rPr>
          <w:rFonts w:ascii="Arial" w:cs="Arial" w:eastAsia="Arial" w:hAnsi="Arial"/>
          <w:sz w:val="16"/>
          <w:szCs w:val="16"/>
          <w:color w:val="auto"/>
        </w:rPr>
      </w:pPr>
    </w:p>
    <w:p>
      <w:pPr>
        <w:jc w:val="both"/>
        <w:ind w:firstLine="648"/>
        <w:spacing w:after="0" w:line="281" w:lineRule="auto"/>
        <w:tabs>
          <w:tab w:leader="none" w:pos="1404" w:val="left"/>
        </w:tabs>
        <w:numPr>
          <w:ilvl w:val="0"/>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No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that the Lease is in full force and effect and to Tenant's actual knowledge, there are</w:t>
      </w:r>
      <w:r>
        <w:rPr>
          <w:rFonts w:ascii="Arial" w:cs="Arial" w:eastAsia="Arial" w:hAnsi="Arial"/>
          <w:sz w:val="17"/>
          <w:szCs w:val="17"/>
          <w:b w:val="1"/>
          <w:bCs w:val="1"/>
          <w:color w:val="auto"/>
        </w:rPr>
        <w:t xml:space="preserve"> </w:t>
      </w:r>
      <w:r>
        <w:rPr>
          <w:rFonts w:ascii="Arial" w:cs="Arial" w:eastAsia="Arial" w:hAnsi="Arial"/>
          <w:sz w:val="17"/>
          <w:szCs w:val="17"/>
          <w:color w:val="auto"/>
        </w:rPr>
        <w:t>no defaults thereunder or any conditions which with only the passage of time or giving of notice or both would become a default thereunder. Landlord acknowledges that to Landlord's knowledge, Tenant is not in default under any terms or conditions of the Lease and there are no conditions which with only the passage of time or giving of notice or both would become a default thereunder.</w:t>
      </w:r>
    </w:p>
    <w:p>
      <w:pPr>
        <w:spacing w:after="0" w:line="164" w:lineRule="exact"/>
        <w:rPr>
          <w:rFonts w:ascii="Arial" w:cs="Arial" w:eastAsia="Arial" w:hAnsi="Arial"/>
          <w:sz w:val="17"/>
          <w:szCs w:val="17"/>
          <w:color w:val="auto"/>
        </w:rPr>
      </w:pPr>
    </w:p>
    <w:p>
      <w:pPr>
        <w:ind w:firstLine="648"/>
        <w:spacing w:after="0" w:line="282" w:lineRule="auto"/>
        <w:tabs>
          <w:tab w:leader="none" w:pos="135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and shall inure to the benefit of the parties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and assigns.</w:t>
      </w:r>
    </w:p>
    <w:p>
      <w:pPr>
        <w:spacing w:after="0" w:line="161" w:lineRule="exact"/>
        <w:rPr>
          <w:rFonts w:ascii="Arial" w:cs="Arial" w:eastAsia="Arial" w:hAnsi="Arial"/>
          <w:sz w:val="18"/>
          <w:szCs w:val="18"/>
          <w:color w:val="auto"/>
        </w:rPr>
      </w:pPr>
    </w:p>
    <w:p>
      <w:pPr>
        <w:ind w:left="1380" w:hanging="732"/>
        <w:spacing w:after="0"/>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not be modified or amended except by written agreement executed by the parties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6" w:name="page107"/>
    <w:bookmarkEnd w:id="106"/>
    <w:p>
      <w:pPr>
        <w:ind w:firstLine="648"/>
        <w:spacing w:after="0" w:line="282" w:lineRule="auto"/>
        <w:tabs>
          <w:tab w:leader="none" w:pos="1357"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meaning and effect of this Amendment shall be determined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New Jersey.</w:t>
      </w:r>
    </w:p>
    <w:p>
      <w:pPr>
        <w:spacing w:after="0" w:line="161" w:lineRule="exact"/>
        <w:rPr>
          <w:rFonts w:ascii="Arial" w:cs="Arial" w:eastAsia="Arial" w:hAnsi="Arial"/>
          <w:sz w:val="18"/>
          <w:szCs w:val="18"/>
          <w:color w:val="auto"/>
        </w:rPr>
      </w:pPr>
    </w:p>
    <w:p>
      <w:pPr>
        <w:ind w:firstLine="648"/>
        <w:spacing w:after="0" w:line="282" w:lineRule="auto"/>
        <w:tabs>
          <w:tab w:leader="none" w:pos="1377"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two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constitute one and the same instrument.</w:t>
      </w:r>
    </w:p>
    <w:p>
      <w:pPr>
        <w:spacing w:after="0" w:line="161" w:lineRule="exact"/>
        <w:rPr>
          <w:rFonts w:ascii="Arial" w:cs="Arial" w:eastAsia="Arial" w:hAnsi="Arial"/>
          <w:sz w:val="18"/>
          <w:szCs w:val="18"/>
          <w:color w:val="auto"/>
        </w:rPr>
      </w:pPr>
    </w:p>
    <w:p>
      <w:pPr>
        <w:jc w:val="both"/>
        <w:ind w:firstLine="648"/>
        <w:spacing w:after="0" w:line="256" w:lineRule="auto"/>
        <w:tabs>
          <w:tab w:leader="none" w:pos="135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intend and believe that each provision in this Amendment comports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local, state and federal laws and judicial decisions. However, if any provision in this Amendment is found by a court of law to be in violation of any applicable ordinance, statute, law, administrative or judicial decision, or public policy, and if such court should declare such provision to be illegal, void or unenforceable as written, then such provision shall be given force to the fullest possible extent that the same is legal, valid and enforceable and the remainder of this Amendment shall be construed as if such provision was not contained therein.</w:t>
      </w:r>
    </w:p>
    <w:p>
      <w:pPr>
        <w:spacing w:after="0" w:line="187" w:lineRule="exact"/>
        <w:rPr>
          <w:rFonts w:ascii="Arial" w:cs="Arial" w:eastAsia="Arial" w:hAnsi="Arial"/>
          <w:sz w:val="18"/>
          <w:szCs w:val="18"/>
          <w:color w:val="auto"/>
        </w:rPr>
      </w:pPr>
    </w:p>
    <w:p>
      <w:pPr>
        <w:jc w:val="both"/>
        <w:ind w:firstLine="648"/>
        <w:spacing w:after="0" w:line="261" w:lineRule="auto"/>
        <w:tabs>
          <w:tab w:leader="none" w:pos="1418"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this Amendment are for convenience only and shall not define or limit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Where the context so requires, words used in singular shall include the plural and vice versa, and words of one gender shall include all other genders. In the event of a conflict between the terms and conditions of the Lease and the terms and conditions of this Amendment, the terms and conditions of this Amendment shall prevail.</w:t>
      </w:r>
    </w:p>
    <w:p>
      <w:pPr>
        <w:spacing w:after="0" w:line="180" w:lineRule="exact"/>
        <w:rPr>
          <w:rFonts w:ascii="Arial" w:cs="Arial" w:eastAsia="Arial" w:hAnsi="Arial"/>
          <w:sz w:val="18"/>
          <w:szCs w:val="18"/>
          <w:color w:val="auto"/>
        </w:rPr>
      </w:pPr>
    </w:p>
    <w:p>
      <w:pPr>
        <w:ind w:firstLine="648"/>
        <w:spacing w:after="0" w:line="282" w:lineRule="auto"/>
        <w:tabs>
          <w:tab w:leader="none" w:pos="135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inure to the sole benefit of the parties hereto. Nothing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create, or be construed to create, any right in any person not a party to this Amendment.</w:t>
      </w:r>
    </w:p>
    <w:p>
      <w:pPr>
        <w:spacing w:after="0" w:line="161" w:lineRule="exact"/>
        <w:rPr>
          <w:rFonts w:ascii="Arial" w:cs="Arial" w:eastAsia="Arial" w:hAnsi="Arial"/>
          <w:sz w:val="18"/>
          <w:szCs w:val="18"/>
          <w:color w:val="auto"/>
        </w:rPr>
      </w:pPr>
    </w:p>
    <w:p>
      <w:pPr>
        <w:jc w:val="both"/>
        <w:ind w:firstLine="648"/>
        <w:spacing w:after="0" w:line="266" w:lineRule="auto"/>
        <w:tabs>
          <w:tab w:leader="none" w:pos="1593"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Legal Review</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acknowledge that they have been advised by legal counsel of their choice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interpretation, negotiation, drafting and effect of this Amendment and they are satisfied with such legal counsel and the advice which they have received.</w:t>
      </w:r>
    </w:p>
    <w:p>
      <w:pPr>
        <w:spacing w:after="0" w:line="176" w:lineRule="exact"/>
        <w:rPr>
          <w:rFonts w:ascii="Arial" w:cs="Arial" w:eastAsia="Arial" w:hAnsi="Arial"/>
          <w:sz w:val="18"/>
          <w:szCs w:val="18"/>
          <w:color w:val="auto"/>
        </w:rPr>
      </w:pPr>
    </w:p>
    <w:p>
      <w:pPr>
        <w:ind w:firstLine="648"/>
        <w:spacing w:after="0" w:line="313" w:lineRule="auto"/>
        <w:tabs>
          <w:tab w:leader="none" w:pos="1436"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Facsimile Signatures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that the use of facsimile or pdf signatures for the negotiation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Amendment shall be legal and binding and shall have the same full force and effect as if originally signed.</w:t>
      </w:r>
    </w:p>
    <w:p>
      <w:pPr>
        <w:spacing w:after="0" w:line="138" w:lineRule="exact"/>
        <w:rPr>
          <w:rFonts w:ascii="Arial" w:cs="Arial" w:eastAsia="Arial" w:hAnsi="Arial"/>
          <w:sz w:val="17"/>
          <w:szCs w:val="17"/>
          <w:color w:val="auto"/>
        </w:rPr>
      </w:pPr>
    </w:p>
    <w:p>
      <w:pPr>
        <w:jc w:val="both"/>
        <w:ind w:firstLine="648"/>
        <w:spacing w:after="0" w:line="266" w:lineRule="auto"/>
        <w:tabs>
          <w:tab w:leader="none" w:pos="1391"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being represented by Team Resources SBWE and Landlord is being represented by Cushman &amp;</w:t>
      </w:r>
      <w:r>
        <w:rPr>
          <w:rFonts w:ascii="Arial" w:cs="Arial" w:eastAsia="Arial" w:hAnsi="Arial"/>
          <w:sz w:val="18"/>
          <w:szCs w:val="18"/>
          <w:b w:val="1"/>
          <w:bCs w:val="1"/>
          <w:color w:val="auto"/>
        </w:rPr>
        <w:t xml:space="preserve"> </w:t>
      </w:r>
      <w:r>
        <w:rPr>
          <w:rFonts w:ascii="Arial" w:cs="Arial" w:eastAsia="Arial" w:hAnsi="Arial"/>
          <w:sz w:val="18"/>
          <w:szCs w:val="18"/>
          <w:color w:val="auto"/>
        </w:rPr>
        <w:t>Wakefield in connection with this Amendment and Landlord agrees to pay any and all agreed upon commissions to such brokers in connection with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7" w:name="page108"/>
    <w:bookmarkEnd w:id="107"/>
    <w:p>
      <w:pPr>
        <w:ind w:left="6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date set forth above.</w:t>
      </w:r>
    </w:p>
    <w:p>
      <w:pPr>
        <w:spacing w:after="0" w:line="239"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G-III APPAREL GROUP LTD., a Delaware corporation</w:t>
            </w: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w w:val="98"/>
              </w:rPr>
              <w:t>CENTERPOINT  HERROD,  LLC,  a  Delaware  limited  liability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company</w:t>
            </w: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w w:val="92"/>
              </w:rPr>
              <w:t>By: CENTERPOINT PROPERTIES TRUST, a Maryland real estate</w:t>
            </w: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By: /s/ Wayne Miller</w:t>
            </w: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rPr>
              <w:t>investment trust, its sole member</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w:t>
            </w:r>
          </w:p>
        </w:tc>
        <w:tc>
          <w:tcPr>
            <w:tcW w:w="4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Wayne Miller</w:t>
            </w:r>
          </w:p>
        </w:tc>
        <w:tc>
          <w:tcPr>
            <w:tcW w:w="5120" w:type="dxa"/>
            <w:vAlign w:val="bottom"/>
            <w:gridSpan w:val="3"/>
            <w:vMerge w:val="restart"/>
          </w:tcPr>
          <w:p>
            <w:pPr>
              <w:ind w:left="160"/>
              <w:spacing w:after="0"/>
              <w:rPr>
                <w:sz w:val="20"/>
                <w:szCs w:val="20"/>
                <w:color w:val="auto"/>
              </w:rPr>
            </w:pPr>
            <w:r>
              <w:rPr>
                <w:rFonts w:ascii="Arial" w:cs="Arial" w:eastAsia="Arial" w:hAnsi="Arial"/>
                <w:sz w:val="18"/>
                <w:szCs w:val="18"/>
                <w:color w:val="auto"/>
              </w:rPr>
              <w:t>By: /s/ Sean P. Maher</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w:t>
            </w:r>
          </w:p>
        </w:tc>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Sean P. Maher</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628"/>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rPr>
              <w:t>By: /s/ Michael Tortorici</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w:t>
            </w:r>
          </w:p>
        </w:tc>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Michael Tortorici</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Treasurer</w:t>
            </w:r>
          </w:p>
        </w:tc>
        <w:tc>
          <w:tcPr>
            <w:tcW w:w="0" w:type="dxa"/>
            <w:vAlign w:val="bottom"/>
          </w:tcPr>
          <w:p>
            <w:pPr>
              <w:spacing w:after="0"/>
              <w:rPr>
                <w:sz w:val="1"/>
                <w:szCs w:val="1"/>
                <w:color w:val="auto"/>
              </w:rPr>
            </w:pPr>
          </w:p>
        </w:tc>
      </w:tr>
      <w:tr>
        <w:trPr>
          <w:trHeight w:val="858"/>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1" w:right="91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vMerge w:val="restart"/>
          </w:tcPr>
          <w:p>
            <w:pPr>
              <w:ind w:left="3740"/>
              <w:spacing w:after="0"/>
              <w:rPr>
                <w:sz w:val="20"/>
                <w:szCs w:val="20"/>
                <w:color w:val="auto"/>
              </w:rPr>
            </w:pPr>
            <w:r>
              <w:rPr>
                <w:rFonts w:ascii="Arial" w:cs="Arial" w:eastAsia="Arial" w:hAnsi="Arial"/>
                <w:sz w:val="18"/>
                <w:szCs w:val="18"/>
                <w:b w:val="1"/>
                <w:bCs w:val="1"/>
                <w:color w:val="auto"/>
              </w:rPr>
              <w:t>Subsidiaries of G-III</w:t>
            </w:r>
          </w:p>
        </w:tc>
        <w:tc>
          <w:tcPr>
            <w:tcW w:w="2940" w:type="dxa"/>
            <w:vAlign w:val="bottom"/>
          </w:tcPr>
          <w:p>
            <w:pPr>
              <w:ind w:left="2160"/>
              <w:spacing w:after="0"/>
              <w:rPr>
                <w:sz w:val="20"/>
                <w:szCs w:val="20"/>
                <w:color w:val="auto"/>
              </w:rPr>
            </w:pPr>
            <w:r>
              <w:rPr>
                <w:rFonts w:ascii="Arial" w:cs="Arial" w:eastAsia="Arial" w:hAnsi="Arial"/>
                <w:sz w:val="18"/>
                <w:szCs w:val="18"/>
                <w:b w:val="1"/>
                <w:bCs w:val="1"/>
                <w:color w:val="auto"/>
                <w:w w:val="89"/>
              </w:rPr>
              <w:t>Exhibit 21</w:t>
            </w:r>
          </w:p>
        </w:tc>
        <w:tc>
          <w:tcPr>
            <w:tcW w:w="0" w:type="dxa"/>
            <w:vAlign w:val="bottom"/>
          </w:tcPr>
          <w:p>
            <w:pPr>
              <w:spacing w:after="0"/>
              <w:rPr>
                <w:sz w:val="1"/>
                <w:szCs w:val="1"/>
                <w:color w:val="auto"/>
              </w:rPr>
            </w:pPr>
          </w:p>
        </w:tc>
      </w:tr>
      <w:tr>
        <w:trPr>
          <w:trHeight w:val="216"/>
        </w:trPr>
        <w:tc>
          <w:tcPr>
            <w:tcW w:w="612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NAME OF SUBSIDIARY</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JURISDICTION OF ORGANIZATION</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G-III Leather Fashions, Inc.</w:t>
            </w:r>
          </w:p>
        </w:tc>
        <w:tc>
          <w:tcPr>
            <w:tcW w:w="1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AM Retail Group, Inc.</w:t>
            </w:r>
          </w:p>
        </w:tc>
        <w:tc>
          <w:tcPr>
            <w:tcW w:w="29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CK Outerwear LLC</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G-III Apparel Canada ULC</w:t>
            </w:r>
          </w:p>
        </w:tc>
        <w:tc>
          <w:tcPr>
            <w:tcW w:w="2940" w:type="dxa"/>
            <w:vAlign w:val="bottom"/>
          </w:tcPr>
          <w:p>
            <w:pPr>
              <w:jc w:val="center"/>
              <w:spacing w:after="0"/>
              <w:rPr>
                <w:sz w:val="20"/>
                <w:szCs w:val="20"/>
                <w:color w:val="auto"/>
              </w:rPr>
            </w:pPr>
            <w:r>
              <w:rPr>
                <w:rFonts w:ascii="Arial" w:cs="Arial" w:eastAsia="Arial" w:hAnsi="Arial"/>
                <w:sz w:val="18"/>
                <w:szCs w:val="18"/>
                <w:color w:val="auto"/>
                <w:w w:val="92"/>
              </w:rPr>
              <w:t>British Columbia, Canada</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G-III Hong Kong Limited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Kostroma Limited</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Wee Beez International Limited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Hangzhou G-III Apparel Trading Co., Ltd</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G-III License Company, LLC</w:t>
            </w:r>
          </w:p>
        </w:tc>
        <w:tc>
          <w:tcPr>
            <w:tcW w:w="2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Riviera Sun, Inc.</w:t>
            </w:r>
          </w:p>
        </w:tc>
        <w:tc>
          <w:tcPr>
            <w:tcW w:w="2940" w:type="dxa"/>
            <w:vAlign w:val="bottom"/>
          </w:tcPr>
          <w:p>
            <w:pPr>
              <w:ind w:left="10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Vilebrequin International SA</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GKL Holdings B.V.</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T.R.B. International SA</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Tropezina S.L.</w:t>
            </w:r>
          </w:p>
        </w:tc>
        <w:tc>
          <w:tcPr>
            <w:tcW w:w="294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Vilebrequin France SAS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TRB (Singapore) S.E. Asia PTE Ltd.</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Singapore</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Lobst SAS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TRB Belgique SPRL</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Riley SA</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Sole SRL</w:t>
            </w:r>
          </w:p>
        </w:tc>
        <w:tc>
          <w:tcPr>
            <w:tcW w:w="2940" w:type="dxa"/>
            <w:vAlign w:val="bottom"/>
          </w:tcPr>
          <w:p>
            <w:pPr>
              <w:jc w:val="cente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La Plage Ltd.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T.R.B. Hong Kong Ltd.</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TRB Macao Ltd.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Macao</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Riley &amp; Cie S.C.S.</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TRB Portugal, Comercio de Vestuario Unipessoal LDA</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Portugal</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100"/>
              <w:spacing w:after="0"/>
              <w:rPr>
                <w:sz w:val="20"/>
                <w:szCs w:val="20"/>
                <w:color w:val="auto"/>
              </w:rPr>
            </w:pPr>
            <w:r>
              <w:rPr>
                <w:rFonts w:ascii="Arial" w:cs="Arial" w:eastAsia="Arial" w:hAnsi="Arial"/>
                <w:sz w:val="18"/>
                <w:szCs w:val="18"/>
                <w:color w:val="auto"/>
              </w:rPr>
              <w:t>TRB International SA, succursale Saint Bathelemy</w:t>
            </w:r>
          </w:p>
        </w:tc>
        <w:tc>
          <w:tcPr>
            <w:tcW w:w="2940" w:type="dxa"/>
            <w:vAlign w:val="bottom"/>
          </w:tcPr>
          <w:p>
            <w:pPr>
              <w:jc w:val="center"/>
              <w:spacing w:after="0"/>
              <w:rPr>
                <w:sz w:val="20"/>
                <w:szCs w:val="20"/>
                <w:color w:val="auto"/>
              </w:rPr>
            </w:pPr>
            <w:r>
              <w:rPr>
                <w:rFonts w:ascii="Arial" w:cs="Arial" w:eastAsia="Arial" w:hAnsi="Arial"/>
                <w:sz w:val="18"/>
                <w:szCs w:val="18"/>
                <w:color w:val="auto"/>
                <w:w w:val="87"/>
              </w:rPr>
              <w:t>Guadeloupe</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Vilebrequin Shanghai Apparel and Accessory Co., Ltd.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Naiman GmbH</w:t>
            </w:r>
          </w:p>
        </w:tc>
        <w:tc>
          <w:tcPr>
            <w:tcW w:w="294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Vilebrequin Saint Maarten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 Maarten</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Vilebrequin Deutschland GmbH</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Donna Karan International Inc.</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Gabrielle Studio, Inc.</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The Donna Karan Company Store LLC</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Donna Karan Studio LLC</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Donna Karan (Italy) S.r.l</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Donna Karan Service Company B.V.</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Donna Karan Company Store Ireland Limited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Donna Karan Company Stores UK Holding Ltd.</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The Donna Karan Company Store (UK) Limited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6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Donna Karan Company Stores UK Retail Ltd.</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Donna Karan Management Company UK Ltd.</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30"/>
        </w:trPr>
        <w:tc>
          <w:tcPr>
            <w:tcW w:w="6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Donna Karan Company Store (Germany) GmbH</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438"/>
        </w:trPr>
        <w:tc>
          <w:tcPr>
            <w:tcW w:w="5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09" w:name="page110"/>
    <w:bookmarkEnd w:id="109"/>
    <w:p>
      <w:pPr>
        <w:ind w:left="8140"/>
        <w:spacing w:after="0"/>
        <w:rPr>
          <w:sz w:val="20"/>
          <w:szCs w:val="20"/>
          <w:color w:val="auto"/>
        </w:rPr>
      </w:pPr>
      <w:r>
        <w:rPr>
          <w:rFonts w:ascii="Arial" w:cs="Arial" w:eastAsia="Arial" w:hAnsi="Arial"/>
          <w:sz w:val="16"/>
          <w:szCs w:val="16"/>
          <w:b w:val="1"/>
          <w:bCs w:val="1"/>
          <w:color w:val="auto"/>
        </w:rPr>
        <w:t>Exhibit 23.1</w:t>
      </w:r>
    </w:p>
    <w:p>
      <w:pPr>
        <w:spacing w:after="0" w:line="5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333-80937) of G-III Apparel Group, Ltd.,</w:t>
      </w:r>
    </w:p>
    <w:p>
      <w:pPr>
        <w:spacing w:after="0" w:line="23" w:lineRule="exact"/>
        <w:rPr>
          <w:rFonts w:ascii="Arial" w:cs="Arial" w:eastAsia="Arial" w:hAnsi="Arial"/>
          <w:sz w:val="18"/>
          <w:szCs w:val="18"/>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333-115010) of G-III Apparel Group, Ltd.,</w:t>
      </w:r>
    </w:p>
    <w:p>
      <w:pPr>
        <w:spacing w:after="0" w:line="9" w:lineRule="exact"/>
        <w:rPr>
          <w:rFonts w:ascii="Arial" w:cs="Arial" w:eastAsia="Arial" w:hAnsi="Arial"/>
          <w:sz w:val="18"/>
          <w:szCs w:val="18"/>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333-125804) of G-III Apparel Group, Ltd.,</w:t>
      </w:r>
    </w:p>
    <w:p>
      <w:pPr>
        <w:spacing w:after="0" w:line="9" w:lineRule="exact"/>
        <w:rPr>
          <w:rFonts w:ascii="Arial" w:cs="Arial" w:eastAsia="Arial" w:hAnsi="Arial"/>
          <w:sz w:val="18"/>
          <w:szCs w:val="18"/>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333-143974) of G-III Apparel Group, Ltd.,</w:t>
      </w:r>
    </w:p>
    <w:p>
      <w:pPr>
        <w:spacing w:after="0" w:line="9" w:lineRule="exact"/>
        <w:rPr>
          <w:rFonts w:ascii="Arial" w:cs="Arial" w:eastAsia="Arial" w:hAnsi="Arial"/>
          <w:sz w:val="18"/>
          <w:szCs w:val="18"/>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333-160056) of G-III Apparel Group, Ltd.,</w:t>
      </w:r>
    </w:p>
    <w:p>
      <w:pPr>
        <w:spacing w:after="0" w:line="9" w:lineRule="exact"/>
        <w:rPr>
          <w:rFonts w:ascii="Arial" w:cs="Arial" w:eastAsia="Arial" w:hAnsi="Arial"/>
          <w:sz w:val="18"/>
          <w:szCs w:val="18"/>
          <w:color w:val="auto"/>
        </w:rPr>
      </w:pPr>
    </w:p>
    <w:p>
      <w:pPr>
        <w:ind w:left="1320" w:hanging="669"/>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333-205602) of G-III Apparel Group, Ltd.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reports dated March 28, 2019,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225" w:lineRule="exact"/>
        <w:rPr>
          <w:sz w:val="20"/>
          <w:szCs w:val="20"/>
          <w:color w:val="auto"/>
        </w:rPr>
      </w:pPr>
    </w:p>
    <w:p>
      <w:pPr>
        <w:ind w:left="720" w:hanging="354"/>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225" w:lineRule="exact"/>
        <w:rPr>
          <w:rFonts w:ascii="Arial" w:cs="Arial" w:eastAsia="Arial" w:hAnsi="Arial"/>
          <w:sz w:val="18"/>
          <w:szCs w:val="18"/>
          <w:color w:val="auto"/>
        </w:rPr>
      </w:pPr>
    </w:p>
    <w:p>
      <w:pPr>
        <w:ind w:left="720" w:right="300" w:hanging="354"/>
        <w:spacing w:after="0" w:line="264" w:lineRule="auto"/>
        <w:tabs>
          <w:tab w:leader="none" w:pos="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00" w:hanging="354"/>
        <w:spacing w:after="0" w:line="264" w:lineRule="auto"/>
        <w:tabs>
          <w:tab w:leader="none" w:pos="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20" w:right="220" w:hanging="354"/>
        <w:spacing w:after="0" w:line="312" w:lineRule="auto"/>
        <w:tabs>
          <w:tab w:leader="none" w:pos="7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100" w:hanging="372"/>
        <w:spacing w:after="0" w:line="259" w:lineRule="auto"/>
        <w:tabs>
          <w:tab w:leader="none" w:pos="11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00" w:right="280" w:hanging="372"/>
        <w:spacing w:after="0" w:line="259" w:lineRule="auto"/>
        <w:tabs>
          <w:tab w:leader="none" w:pos="11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100" w:right="140" w:hanging="372"/>
        <w:spacing w:after="0" w:line="264" w:lineRule="auto"/>
        <w:tabs>
          <w:tab w:leader="none" w:pos="11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00" w:right="80" w:hanging="372"/>
        <w:spacing w:after="0" w:line="259" w:lineRule="auto"/>
        <w:tabs>
          <w:tab w:leader="none" w:pos="11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380" w:hanging="354"/>
        <w:spacing w:after="0" w:line="264" w:lineRule="auto"/>
        <w:tabs>
          <w:tab w:leader="none" w:pos="7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100" w:right="260" w:hanging="372"/>
        <w:spacing w:after="0" w:line="264" w:lineRule="auto"/>
        <w:tabs>
          <w:tab w:leader="none" w:pos="11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00" w:right="40" w:hanging="372"/>
        <w:spacing w:after="0" w:line="277" w:lineRule="auto"/>
        <w:tabs>
          <w:tab w:leader="none" w:pos="11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2019</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225" w:lineRule="exact"/>
        <w:rPr>
          <w:sz w:val="20"/>
          <w:szCs w:val="20"/>
          <w:color w:val="auto"/>
        </w:rPr>
      </w:pPr>
    </w:p>
    <w:p>
      <w:pPr>
        <w:ind w:left="720" w:hanging="354"/>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225" w:lineRule="exact"/>
        <w:rPr>
          <w:rFonts w:ascii="Arial" w:cs="Arial" w:eastAsia="Arial" w:hAnsi="Arial"/>
          <w:sz w:val="18"/>
          <w:szCs w:val="18"/>
          <w:color w:val="auto"/>
        </w:rPr>
      </w:pPr>
    </w:p>
    <w:p>
      <w:pPr>
        <w:ind w:left="720" w:right="300" w:hanging="354"/>
        <w:spacing w:after="0" w:line="264" w:lineRule="auto"/>
        <w:tabs>
          <w:tab w:leader="none" w:pos="7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00" w:hanging="354"/>
        <w:spacing w:after="0" w:line="264" w:lineRule="auto"/>
        <w:tabs>
          <w:tab w:leader="none" w:pos="7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720" w:right="220" w:hanging="354"/>
        <w:spacing w:after="0" w:line="312" w:lineRule="auto"/>
        <w:tabs>
          <w:tab w:leader="none" w:pos="7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100" w:hanging="372"/>
        <w:spacing w:after="0" w:line="259" w:lineRule="auto"/>
        <w:tabs>
          <w:tab w:leader="none" w:pos="11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00" w:right="280" w:hanging="372"/>
        <w:spacing w:after="0" w:line="259" w:lineRule="auto"/>
        <w:tabs>
          <w:tab w:leader="none" w:pos="11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100" w:right="140" w:hanging="372"/>
        <w:spacing w:after="0" w:line="264" w:lineRule="auto"/>
        <w:tabs>
          <w:tab w:leader="none" w:pos="11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00" w:right="80" w:hanging="372"/>
        <w:spacing w:after="0" w:line="259" w:lineRule="auto"/>
        <w:tabs>
          <w:tab w:leader="none" w:pos="11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380" w:hanging="354"/>
        <w:spacing w:after="0" w:line="264" w:lineRule="auto"/>
        <w:tabs>
          <w:tab w:leader="none" w:pos="7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100" w:right="260" w:hanging="372"/>
        <w:spacing w:after="0" w:line="264" w:lineRule="auto"/>
        <w:tabs>
          <w:tab w:leader="none" w:pos="110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00" w:right="40" w:hanging="372"/>
        <w:spacing w:after="0" w:line="277" w:lineRule="auto"/>
        <w:tabs>
          <w:tab w:leader="none" w:pos="11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2019</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G-III Apparel Group, Ltd. (the “Company”) on Form 10-K for the fiscal year ended January 31, 2019 (the “Report”), I, Morris Goldfarb, Chief Executive Officer of the Company, certify, pursuant to 18 U.S.C. §1350, as adopted pursuant to §906 of the Sarbanes-Oxley Act of 2002, that: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March 28,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Goldfarb</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G-III Apparel Group, Ltd. (the “Company”) on Form 10-K for the fiscal year ended January 31, 2019 (the “Report”), I, Neal S. Nackman, Chief Financial Officer of the Company, certify, pursuant to 18 U.S.C. §1350, as adopted pursuant to §906 of the Sarbanes-Oxley Act of 2002, that: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March 28,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S. Nackman</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upperLetter"/>
      <w:start w:val="6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lowerRoman"/>
      <w:start w:val="3"/>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emdash "/>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8"/>
    </w:lvl>
  </w:abstractNum>
  <w:abstractNum w:abstractNumId="25">
    <w:nsid w:val="737B8DDC"/>
    <w:multiLevelType w:val="hybridMultilevel"/>
    <w:lvl w:ilvl="0">
      <w:lvlJc w:val="left"/>
      <w:lvlText w:val="(%1)"/>
      <w:numFmt w:val="lowerRoman"/>
      <w:start w:val="3"/>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upp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4"/>
    </w:lvl>
  </w:abstractNum>
  <w:abstractNum w:abstractNumId="32">
    <w:nsid w:val="5577F8E1"/>
    <w:multiLevelType w:val="hybridMultilevel"/>
    <w:lvl w:ilvl="0">
      <w:lvlJc w:val="left"/>
      <w:lvlText w:val="%1."/>
      <w:numFmt w:val="decimal"/>
      <w:start w:val="6"/>
    </w:lvl>
  </w:abstractNum>
  <w:abstractNum w:abstractNumId="33">
    <w:nsid w:val="440BADFC"/>
    <w:multiLevelType w:val="hybridMultilevel"/>
    <w:lvl w:ilvl="0">
      <w:lvlJc w:val="left"/>
      <w:lvlText w:val="%1."/>
      <w:numFmt w:val="decimal"/>
      <w:start w:val="1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29" Type="http://schemas.openxmlformats.org/officeDocument/2006/relationships/image" Target="media/image68.png"/><Relationship Id="rId130" Type="http://schemas.openxmlformats.org/officeDocument/2006/relationships/image" Target="media/image69.png"/><Relationship Id="rId131"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71" Type="http://schemas.openxmlformats.org/officeDocument/2006/relationships/hyperlink" Target="http://www.sec.gov/Archives/edgar/data/821002/000157104916016885/t1601856_ex2-1.htm" TargetMode="External"/><Relationship Id="rId72" Type="http://schemas.openxmlformats.org/officeDocument/2006/relationships/hyperlink" Target="http://www.sec.gov/Archives/edgar/data/821002/000157104916020381/t1603005_ex10-1.htm" TargetMode="External"/><Relationship Id="rId73" Type="http://schemas.openxmlformats.org/officeDocument/2006/relationships/hyperlink" Target="http://www.sec.gov/Archives/edgar/data/821002/000095013606007680/file2.htm" TargetMode="External"/><Relationship Id="rId74" Type="http://schemas.openxmlformats.org/officeDocument/2006/relationships/hyperlink" Target="http://www.sec.gov/Archives/edgar/data/821002/000095012311057737/y04932exv3w1.htm" TargetMode="External"/><Relationship Id="rId75" Type="http://schemas.openxmlformats.org/officeDocument/2006/relationships/hyperlink" Target="http://www.sec.gov/Archives/edgar/data/821002/000157104915005420/t1501536_ex3-1.htm" TargetMode="External"/><Relationship Id="rId76" Type="http://schemas.openxmlformats.org/officeDocument/2006/relationships/hyperlink" Target="http://www.sec.gov/Archives/edgar/data/821002/000119312513107874/d503217dex31.htm" TargetMode="External"/><Relationship Id="rId77" Type="http://schemas.openxmlformats.org/officeDocument/2006/relationships/hyperlink" Target="http://www.sec.gov/Archives/edgar/data/821002/000157104916020381/t1603005_ex10-4.htm" TargetMode="External"/><Relationship Id="rId78" Type="http://schemas.openxmlformats.org/officeDocument/2006/relationships/hyperlink" Target="http://www.sec.gov/Archives/edgar/data/821002/000095013606003565/file003.htm" TargetMode="External"/><Relationship Id="rId79" Type="http://schemas.openxmlformats.org/officeDocument/2006/relationships/hyperlink" Target="http://www.sec.gov/Archives/edgar/data/821002/000095013606003565/file004.htm" TargetMode="External"/><Relationship Id="rId80" Type="http://schemas.openxmlformats.org/officeDocument/2006/relationships/hyperlink" Target="http://www.sec.gov/Archives/edgar/data/821002/000095012309001831/y01044exv10w1.htm" TargetMode="External"/><Relationship Id="rId81" Type="http://schemas.openxmlformats.org/officeDocument/2006/relationships/hyperlink" Target="http://www.sec.gov/Archives/edgar/data/821002/000119312513107874/d503217dex102.htm" TargetMode="External"/><Relationship Id="rId82" Type="http://schemas.openxmlformats.org/officeDocument/2006/relationships/hyperlink" Target="http://www.sec.gov/Archives/edgar/data/821002/000157104914001406/t1400776_ex10-1.htm" TargetMode="External"/><Relationship Id="rId83" Type="http://schemas.openxmlformats.org/officeDocument/2006/relationships/hyperlink" Target="http://www.sec.gov/Archives/edgar/data/821002/000157104916020381/t1603005_ex10-2.htm" TargetMode="External"/><Relationship Id="rId84" Type="http://schemas.openxmlformats.org/officeDocument/2006/relationships/hyperlink" Target="http://www.sec.gov/Archives/edgar/data/821002/000157104916020381/t1603005_ex10-3.htm" TargetMode="External"/><Relationship Id="rId85" Type="http://schemas.openxmlformats.org/officeDocument/2006/relationships/hyperlink" Target="http://www.sec.gov/Archives/edgar/data/821002/000095013606003565/file007.htm" TargetMode="External"/><Relationship Id="rId86" Type="http://schemas.openxmlformats.org/officeDocument/2006/relationships/hyperlink" Target="http://www.sec.gov/Archives/edgar/data/821002/000095013606003565/file008.htm" TargetMode="External"/><Relationship Id="rId87" Type="http://schemas.openxmlformats.org/officeDocument/2006/relationships/hyperlink" Target="http://www.sec.gov/Archives/edgar/data/821002/000095012310112815/y04204exv10w6.htm" TargetMode="External"/><Relationship Id="rId88" Type="http://schemas.openxmlformats.org/officeDocument/2006/relationships/hyperlink" Target="http://www.sec.gov/Archives/edgar/data/821002/000095013606003565/file009.htm" TargetMode="External"/><Relationship Id="rId89" Type="http://schemas.openxmlformats.org/officeDocument/2006/relationships/hyperlink" Target="http://www.sec.gov/Archives/edgar/data/821002/000095013606003565/file010.htm" TargetMode="External"/><Relationship Id="rId90" Type="http://schemas.openxmlformats.org/officeDocument/2006/relationships/hyperlink" Target="http://www.sec.gov/Archives/edgar/data/821002/000095012310112815/y04204exv10w5.htm" TargetMode="External"/><Relationship Id="rId91" Type="http://schemas.openxmlformats.org/officeDocument/2006/relationships/hyperlink" Target="http://www.sec.gov/Archives/edgar/data/821002/000095012310112815/y04204exv10w4.htm" TargetMode="External"/><Relationship Id="rId92" Type="http://schemas.openxmlformats.org/officeDocument/2006/relationships/hyperlink" Target="http://www.sec.gov/Archives/edgar/data/821002/000095012310112815/y04204exv10w7.htm" TargetMode="External"/><Relationship Id="rId93" Type="http://schemas.openxmlformats.org/officeDocument/2006/relationships/hyperlink" Target="http://www.sec.gov/Archives/edgar/data/821002/000119312513253469/d529922dex105e.htm" TargetMode="External"/><Relationship Id="rId94" Type="http://schemas.openxmlformats.org/officeDocument/2006/relationships/hyperlink" Target="http://www.sec.gov/Archives/edgar/data/821002/000157104914002294/t1401027_ex10-5xe.htm" TargetMode="External"/><Relationship Id="rId95" Type="http://schemas.openxmlformats.org/officeDocument/2006/relationships/hyperlink" Target="http://www.sec.gov/Archives/edgar/data/821002/000114420418018565/tv489439_ex10-4g.htm" TargetMode="External"/><Relationship Id="rId96" Type="http://schemas.openxmlformats.org/officeDocument/2006/relationships/hyperlink" Target="http://www.sec.gov/Archives/edgar/data/821002/000114420418033788/tv495005_ex10-1.htm" TargetMode="External"/><Relationship Id="rId97" Type="http://schemas.openxmlformats.org/officeDocument/2006/relationships/hyperlink" Target="http://www.sec.gov/Archives/edgar/data/821002/000095012310112815/y04204exv10w8.htm" TargetMode="External"/><Relationship Id="rId98" Type="http://schemas.openxmlformats.org/officeDocument/2006/relationships/hyperlink" Target="http://www.sec.gov/Archives/edgar/data/821002/000119312513107874/d503217dex101.htm" TargetMode="External"/><Relationship Id="rId99" Type="http://schemas.openxmlformats.org/officeDocument/2006/relationships/hyperlink" Target="http://www.sec.gov/Archives/edgar/data/821002/000095012309006668/y01491exv10w10wa.htm" TargetMode="External"/><Relationship Id="rId100" Type="http://schemas.openxmlformats.org/officeDocument/2006/relationships/hyperlink" Target="http://www.sec.gov/Archives/edgar/data/821002/000095013605003512/file002.htm" TargetMode="External"/><Relationship Id="rId101" Type="http://schemas.openxmlformats.org/officeDocument/2006/relationships/hyperlink" Target="http://www.sec.gov/Archives/edgar/data/821002/000157104914005486/t1402027_ex10-1.htm" TargetMode="External"/><Relationship Id="rId102" Type="http://schemas.openxmlformats.org/officeDocument/2006/relationships/hyperlink" Target="http://www.sec.gov/Archives/edgar/data/821002/000157104915004196/t1501166_ex10-1.htm" TargetMode="External"/><Relationship Id="rId103" Type="http://schemas.openxmlformats.org/officeDocument/2006/relationships/hyperlink" Target="http://www.sec.gov/Archives/edgar/data/821002/000157104915004196/t1501166_ex10-2.htm" TargetMode="External"/><Relationship Id="rId104" Type="http://schemas.openxmlformats.org/officeDocument/2006/relationships/hyperlink" Target="http://www.sec.gov/Archives/edgar/data/821002/000157104916020647/t1603077_ex10-1.htm" TargetMode="External"/><Relationship Id="rId109" Type="http://schemas.openxmlformats.org/officeDocument/2006/relationships/hyperlink" Target="http://www.sec.gov/Archives/edgar/data/821002/000157104915009960/t1502937_ex10-1.htm" TargetMode="External"/><Relationship Id="rId110" Type="http://schemas.openxmlformats.org/officeDocument/2006/relationships/hyperlink" Target="http://www.sec.gov/Archives/edgar/data/821002/000157104917000901/t1700280_ex10-1.htm" TargetMode="External"/><Relationship Id="rId111" Type="http://schemas.openxmlformats.org/officeDocument/2006/relationships/hyperlink" Target="http://www.sec.gov/Archives/edgar/data/821002/000157104917002552/t1700771_ex10-1.htm" TargetMode="External"/><Relationship Id="rId112" Type="http://schemas.openxmlformats.org/officeDocument/2006/relationships/hyperlink" Target="http://www.sec.gov/Archives/edgar/data/821002/000114420418023883/tv492603_ex10-1.htm" TargetMode="External"/><Relationship Id="rId113" Type="http://schemas.openxmlformats.org/officeDocument/2006/relationships/hyperlink" Target="http://www.sec.gov/Archives/edgar/data/821002/000095012311014727/c12756exv10w1.htm" TargetMode="External"/><Relationship Id="rId114" Type="http://schemas.openxmlformats.org/officeDocument/2006/relationships/hyperlink" Target="http://www.sec.gov/Archives/edgar/data/821002/000095012310112815/y04204exv10w10.htm" TargetMode="External"/><Relationship Id="rId115" Type="http://schemas.openxmlformats.org/officeDocument/2006/relationships/hyperlink" Target="http://www.sec.gov/Archives/edgar/data/821002/000095012308012173/y00256exv10w1.htm" TargetMode="External"/><Relationship Id="rId116" Type="http://schemas.openxmlformats.org/officeDocument/2006/relationships/hyperlink" Target="http://www.sec.gov/Archives/edgar/data/821002/000095012309001831/y01044exv10w2.htm" TargetMode="External"/><Relationship Id="rId117" Type="http://schemas.openxmlformats.org/officeDocument/2006/relationships/hyperlink" Target="http://www.sec.gov/Archives/edgar/data/821002/000119312513107874/d503217dex103.htm" TargetMode="External"/><Relationship Id="rId118" Type="http://schemas.openxmlformats.org/officeDocument/2006/relationships/hyperlink" Target="http://www.sec.gov/Archives/edgar/data/821002/000157104914001406/t1400776_ex10-2.htm" TargetMode="External"/><Relationship Id="rId119" Type="http://schemas.openxmlformats.org/officeDocument/2006/relationships/hyperlink" Target="http://www.sec.gov/Archives/edgar/data/821002/000095013606007680/file3.htm" TargetMode="External"/><Relationship Id="rId120" Type="http://schemas.openxmlformats.org/officeDocument/2006/relationships/hyperlink" Target="http://www.sec.gov/Archives/edgar/data/821002/000095012310112815/y04204exv10w9.htm" TargetMode="External"/><Relationship Id="rId121" Type="http://schemas.openxmlformats.org/officeDocument/2006/relationships/hyperlink" Target="http://www.sec.gov/Archives/edgar/data/821002/000095012310112815/y04204exv10w1.htm" TargetMode="External"/><Relationship Id="rId122" Type="http://schemas.openxmlformats.org/officeDocument/2006/relationships/hyperlink" Target="http://www.sec.gov/Archives/edgar/data/821002/000119312513011014/d466845dex101.htm" TargetMode="External"/><Relationship Id="rId123" Type="http://schemas.openxmlformats.org/officeDocument/2006/relationships/hyperlink" Target="http://www.sec.gov/Archives/edgar/data/821002/000157104916020647/t1603077_ex10-2.htm" TargetMode="External"/><Relationship Id="rId124" Type="http://schemas.openxmlformats.org/officeDocument/2006/relationships/hyperlink" Target="http://www.sec.gov/Archives/edgar/data/821002/000157104916020647/t1603077_ex10-3.htm" TargetMode="External"/><Relationship Id="rId125" Type="http://schemas.openxmlformats.org/officeDocument/2006/relationships/hyperlink" Target="http://www.sec.gov/Archives/edgar/data/821002/000157104916020647/t1603077_ex10-4.htm" TargetMode="External"/><Relationship Id="rId126" Type="http://schemas.openxmlformats.org/officeDocument/2006/relationships/hyperlink" Target="http://www.sec.gov/Archives/edgar/data/821002/000157104916020647/t1603077_ex10-5.htm" TargetMode="External"/><Relationship Id="rId127" Type="http://schemas.openxmlformats.org/officeDocument/2006/relationships/hyperlink" Target="http://www.sec.gov/Archives/edgar/data/821002/000157104917003132/t1700141_ex10-18.htm" TargetMode="External"/><Relationship Id="rId128" Type="http://schemas.openxmlformats.org/officeDocument/2006/relationships/hyperlink" Target="http://www.sec.gov/Archives/edgar/data/821002/000157104917003132/t1700141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2019-12-28T14:07:51Z</dcterms:created>
  <dcterms:modified xsi:type="dcterms:W3CDTF">2019-12-28T14:07:51Z</dcterms:modified>
</cp:coreProperties>
</file>