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July 31, 2021</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0"/>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8906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213995"/>
                    </a:xfrm>
                    <a:prstGeom prst="rect">
                      <a:avLst/>
                    </a:prstGeom>
                    <a:noFill/>
                  </pic:spPr>
                </pic:pic>
              </a:graphicData>
            </a:graphic>
          </wp:anchor>
        </w:drawing>
      </w:r>
    </w:p>
    <w:p>
      <w:pPr>
        <w:spacing w:after="0" w:line="50"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6" w:lineRule="exact"/>
        <w:rPr>
          <w:sz w:val="24"/>
          <w:szCs w:val="24"/>
          <w:color w:val="auto"/>
        </w:rPr>
      </w:pPr>
    </w:p>
    <w:p>
      <w:pPr>
        <w:jc w:val="both"/>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7" w:lineRule="exact"/>
        <w:rPr>
          <w:sz w:val="24"/>
          <w:szCs w:val="24"/>
          <w:color w:val="auto"/>
        </w:rPr>
      </w:pPr>
    </w:p>
    <w:p>
      <w:pPr>
        <w:ind w:left="10" w:right="18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August 31, 2021, there were 48,566,107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0" w:type="dxa"/>
            <w:vAlign w:val="bottom"/>
            <w:gridSpan w:val="5"/>
            <w:vMerge w:val="restart"/>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40" w:type="dxa"/>
            <w:vAlign w:val="bottom"/>
          </w:tcPr>
          <w:p>
            <w:pPr>
              <w:spacing w:after="0"/>
              <w:rPr>
                <w:sz w:val="16"/>
                <w:szCs w:val="16"/>
                <w:color w:val="auto"/>
              </w:rPr>
            </w:pPr>
          </w:p>
        </w:tc>
        <w:tc>
          <w:tcPr>
            <w:tcW w:w="730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300" w:type="dxa"/>
            <w:vAlign w:val="bottom"/>
            <w:gridSpan w:val="19"/>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40" w:type="dxa"/>
            <w:vAlign w:val="bottom"/>
          </w:tcPr>
          <w:p>
            <w:pPr>
              <w:spacing w:after="0"/>
              <w:rPr>
                <w:sz w:val="17"/>
                <w:szCs w:val="17"/>
                <w:color w:val="auto"/>
              </w:rPr>
            </w:pPr>
          </w:p>
        </w:tc>
        <w:tc>
          <w:tcPr>
            <w:tcW w:w="73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July 31, 2021, July 31, 2020 and January 31, 2021</w:t>
              </w:r>
            </w:hyperlink>
          </w:p>
        </w:tc>
        <w:tc>
          <w:tcPr>
            <w:tcW w:w="5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 For the Three and</w:t>
              </w:r>
            </w:hyperlink>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Six Months Ended July 31, 2021 and 2020 (Unaudited)</w:t>
              </w:r>
            </w:hyperlink>
          </w:p>
        </w:tc>
        <w:tc>
          <w:tcPr>
            <w:tcW w:w="318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 July 31, 2021 and July 31, 2020</w:t>
              </w:r>
            </w:hyperlink>
          </w:p>
        </w:tc>
        <w:tc>
          <w:tcPr>
            <w:tcW w:w="4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gridSpan w:val="19"/>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 For the Six Months Ended July 31, 2021 and</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(Unaudited)</w:t>
              </w:r>
            </w:hyperlink>
          </w:p>
        </w:tc>
        <w:tc>
          <w:tcPr>
            <w:tcW w:w="22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3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5"/>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14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40" w:type="dxa"/>
            <w:vAlign w:val="bottom"/>
            <w:gridSpan w:val="2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31">
              <w:r>
                <w:rPr>
                  <w:rFonts w:ascii="Arial" w:cs="Arial" w:eastAsia="Arial" w:hAnsi="Arial"/>
                  <w:sz w:val="18"/>
                  <w:szCs w:val="18"/>
                  <w:color w:val="0000EE"/>
                </w:rPr>
                <w:t>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6.</w:t>
              </w:r>
            </w:hyperlink>
          </w:p>
        </w:tc>
        <w:tc>
          <w:tcPr>
            <w:tcW w:w="140" w:type="dxa"/>
            <w:vAlign w:val="bottom"/>
          </w:tcPr>
          <w:p>
            <w:pPr>
              <w:spacing w:after="0"/>
              <w:rPr>
                <w:sz w:val="17"/>
                <w:szCs w:val="17"/>
                <w:color w:val="auto"/>
              </w:rPr>
            </w:pPr>
          </w:p>
        </w:tc>
        <w:tc>
          <w:tcPr>
            <w:tcW w:w="730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400" w:type="dxa"/>
            <w:vAlign w:val="bottom"/>
            <w:gridSpan w:val="8"/>
          </w:tcPr>
          <w:p>
            <w:pPr>
              <w:jc w:val="right"/>
              <w:ind w:right="4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July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July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right"/>
              <w:ind w:right="31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509,988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252,798</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351,934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4"/>
              </w:rPr>
              <w:t>Accounts receivable, net of allowance for doubtful accounts of $17.4 million,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$11.2 million and $17.5 million,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385,047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276,502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492,698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499,337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574,767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13,949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66,343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1,461,830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1,173,725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1,344,040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59,132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51,425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66,627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168,071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Other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61,476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31,900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34,548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441,788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438,721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262,372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260,667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2,553,586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2,269,814</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2,436,386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5,624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3,717</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60,257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115,370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43,119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91,700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485,541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472,420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512,017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405,003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147,119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140,283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1,172,014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1,032,065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1,099,181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Redeemable noncontrolling interests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w w:val="92"/>
              </w:rPr>
              <w:t>Common stock - $0.01 par value; 120,000 shares authorized; 49,396, 49,396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and, 49,396 shares issued, 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447,476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(18,260)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961,901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838,867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916,683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80" w:type="dxa"/>
            <w:vAlign w:val="bottom"/>
          </w:tcPr>
          <w:p>
            <w:pPr>
              <w:ind w:left="80"/>
              <w:spacing w:after="0" w:line="185" w:lineRule="exact"/>
              <w:rPr>
                <w:sz w:val="20"/>
                <w:szCs w:val="20"/>
                <w:color w:val="auto"/>
              </w:rPr>
            </w:pPr>
            <w:r>
              <w:rPr>
                <w:rFonts w:ascii="Arial" w:cs="Arial" w:eastAsia="Arial" w:hAnsi="Arial"/>
                <w:sz w:val="17"/>
                <w:szCs w:val="17"/>
                <w:color w:val="auto"/>
              </w:rPr>
              <w:t>Common stock held in treasury, at cost - 829, 1,037 and 1,019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1,380,612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1,237,749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1,336,241</w:t>
            </w:r>
          </w:p>
        </w:tc>
        <w:tc>
          <w:tcPr>
            <w:tcW w:w="0" w:type="dxa"/>
            <w:vAlign w:val="bottom"/>
          </w:tcPr>
          <w:p>
            <w:pPr>
              <w:spacing w:after="0"/>
              <w:rPr>
                <w:sz w:val="1"/>
                <w:szCs w:val="1"/>
                <w:color w:val="auto"/>
              </w:rPr>
            </w:pPr>
          </w:p>
        </w:tc>
      </w:tr>
      <w:tr>
        <w:trPr>
          <w:trHeight w:val="196"/>
        </w:trPr>
        <w:tc>
          <w:tcPr>
            <w:tcW w:w="5500" w:type="dxa"/>
            <w:vAlign w:val="bottom"/>
            <w:gridSpan w:val="2"/>
          </w:tcPr>
          <w:p>
            <w:pPr>
              <w:spacing w:after="0"/>
              <w:rPr>
                <w:sz w:val="20"/>
                <w:szCs w:val="20"/>
                <w:color w:val="auto"/>
              </w:rPr>
            </w:pPr>
            <w:r>
              <w:rPr>
                <w:rFonts w:ascii="Arial" w:cs="Arial" w:eastAsia="Arial" w:hAnsi="Arial"/>
                <w:sz w:val="17"/>
                <w:szCs w:val="17"/>
                <w:color w:val="auto"/>
                <w:w w:val="95"/>
              </w:rPr>
              <w:t>Total liabilities, redeemable noncontrolling interests and stockholders' 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2,553,586</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2,269,814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00" w:type="dxa"/>
            <w:vAlign w:val="bottom"/>
            <w:gridSpan w:val="11"/>
          </w:tcPr>
          <w:p>
            <w:pPr>
              <w:ind w:left="380"/>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483,081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1,002,991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702,343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290,203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162,519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614,644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443,249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259,094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146,840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122,102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288,443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276,722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tcPr>
          <w:p>
            <w:pPr>
              <w:ind w:left="20"/>
              <w:spacing w:after="0"/>
              <w:rPr>
                <w:sz w:val="20"/>
                <w:szCs w:val="20"/>
                <w:color w:val="auto"/>
              </w:rPr>
            </w:pPr>
            <w:r>
              <w:rPr>
                <w:rFonts w:ascii="Arial" w:cs="Arial" w:eastAsia="Arial" w:hAnsi="Arial"/>
                <w:sz w:val="16"/>
                <w:szCs w:val="16"/>
                <w:color w:val="auto"/>
              </w:rPr>
              <w:t>Asset impairments, net of gain on lease modifications</w:t>
            </w: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17,489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20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Operating profit (loss)</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38,940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85,762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tcPr>
          <w:p>
            <w:pPr>
              <w:ind w:left="20"/>
              <w:spacing w:after="0"/>
              <w:rPr>
                <w:sz w:val="20"/>
                <w:szCs w:val="20"/>
                <w:color w:val="auto"/>
              </w:rPr>
            </w:pPr>
            <w:r>
              <w:rPr>
                <w:rFonts w:ascii="Arial" w:cs="Arial" w:eastAsia="Arial" w:hAnsi="Arial"/>
                <w:sz w:val="16"/>
                <w:szCs w:val="16"/>
                <w:color w:val="auto"/>
              </w:rPr>
              <w:t>Other income (loss)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Interest and financing charges, net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(12,574)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(24,578)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0" w:type="dxa"/>
            <w:vAlign w:val="bottom"/>
            <w:gridSpan w:val="3"/>
          </w:tcPr>
          <w:p>
            <w:pPr>
              <w:ind w:left="10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28,341</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(18,636)</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64,979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(3,660)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4"/>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19,106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(14,976)</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45,485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Less: Loss attributable to noncontrolling interests</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Net income (loss) attributable to G-III Apparel Group, Ltd.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19,168</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(14,976)</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45,489</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gridSpan w:val="4"/>
          </w:tcPr>
          <w:p>
            <w:pPr>
              <w:ind w:left="20"/>
              <w:spacing w:after="0"/>
              <w:rPr>
                <w:sz w:val="20"/>
                <w:szCs w:val="20"/>
                <w:color w:val="auto"/>
              </w:rPr>
            </w:pPr>
            <w:r>
              <w:rPr>
                <w:rFonts w:ascii="Arial" w:cs="Arial" w:eastAsia="Arial" w:hAnsi="Arial"/>
                <w:sz w:val="16"/>
                <w:szCs w:val="16"/>
                <w:b w:val="1"/>
                <w:bCs w:val="1"/>
                <w:color w:val="auto"/>
              </w:rPr>
              <w:t>NET INCOME (LOSS) PER COMMON SHARE ATTRIBUTABLE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20" w:type="dxa"/>
            <w:vAlign w:val="bottom"/>
            <w:gridSpan w:val="4"/>
          </w:tcPr>
          <w:p>
            <w:pPr>
              <w:ind w:left="20"/>
              <w:spacing w:after="0"/>
              <w:rPr>
                <w:sz w:val="20"/>
                <w:szCs w:val="20"/>
                <w:color w:val="auto"/>
              </w:rPr>
            </w:pPr>
            <w:r>
              <w:rPr>
                <w:rFonts w:ascii="Arial" w:cs="Arial" w:eastAsia="Arial" w:hAnsi="Arial"/>
                <w:sz w:val="16"/>
                <w:szCs w:val="16"/>
                <w:b w:val="1"/>
                <w:bCs w:val="1"/>
                <w:color w:val="auto"/>
              </w:rPr>
              <w:t>TO G-III APPAREL GROUP, LTD.: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320" w:type="dxa"/>
            <w:vAlign w:val="bottom"/>
            <w:gridSpan w:val="4"/>
            <w:shd w:val="clear" w:color="auto" w:fill="CCEEFF"/>
          </w:tcPr>
          <w:p>
            <w:pPr>
              <w:ind w:left="120"/>
              <w:spacing w:after="0" w:line="165" w:lineRule="exact"/>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5200" w:type="dxa"/>
            <w:vAlign w:val="bottom"/>
            <w:gridSpan w:val="3"/>
          </w:tcPr>
          <w:p>
            <w:pPr>
              <w:ind w:left="100"/>
              <w:spacing w:after="0"/>
              <w:rPr>
                <w:sz w:val="20"/>
                <w:szCs w:val="20"/>
                <w:color w:val="auto"/>
              </w:rPr>
            </w:pPr>
            <w:r>
              <w:rPr>
                <w:rFonts w:ascii="Arial" w:cs="Arial" w:eastAsia="Arial" w:hAnsi="Arial"/>
                <w:sz w:val="16"/>
                <w:szCs w:val="16"/>
                <w:color w:val="auto"/>
              </w:rPr>
              <w:t>Net income (loss) per common share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0.94</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20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Weighted average number of shares outstanding</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gridSpan w:val="4"/>
            <w:shd w:val="clear" w:color="auto" w:fill="CCEEFF"/>
          </w:tcPr>
          <w:p>
            <w:pPr>
              <w:ind w:left="120"/>
              <w:spacing w:after="0" w:line="162" w:lineRule="exact"/>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5200" w:type="dxa"/>
            <w:vAlign w:val="bottom"/>
            <w:gridSpan w:val="3"/>
          </w:tcPr>
          <w:p>
            <w:pPr>
              <w:ind w:left="100"/>
              <w:spacing w:after="0"/>
              <w:rPr>
                <w:sz w:val="20"/>
                <w:szCs w:val="20"/>
                <w:color w:val="auto"/>
              </w:rPr>
            </w:pPr>
            <w:r>
              <w:rPr>
                <w:rFonts w:ascii="Arial" w:cs="Arial" w:eastAsia="Arial" w:hAnsi="Arial"/>
                <w:sz w:val="16"/>
                <w:szCs w:val="16"/>
                <w:color w:val="auto"/>
              </w:rPr>
              <w:t>Net income (loss) per common share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0.92</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20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Weighted average number of shares outstanding</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49,523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(14,976)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4"/>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(4,938)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(4,938)</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40,547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0" w:type="dxa"/>
            <w:vAlign w:val="bottom"/>
            <w:gridSpan w:val="3"/>
            <w:vMerge w:val="restart"/>
          </w:tcPr>
          <w:p>
            <w:pPr>
              <w:ind w:left="100"/>
              <w:spacing w:after="0"/>
              <w:rPr>
                <w:sz w:val="20"/>
                <w:szCs w:val="20"/>
                <w:color w:val="auto"/>
              </w:rPr>
            </w:pPr>
            <w:r>
              <w:rPr>
                <w:rFonts w:ascii="Arial" w:cs="Arial" w:eastAsia="Arial" w:hAnsi="Arial"/>
                <w:sz w:val="16"/>
                <w:szCs w:val="16"/>
                <w:color w:val="auto"/>
              </w:rPr>
              <w:t>Comprehensive income attributable to noncontrolling interests: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0" w:type="dxa"/>
            <w:vAlign w:val="bottom"/>
          </w:tcPr>
          <w:p>
            <w:pPr>
              <w:spacing w:after="0"/>
              <w:rPr>
                <w:sz w:val="15"/>
                <w:szCs w:val="15"/>
                <w:color w:val="auto"/>
              </w:rPr>
            </w:pPr>
          </w:p>
        </w:tc>
        <w:tc>
          <w:tcPr>
            <w:tcW w:w="5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00" w:type="dxa"/>
            <w:vAlign w:val="bottom"/>
            <w:gridSpan w:val="3"/>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2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4"/>
          </w:tcPr>
          <w:p>
            <w:pPr>
              <w:ind w:left="20"/>
              <w:spacing w:after="0"/>
              <w:rPr>
                <w:sz w:val="20"/>
                <w:szCs w:val="20"/>
                <w:color w:val="auto"/>
              </w:rPr>
            </w:pPr>
            <w:r>
              <w:rPr>
                <w:rFonts w:ascii="Arial" w:cs="Arial" w:eastAsia="Arial" w:hAnsi="Arial"/>
                <w:sz w:val="16"/>
                <w:szCs w:val="16"/>
                <w:color w:val="auto"/>
              </w:rPr>
              <w:t>Comprehensive income (loss) attributable to G-III Apparel Group, Ltd.</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21,075</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(11,202)</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40,549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Held In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tcPr>
          <w:p>
            <w:pPr>
              <w:jc w:val="right"/>
              <w:ind w:right="331"/>
              <w:spacing w:after="0" w:line="133"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30,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$ 450,961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$ 942,733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(27,025)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$ 1,357,876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5,022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(4,334)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2"/>
        </w:trPr>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19,168</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$ 447,476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$ 961,901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(22,003)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$ 1,380,612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30,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$ 449,840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$ 853,843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(35,679)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$ 1,246,234</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(7,993)</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8,173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02"/>
        </w:trPr>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(14,976)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$ 444,384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$ 838,867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(27,506)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$ 1,237,749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$ 448,417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$ 916,683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(27,029)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$ 1,336,241</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5,026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(4,334)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Cumulative effect of change in accounting</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principle</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(4,932)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45,489</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$ 447,476</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$ 961,901</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(22,003)</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$ 1,380,612</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$ 452,142</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(18,008)</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$ 893,138</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(36,864)</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$ 1,290,672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Ltd.</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Balance as of July 31, 2020</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$ 444,384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$ 838,867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(27,506)</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$ 1,237,749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center"/>
              <w:ind w:left="420"/>
              <w:spacing w:after="0" w:line="119"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Net income (loss) attributable to G-III Apparel Group, Ltd.</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45,489</w:t>
            </w:r>
          </w:p>
        </w:tc>
        <w:tc>
          <w:tcPr>
            <w:tcW w:w="48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14,142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fixed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Non-cash operating lease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20,598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lease modifications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Asset impairments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Equity (gain)/loss in unconsolidated affiliates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Deferred financing charges and debt discount amortization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4,781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107,652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(82,835)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(9,598)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assets,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6"/>
                <w:szCs w:val="16"/>
                <w:color w:val="auto"/>
              </w:rPr>
              <w:t>Customer refund liabilities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(36,274)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(118,047)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lease liabilities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Accounts payable, accrued expenses and other liabilities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126,468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193,826</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59,805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Operating lease assets initial direct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Minority investment in e-commerce retailer</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Capital expenditures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used in investing activities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(32,526)</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Repayment of borrowings - revolving facility</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(676,019)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revolving facility</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Proceeds from borrowings - foreign facilities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borrowings - unsecured term loan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Proceeds from exercise of equity awards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Taxes paid for net share settlements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in cash and cash equivalents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158,054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351,934</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509,988</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6"/>
                <w:szCs w:val="16"/>
                <w:color w:val="auto"/>
              </w:rPr>
              <w:t>Cash payments: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19,545</w:t>
            </w:r>
          </w:p>
        </w:tc>
        <w:tc>
          <w:tcPr>
            <w:tcW w:w="48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6"/>
                <w:szCs w:val="16"/>
                <w:color w:val="auto"/>
              </w:rPr>
              <w:t>Income tax payments, net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682</w:t>
            </w:r>
          </w:p>
        </w:tc>
        <w:tc>
          <w:tcPr>
            <w:tcW w:w="48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consolidates the accounts of its wholly-owned and majority-owned subsidiaries. Fabco Holding B.V (“Fabco”) is a Dutch joint venture limited liability company that was 49% owned by the Company through November 30, 2020 and was accounted for using the equity method of accounting. Effective December 1, 2020, the Company increased its ownership interest in Fabco to 75% and Fabco is treated as a consolidated majority-owned subsidiary. KL North America B.V. (“KLNA”) is a Dutch joint venture limited liability company that is 49% owned by the Company. Karl Lagerfeld Holding B.V. (“KLH”) is a Dutch limited liability company that is 19% owned by the Company. The Company accounts for these two investments using the equity method of accounting. All material intercompany balances and transactions have been eliminated.</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six-month period ended July 31, 2021, the results of Vilebrequin, KLH, KLNA and Fabco are included for the six-month period ended June 30, 2021. The Company’s retail operations segment reports on a 52/53-week fiscal year. For fiscal 2022 and 2021, the three and six-month periods for the retail operations segment were each 13-week and 26-week periods, respectively, and ended on July 31, 2021 and August 1, 2020, respectively.</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results for the three and six months ended July 31, 2021 are not necessarily indicative of the results expected for the entire fiscal year, given the seasonal nature of the Company’s business and the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2021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Effective February 1, 2021, the Company elected to change its method of accounting for retail inventories from the lower of cost or market as determined by the retail inventory method to the lower of cost or net realizable value using the weighted average cost method. The Company believes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the Company manages its business with a focus on the actual margin realized.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determined that it was impractical to apply this change in accounting principle retrospectively due to a lack of available information. As a result, the Company applied the change prospectively as of February 1, 2021. The cumulative adjustment as of February 1, 2021 was a decrease in both inventories and retained earnings of $0.3 million. The change in accounting principle did not have a material effect on the Company’s condensed consolidated financial statements as of and for the three and six-month periods ended July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2 – Retail Restructuring</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fiscal 2021, the Company restructured its retail operations segment, including the closing of the Wilsons Leather, G.H. Bass and Calvin Klein Performance stores. Restructuring charges are recorded within selling, general and administrative expenses in the Company’s condensed consolidated statements of operations and comprehensive income. As of July 31, 2021, the Company had a remaining restructuring accrual of $46,000 related to store closing costs. The remaining store closing costs are expected to be paid during the third quarter of fiscal 2022.</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3 – Allowance for Doubtful Accounts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accounts receivable and allowance for doubtful accounts as of July 31, 2021, July 31, 2020 and January 31, 2021 were: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gross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doubtful accounts</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July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14"/>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4"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400,714</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1,775</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402,489</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(17,386)</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(17,442)</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383,328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385,047</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July 31, 2020</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284,031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3,679</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287,710</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(11,178)</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(11,208)</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272,853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276,502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January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182"/>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509,010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1,147</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510,157</w:t>
            </w:r>
          </w:p>
        </w:tc>
        <w:tc>
          <w:tcPr>
            <w:tcW w:w="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(17,429)</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(17,459)</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491,581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492,698</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280" w:space="720"/>
            <w:col w:w="5019"/>
          </w:cols>
          <w:pgMar w:left="1440" w:top="517" w:right="1440" w:bottom="1440" w:gutter="0" w:footer="0" w:header="0"/>
          <w:type w:val="continuous"/>
        </w:sect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ectPr>
          <w:pgSz w:w="11900" w:h="16838" w:orient="portrait"/>
          <w:cols w:equalWidth="0" w:num="1">
            <w:col w:w="9019"/>
          </w:cols>
          <w:pgMar w:left="1440" w:top="517" w:right="1440" w:bottom="1440" w:gutter="0" w:footer="0" w:header="0"/>
          <w:type w:val="continuous"/>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the following activity in its allowance for credit losses: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8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Retail</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July 31, 2021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(17,386)</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(16,934)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Balance as of January 31, 2021</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(17,429)</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4 – Inventories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Wholesale inventories, which comprise a significant portion of the Company’s inventory, are stated at the lower of cost (determined by the first-in, first-out method) or net realizable value. Prior to February 1, 2021, retail inventories were valued at the lower of cost or market as determined by the retail inventory method. Effective February 1, 2021, the Company elected to change its method of accounting for retail inventories to the lower of cost (determined by the weighted average method) or net realizable value. See Note 1 – Basis of Presentation for more details on the preferability and application of this change in accounting principle. Vilebrequin inventories are stated at the lower of cost (determined by the weighted average method) or net realizable value. Substantially all of the Company’s inventories consist of finished goods.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$11.2 million, $15.1 million and $22.5 million as of July 31, 2021, July 31, 2020 and January 31, 2021,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Inventory held on consignment by the Company’s customers totaled $4.7 million, $6.3 million and $3.5 million at July 31, 2021, July 31, 2020 and January 31, 2021, respectively. Consignment inventory is stored at the facilities of the Company’s customers. The Company reflects this inventory on its condensed consolidated balance sheets.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5 – Fair Value of Financial Instruments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ectPr>
          <w:pgSz w:w="11900" w:h="16838" w:orient="portrait"/>
          <w:cols w:equalWidth="0" w:num="1">
            <w:col w:w="9019"/>
          </w:cols>
          <w:pgMar w:left="1440" w:top="517" w:right="1440"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tcBorders>
              <w:bottom w:val="single" w:sz="8" w:color="auto"/>
            </w:tcBorders>
          </w:tcPr>
          <w:p>
            <w:pPr>
              <w:spacing w:after="0"/>
              <w:rPr>
                <w:sz w:val="16"/>
                <w:szCs w:val="16"/>
                <w:color w:val="auto"/>
              </w:rPr>
            </w:pPr>
          </w:p>
        </w:tc>
      </w:tr>
      <w:tr>
        <w:trPr>
          <w:trHeight w:val="119"/>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July 31,</w:t>
            </w:r>
          </w:p>
        </w:tc>
        <w:tc>
          <w:tcPr>
            <w:tcW w:w="220" w:type="dxa"/>
            <w:vAlign w:val="bottom"/>
          </w:tcPr>
          <w:p>
            <w:pPr>
              <w:spacing w:after="0"/>
              <w:rPr>
                <w:sz w:val="10"/>
                <w:szCs w:val="10"/>
                <w:color w:val="auto"/>
              </w:rPr>
            </w:pPr>
          </w:p>
        </w:tc>
        <w:tc>
          <w:tcPr>
            <w:tcW w:w="80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July 31,</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July 31,</w:t>
            </w:r>
          </w:p>
        </w:tc>
        <w:tc>
          <w:tcPr>
            <w:tcW w:w="180" w:type="dxa"/>
            <w:vAlign w:val="bottom"/>
          </w:tcPr>
          <w:p>
            <w:pPr>
              <w:spacing w:after="0"/>
              <w:rPr>
                <w:sz w:val="10"/>
                <w:szCs w:val="10"/>
                <w:color w:val="auto"/>
              </w:rPr>
            </w:pPr>
          </w:p>
        </w:tc>
        <w:tc>
          <w:tcPr>
            <w:tcW w:w="7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July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r>
      <w:tr>
        <w:trPr>
          <w:trHeight w:val="18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2020</w:t>
            </w: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r>
      <w:tr>
        <w:trPr>
          <w:trHeight w:val="155"/>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20" w:type="dxa"/>
            <w:vAlign w:val="bottom"/>
            <w:gridSpan w:val="3"/>
          </w:tcPr>
          <w:p>
            <w:pPr>
              <w:jc w:val="right"/>
              <w:ind w:right="416"/>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400,000</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300,000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104,884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101,810</w:t>
            </w: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8,930</w:t>
            </w:r>
          </w:p>
        </w:tc>
        <w:tc>
          <w:tcPr>
            <w:tcW w:w="2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6,401</w:t>
            </w:r>
          </w:p>
        </w:tc>
        <w:tc>
          <w:tcPr>
            <w:tcW w:w="88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6,401</w:t>
            </w:r>
          </w:p>
        </w:tc>
        <w:tc>
          <w:tcPr>
            <w:tcW w:w="940" w:type="dxa"/>
            <w:vAlign w:val="bottom"/>
          </w:tcPr>
          <w:p>
            <w:pPr>
              <w:jc w:val="right"/>
              <w:spacing w:after="0"/>
              <w:rPr>
                <w:sz w:val="20"/>
                <w:szCs w:val="20"/>
                <w:color w:val="auto"/>
              </w:rPr>
            </w:pPr>
            <w:r>
              <w:rPr>
                <w:rFonts w:ascii="Arial" w:cs="Arial" w:eastAsia="Arial" w:hAnsi="Arial"/>
                <w:sz w:val="18"/>
                <w:szCs w:val="18"/>
                <w:color w:val="auto"/>
              </w:rPr>
              <w:t>9,119</w:t>
            </w: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2% note in the principal amount of $125 million (the “LVMH Note”) issued to LVMH Moet Hennessy Louis Vuitton Inc. (“LVMH”) in connection with the acquisition of Donna Karan International (“DKI”) was recorded on the balance sheet at a discount of $40.0 million in accordance with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purposes of this fair value disclosure, the Company based its fair value estimate for the LVMH Note on the initial fair value as determined at the date of the acquisition of DKI and records the amortization using the effective interest method over the term of the LVMH Note.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LVMH Note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the second quarter of fiscal 2021, the Company recorded a $20 million impairment charge primarily related to operating lease assets, leasehold improvements and furniture and fixtures at certain Wilsons Leather, G.H. Bass, DKNY and Vilebrequin stores as a result of the performance at these stores.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6 – Leases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w:t>
      </w:r>
    </w:p>
    <w:p>
      <w:pPr>
        <w:sectPr>
          <w:pgSz w:w="11900" w:h="16838" w:orient="portrait"/>
          <w:cols w:equalWidth="0" w:num="1">
            <w:col w:w="9019"/>
          </w:cols>
          <w:pgMar w:left="1440" w:top="51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Company’s sole discretion. The exercise of lease termination options is generally by mutual agreement between the Company and the lessor.</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lease assets and liabilities as of July 31, 2021, July 31, 2020 and January 31, 2021 consist of the following:</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2021</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186,070</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168,071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186,070</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290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43,119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91,700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43,560</w:t>
            </w:r>
          </w:p>
        </w:tc>
      </w:tr>
      <w:tr>
        <w:trPr>
          <w:trHeight w:val="216"/>
        </w:trPr>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Noncurrent 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140,283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161,668</w:t>
            </w:r>
          </w:p>
        </w:tc>
      </w:tr>
      <w:tr>
        <w:trPr>
          <w:trHeight w:val="21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190,238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231,983</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205,228</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operating lease liabilities significantly declined during fiscal 2021 due to the restructuring of the retail operations segment, partially offset by other leasing activity. As a result of this restructuring, the Company closed its Wilsons Leather, G.H. Bass and Calvin Klein Performance stores during fiscal 2021.</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recorded lease costs of $13.5 million and $27.1 million during the three and six months ended July 31, 2021, respectively. The Company recorded lease costs of $36.0 million and $58.4 million during the three and six months ended July 31, 2020, respectively. Lease costs are recorded within selling, general and administrative expenses in the Company’s condensed consolidated statements of operations and comprehensive income. The Company recorded variable lease costs and short-term lease costs of $1.9 million and $3.3 million for the three and six months ended July 31, 2021, respectively. The Company recorded negative variable lease costs and short-term lease costs of ($4.3) million and ($0.9) million for the three and six months ended July 31, 2020, respectively. Short-term lease costs are immaterial. As of July 31, 2021, the Company has $1.0 million of deferred lease payments recorded within accounts payable on its condensed consolidated balance sheets.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July 31, 2021, the Company’s maturity of operating lease liabilities in the years ending up to January 31, 2026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53,011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39,807</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32,577</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25,970</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2026</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239,144</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48,906</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190,238</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July 31, 2021,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July 31, 2021, the weighted average remaining lease term related to operating leases is 5.5 years. The weighted average discount rate related to operating leases is 8.4%.</w:t>
      </w:r>
    </w:p>
    <w:p>
      <w:pPr>
        <w:sectPr>
          <w:pgSz w:w="11900" w:h="16838" w:orient="portrait"/>
          <w:cols w:equalWidth="0" w:num="1">
            <w:col w:w="9019"/>
          </w:cols>
          <w:pgMar w:left="1440" w:top="517"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Cash paid for amounts included in the measurement of operating lease liabilities is $29.4 million and $51.0 million during the six months ended July 31, 2021 and July 31, 2020, respectively. Right-of-use assets obtained in exchange for lease obligations were $8.6 million and $10.8 million during the six months ended July 31, 2021 and July 31, 2020,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7 – Net Income (Loss) per Common Share</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15,100 and 8,200 shares of common stock have been excluded from the diluted net income per share calculation for the three and six months ended July 31, 2021, respectively. All unvested restricted stock unit awards and stock options have been excluded from the diluted net income per share calculation for the three and six months ended July 31, 2020 as a result of the Company recording a net loss during each of those periods. All share-based payments outstanding that vest based on the achievement of performance conditions, and for which the respective performance conditions have not been achieved, have been excluded from the diluted per share calculation.</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(loss)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July 31,</w:t>
            </w:r>
          </w:p>
        </w:tc>
        <w:tc>
          <w:tcPr>
            <w:tcW w:w="40" w:type="dxa"/>
            <w:vAlign w:val="bottom"/>
          </w:tcPr>
          <w:p>
            <w:pPr>
              <w:spacing w:after="0"/>
              <w:rPr>
                <w:sz w:val="14"/>
                <w:szCs w:val="14"/>
                <w:color w:val="auto"/>
              </w:rPr>
            </w:pPr>
          </w:p>
        </w:tc>
        <w:tc>
          <w:tcPr>
            <w:tcW w:w="1960" w:type="dxa"/>
            <w:vAlign w:val="bottom"/>
            <w:gridSpan w:val="8"/>
          </w:tcPr>
          <w:p>
            <w:pPr>
              <w:ind w:left="14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20" w:type="dxa"/>
            <w:vAlign w:val="bottom"/>
            <w:gridSpan w:val="14"/>
          </w:tcPr>
          <w:p>
            <w:pPr>
              <w:jc w:val="right"/>
              <w:ind w:right="511"/>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Net income (loss) attributable to G-III Apparel Group, Ltd.</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w:t>
            </w:r>
          </w:p>
        </w:tc>
        <w:tc>
          <w:tcPr>
            <w:tcW w:w="2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48,476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48,427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Basic net income (loss) per share</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0.40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Diluted net income (loss) per share: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4"/>
          </w:tcPr>
          <w:p>
            <w:pPr>
              <w:ind w:left="100"/>
              <w:spacing w:after="0"/>
              <w:rPr>
                <w:sz w:val="20"/>
                <w:szCs w:val="20"/>
                <w:color w:val="auto"/>
              </w:rPr>
            </w:pPr>
            <w:r>
              <w:rPr>
                <w:rFonts w:ascii="Arial" w:cs="Arial" w:eastAsia="Arial" w:hAnsi="Arial"/>
                <w:sz w:val="18"/>
                <w:szCs w:val="18"/>
                <w:color w:val="auto"/>
                <w:w w:val="97"/>
              </w:rPr>
              <w:t>Dilutive restricted stock unit awards and stock options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Diluted common shares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Diluted net income (loss) per share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Note 8 – Notes Payable</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July 31, 2021</w:t>
            </w:r>
          </w:p>
        </w:tc>
        <w:tc>
          <w:tcPr>
            <w:tcW w:w="18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July 31, 2020</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5"/>
          </w:tcPr>
          <w:p>
            <w:pPr>
              <w:ind w:left="200"/>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Notes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66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LVMH Note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loans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Overdraft facilities</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3,530</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434,931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(6,095)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discount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(20,116)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(5,624)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(3,717)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405,003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80" w:right="79"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$6.4 million, $3.3 million and $7.2 million as of July 31, 2021, July 31, 2020 and January 31, 2021, respectively, related to the revolving credit facility. These debt issuance costs have been deferred and are classified in assets in the accompanying condensed consolidated balance sheets in accordance with ASC 835.</w:t>
      </w:r>
    </w:p>
    <w:p>
      <w:pPr>
        <w:sectPr>
          <w:pgSz w:w="11900" w:h="16838" w:orient="portrait"/>
          <w:cols w:equalWidth="0" w:num="1">
            <w:col w:w="9019"/>
          </w:cols>
          <w:pgMar w:left="1440" w:top="51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$300 million that was outstanding under the Company’s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failure to perfect certain collateral securing the Notes failure to pay certain final judgments, and certain events of bankruptcy or insolvency.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the Company had unamortized debt issuance costs of $6.1 million associated with the Term Loan. Upon repayment of the Term Loan, these debt issuance costs were fully extinguished and charged to interest expense in the Company’s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7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2021, the Company was in compliance with these covenants.</w:t>
      </w:r>
    </w:p>
    <w:p>
      <w:pPr>
        <w:spacing w:after="0" w:line="16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of July 31, 2021, the Company had no borrowings outstanding under the ABL Credit Agreement. The ABL credit agreement also includes amounts available for letters of credit. As of July 31, 2021, there were outstanding trade and standby letters of credit amounting to $9.2 million and $4.0 million,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the ABL Credit Agreement. As permitted under ASC 835, the debt issuance costs have been deferred and are presented as an asset which is to be subsequently amortized ratably over the term of the ABL Credit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under these loans. Interest on the outstanding principal amount of the unsecured loans accrues at a fixed rate equal to 0% to 2.0% per annum, payable on either a quarterly or monthly basis. As of July 31, 2021, TRB had an aggregate outstanding balance of €7.5 million under these unsecured loans.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July 31, 2021, TRB had an aggregate of €3.8 million drawn under these facilities.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9 –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G.H. Bass, Andrew Marc and Vilebrequin</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trademarks owned by the Company. As of July 31, 2021, revenues from license agreements represented an insignificant portion of wholesale revenues.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digital channels for the DKNY, Donna Karan, G.H. Bass, Karl Lagerfeld Paris, Andrew Marc and Wilsons Leather businesses. Prior to completion of the restructuring in fiscal 2021, retail stores primarily consisted of Wilsons Leather, G.H. Bass, DKNY and Karl Lagerfeld Paris retail stores, substantially all of which are operated as outlet stores. The Company’s Wilsons Leather, G.H. Bass and Calvin Klein Performance stores were closed in fiscal 2021 as a result of the restructuring.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$4.3 million, $5.1 million and $5.9 million at July 31, 2021, July 31, 2020 and January 31, 2021, respectively. The Company recognized $2.9 million in revenue for the three months ended July 31, 2021 related to contract liabilities that existed at April 30, 2021. The Company recognized $3.8 million in revenue for the six months ended July 31, 2021 related to contract liabilities that existed at January 31, 2021. There were no contract assets recorded as of July 31, 2021, July 31, 2020 and January 31, 2021. Substantially all of the advance payments from licensees as of July 31, 2021 are expected to be recognized as revenue within the next twelve months.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10 – Segments</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which, prior to the completion of the retail restructuring in fiscal 2021, consisted primarily of Wilsons Leather, G.H. Bass, DKNY and Karl Lagerfeld Paris stores, substantially all of which were operated as outlet stores. Sales through Company-owned channels, with the exception of Vilebrequin, are also included in the retail operations segment. As a result of the restructuring of the Company’s retail operations, the Company closed its Wilsons Leather, G.H. Bass and Calvin Klein Performance retail stores during fiscal 2021. After completion of the restructuring, the Company’s retail operations segment consists of DKNY and Karl Lagerfeld Paris stores, as well as the digital channels for DKNY, Donna Karan, Karl Lagerfeld Paris, G.H. Bass, Andrew Marc and Wilsons Leather.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three-month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Three Months Ended July 31, 2021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Wholesale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(11,217)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483,081</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288,306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13,114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(11,217)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290,203</w:t>
            </w: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178,707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192,878</w:t>
            </w: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129,291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17,549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146,840</w:t>
            </w: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38,940</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July 31, 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266,809</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34,507</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34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297,212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(4,104)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162,519</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76,727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122,102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lease modifications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(49,140)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(11,402)</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Six Months Ended July 31, 2021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978,527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46,704</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(22,240)</w:t>
            </w:r>
          </w:p>
        </w:tc>
        <w:tc>
          <w:tcPr>
            <w:tcW w:w="34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1,002,991</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614,127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(22,240)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614,644</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388,347</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254,625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288,443</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Asset impairments, net of 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Six Months Ended July 31, 2020</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left="45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645,681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68,415</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(11,753)</w:t>
            </w:r>
          </w:p>
        </w:tc>
        <w:tc>
          <w:tcPr>
            <w:tcW w:w="34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702,343</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409,981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(11,753)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443,249</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259,094</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189,327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276,722</w:t>
            </w:r>
          </w:p>
        </w:tc>
        <w:tc>
          <w:tcPr>
            <w:tcW w:w="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2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Gain on lease modifications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17,489</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1" w:lineRule="exact"/>
        <w:rPr>
          <w:sz w:val="20"/>
          <w:szCs w:val="20"/>
          <w:color w:val="auto"/>
        </w:rPr>
      </w:pPr>
    </w:p>
    <w:p>
      <w:pPr>
        <w:ind w:left="320" w:hanging="270"/>
        <w:spacing w:after="0"/>
        <w:tabs>
          <w:tab w:leader="none" w:pos="320" w:val="left"/>
        </w:tabs>
        <w:numPr>
          <w:ilvl w:val="0"/>
          <w:numId w:val="6"/>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11 – Stockholders’ Equity</w:t>
      </w:r>
    </w:p>
    <w:p>
      <w:pPr>
        <w:spacing w:after="0" w:line="15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the three months ended July 31, 2021, the Company issued no shares of common stock and utilized 189,313 shares of treasury stock in connection with the vesting of equity awards. For the three months ended July 31, 2020, the Company issued no shares of common stock and utilized 307,147 shares of treasury stock in connection with the vesting of equity awards. For the six months ended July 31, 2021, the Company issued no shares of common stock and utilized 189,471 shares of treasury stock in connection with the vesting of equity awards. For the six months ended July 31, 2020, the Company issued no shares of common stock and utilized 349,342 shares of treasury stock in connection with the vesting of equity awards.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12 – Income Taxes</w:t>
      </w:r>
    </w:p>
    <w:p>
      <w:pPr>
        <w:spacing w:after="0" w:line="15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For the three months ended July 31, 2021 and July 31, 2020, the Company recorded a $9.2 million income tax expense and a $3.7 million income tax benefit, respectively. For the six months ended July 31, 2021 and July 31, 2020, the Company recorded a $19.5 million income tax expense and a $20.1 million income tax benefit, respectively. Historically, the Company calculated its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the Company’s operations, the Company used a discrete effective tax rate method to calculate taxes for the six-month period ended July 31, 2020. For the six-month period ended July 31, 2021, the Company returned to the historical practice of applying an estimated annual effective tax rate based on full fiscal year income to pre-tax income for the reporting period.</w:t>
      </w:r>
    </w:p>
    <w:p>
      <w:pPr>
        <w:sectPr>
          <w:pgSz w:w="11900" w:h="16838" w:orient="portrait"/>
          <w:cols w:equalWidth="0" w:num="1">
            <w:col w:w="9019"/>
          </w:cols>
          <w:pgMar w:left="1440" w:top="517" w:right="1440"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13 – Canadian Customs Duty Examination</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2" w:lineRule="exact"/>
        <w:rPr>
          <w:sz w:val="20"/>
          <w:szCs w:val="20"/>
          <w:color w:val="auto"/>
        </w:rPr>
      </w:pPr>
    </w:p>
    <w:p>
      <w:pPr>
        <w:ind w:left="60" w:right="79" w:hanging="10"/>
        <w:spacing w:after="0" w:line="260" w:lineRule="auto"/>
        <w:tabs>
          <w:tab w:leader="none" w:pos="292"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Canada to the vendor. The CBSA has also requested that G-III Canada change the valuation method used to pay duties with respect to goods imported in the future.</w:t>
      </w:r>
    </w:p>
    <w:p>
      <w:pPr>
        <w:spacing w:after="0" w:line="18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and six months ended July 31, 2021, related to the higher dutiable values, however, the Company paid interest in the amount of CAD$1.0 million (US$0.8 million) on the additional duties for the period January 15, 2018 through November 25, 2020, the date of the CBSA’s final decision as discussed below. Cumulative amounts paid and deferred through July 31, 2021, related to the higher dutiable values, were CAD$14.4 million (US$11.6 million).</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CBSA has issued its final decision denying the appeal filed by G-III Canada with the President’s Office of the CBSA. G-III Canada has filed a Notice of Appeal with the Canadian International Trade Tribunal (the “Tribunal”) further appealing the CBSA decision. The Tribunal has confirmed receipt of the Notice of Appeal. G-III Canada filed its case brief and evidence on April 13, 2021. The CBSA filed its brief on June 14, 2021. The hearing date, originally scheduled for August 10, 2021, was rescheduled for September 1, 2021 but has been postponed by the Tribunal. A new hearing date has not yet been set.</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valuations for duty as declared and therefore its ability to receive a refund of amounts claimed to be owed to the CBSA on appeal and intends to vigorously contest the findings of the CBSA.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14 – Recent Adopted and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accounting guidance adopted during the three months ended July 31,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condensed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Unless the context otherwise requires, “G-III,” “us,” “we” and “our” refer to G-III Apparel Group, Ltd. and its subsidiaries. References to fiscal years refer to the year ended or ending on January 31 of that year. For example, our fiscal year ending January 31, 2022 is referred to as “fiscal 2022.”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six-month period ended July 31, 2021, the results of Vilebrequin, KLH, KLNA and Fabco are included for the six-month period ended June 30, 2021. We account for our investment in each of KLH and KLNA using the equity method of accounting. The Company’s retail operations segment uses a 52/53-week fiscal year. For fiscal 2022 and 2021, the three and six-month period for the retail operations segment were each 13-week and 26-week periods, respectively, and ended on July 31, 2021 and August 1, 2020, respectively.</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jc w:val="both"/>
        <w:ind w:left="720" w:right="79" w:hanging="319"/>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2" w:lineRule="exact"/>
        <w:rPr>
          <w:rFonts w:ascii="Arial" w:cs="Arial" w:eastAsia="Arial" w:hAnsi="Arial"/>
          <w:sz w:val="18"/>
          <w:szCs w:val="18"/>
          <w:color w:val="auto"/>
        </w:rPr>
      </w:pPr>
    </w:p>
    <w:p>
      <w:pPr>
        <w:ind w:left="720" w:right="45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adverse change in our relationship with PVH and its Calvin Klein or Tommy Hilfiger brands would have a material adverse effect on our results of operations;</w:t>
      </w:r>
    </w:p>
    <w:p>
      <w:pPr>
        <w:ind w:left="720" w:right="139" w:hanging="319"/>
        <w:spacing w:after="0" w:line="28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relating to our wholesale operations including, among others, maintaining the image our proprietary brands, business practices of our customers that could adversely affect us and retail customer concentration;</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achieve operating enhancements and cost reductions from the restructuring of our retail operations;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operating through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nature of our business and effect of unseasonable or extreme weather on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adverse effect of problems with our logistics and distribution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that our licensees may not generate expected sales or maintain the value of our brands;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the current economic and credit environment on us, our customers, suppliers and vendors;</w:t>
      </w:r>
    </w:p>
    <w:p>
      <w:pPr>
        <w:spacing w:after="0" w:line="20" w:lineRule="exact"/>
        <w:rPr>
          <w:rFonts w:ascii="Arial" w:cs="Arial" w:eastAsia="Arial" w:hAnsi="Arial"/>
          <w:sz w:val="17"/>
          <w:szCs w:val="17"/>
          <w:color w:val="auto"/>
        </w:rPr>
      </w:pPr>
    </w:p>
    <w:p>
      <w:pPr>
        <w:ind w:left="720" w:right="2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of expansion into foreign markets, conducting business internationally and exposures to foreign currencies;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adoption of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5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exposure to consumer privacy, cybersecurity and fraud concerns, including as a result of the remote working environment;</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adverse effects of data security or privacy breaches;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audit by the Canadian Border Services Agency;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legislation or exposure to additional tax liabilities could impact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corporate responsibility issues by stakeholders;</w:t>
      </w:r>
    </w:p>
    <w:p>
      <w:pPr>
        <w:spacing w:after="0" w:line="9" w:lineRule="exact"/>
        <w:rPr>
          <w:rFonts w:ascii="Arial" w:cs="Arial" w:eastAsia="Arial" w:hAnsi="Arial"/>
          <w:sz w:val="18"/>
          <w:szCs w:val="18"/>
          <w:color w:val="auto"/>
        </w:rPr>
      </w:pPr>
    </w:p>
    <w:p>
      <w:pPr>
        <w:ind w:left="720" w:right="23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2021. We undertake no obligation to publicly update or revise any forward-looking statements, whether as a result of new information, future events or otherwise, except as required by law.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own proprietary brands include DKNY, Donna Karan, Vilebrequin, G.H. Bass, Eliza J, Jessica Howard, Andrew Marc, Marc New York and Wilsons Leather.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products are sold through a cross section of leading retailers such as Macy’s, Dillard’s, Hudson’s Bay Company, including their Saks Fifth Avenue division, Nordstrom, Kohl’s, TJX Companies, Ross Stores and Burlington. We also sell our products using digital channels through retail partners such as macys.com, nordstrom.com and dillards.com, each of which has a substantial online business. In addition, we sell to pure play online retail partners such as Amazon and Fanatics.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also distribute apparel and other products directly to consumers through our own DKNY and Karl Lagerfeld Paris retail stores, as well as through our digital channels for the DKNY, Donna Karan, Karl Lagerfeld Paris, G.H. Bass, Andrew Marc and Wilsons Leather businesses. In fiscal 2021, we restructured our retail operations and completed the closing of our Wilsons Leather, G.H. Bass and Calvin Klein Performance stores. We believe this restructuring will enable us to reduce our losses in our retail operations segment and re-position our retail operations with a goal of becoming a profitable contributor to our business.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w:t>
      </w:r>
    </w:p>
    <w:p>
      <w:pPr>
        <w:sectPr>
          <w:pgSz w:w="11900" w:h="16838" w:orient="portrait"/>
          <w:cols w:equalWidth="0" w:num="1">
            <w:col w:w="9019"/>
          </w:cols>
          <w:pgMar w:left="1440" w:top="517"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products that are accepted in the marketplace, source the manufacture of our products on a competitive basis, and continue to diversify our product portfolio and the markets we serve.</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two of which we own and three of which we license. It is our objective to continue to expand our product offerings and we are continually discussing new licensing opportunities with brand owners and seeking to acquire established brands.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Effective February 1, 2021, we elected to change our method of accounting for retail inventories from the lower of cost or market as determined by the retail inventory method to the lower of cost or net realizable value using the weighted average cost method. We believe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we manage our business with a focus on the actual margin realized.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determined that it was impractical to apply this change in accounting principle retrospectively due to a lack of available information. As a result, we applied the change prospectively as of February 1, 2021. The cumulative adjustment as of February 1, 2021 was a decrease in both inventories and retained earnings of $0.3 million. The change in accounting principle did not have a material effect on our condensed consolidated financial statements as of and for the three and six-month periods ended July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retail operations segment consists primarily of direct sales to consumers through our company-operated stores and through digital channels. In fiscal 2021, we restructured our retail operations, including the closure of our Wilsons Leather, G.H. Bass and Calvin Klein Performance stores. After completion of the restructuring, our retail operations segment consists of our DKNY and Karl Lagerfeld Paris stores, as well as the digital channels for DKNY, Donna Karan, Karl Lagerfeld Paris, G.H. Bass, Andrew Marc and Wilsons Leather.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COVID-19 pandemic has affected businesses around the world since the first quarter of fiscal 2021. Federal, state and local governments in the United States and around the world, as well as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COVID-19 pandemic continues to impact the global economy. In the first half of fiscal 2022, consumer demand increased year-over-year. Even as businesses have reopened as governmental restrictions were loosened with respect to stay at home orders and various restrictions on the operation of retail businesses, the ultimate economic impact of the COVID-19 pandemic is uncertain. The spread of the Delta variant could result in the reimposition of restrictions on commercial and social activities that would adversely impact our business. While we expect significant improvements in</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results of operations for fiscal 2022 as compared to fiscal 2021, we expect that our business operations and results of operations, including our net sales, earnings and cash flows, will continue to be adversely impacted in fiscal 2022 as a result of the COVID-19 pandemic.</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continued impact of COVID-19 remains uncertain and cannot be predicted. The extent to which COVID-19 impacts our results will depend on continued developments in the public and private responses to the pandemic and the success and efficacy of efforts in the United States and around the world to vaccinate people against COVID-19. New information may emerge concerning the severity of the outbreak and the spread of variants, including the Delta variant, of the COVID-19 virus in locations that are important to our business. Actions taken to contain COVID-19 or treat its impact may change or become more restrictive if additional waves of infections occur.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sell our products online through retail partners such as macys.com, nordstrom.com and dillards.com, each of which has a substantial online business. As digital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digital business consists of our own web platforms at www.dkny.com, www.donnakaran.com, www.ghbass.com, www.vilebrequin.com, www.andrewmarc.com and www.wilsonsleather.com. We also sell Karl Lagerfeld Paris products on our website, www.karllagerfeldparis.com. In addition, we sell to pure play online retail partners such as Amazon and Fanatics and have made a minority investment in an e-commerce retailer.</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number of retailers are experiencing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Consumers have shifted their apparel purchases based on their adjusted lifestyle needs resulting from changes to the work environment and leisure activities caused by the COVID-19 pandemic. We revised our product offerings in response to this shift toward casual and comfortable work-from-home clothing, as well as to activewear and leisure attire. We continue to revise our product lines to satisfy the needs of our retail customers and consumers. We are seeing significant acceleration in demand for day and occasion dresses, as well as career wear such as suit separates. We are working diligently to satisfy this demand from our retail partners and consumers.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Supply Chain</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effects of the COVID-19 pandemic on the shipping industry have adversely affected our ability to ensure that we are able to import our product in a manner that allows for timely delivery to our customers. Demand for container space has increased, as availability of container space had been reduced. This has caused contractual shipping rates to increase. Our shipping costs have also increased as we purchased needed container space on the secondary market at higher spot rates. If we are unable to secure container space on a vessel due to the limited availability, we may experience delays in shipping product from our overseas suppliers to our customers. Ports around the world are experiencing congestion, slowing transit times of product through ports of entry which affects our ability to timely receive and deliver product to our customers. Our longstanding relationships with our steamship carriers have facilitated our ability to secure space on vessels as demand for apparel increases, although at rates that are significantly higher than in the past. We believe that the strength of our portfolio of global power brands will allow us to selectively raise prices to largely offset higher freight costs.</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supply chain challenges increased during our second fiscal quarter and, as a result, the receipt of a significant amount of orders has been delayed until our third fiscal quarter. We have not as yet experienced order cancellations as a result of these delays as there is significant demand for our products from our customers. We anticipant the current supply chain conditions will continue to cause our freight costs to increase and delays in receipts during the second half of our fiscal 2022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July 31, 2021 compared to three months ended July 31, 2020</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sales for the three months ended July 31, 2021 increased to $483.1 million from $297.2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Net sales of our wholesale operations segment increased to $467.0 million for the three months ended July 31, 2021 from $266.8 million in the comparable period last year. This increase is primarily the result of a $62.2 million increase in net sales of Calvin Klein licensed products, a $43.8 million increase in net sales of our DKNY and Donna Karan products, a $20.5 million increase in net sales of Karl Lagerfeld Paris licensed products and a $15.4 million increase in net sales of Tommy Hilfiger licensed products. In the prior year period,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Most of our retail partners began to reopen a majority of their stores in North America beginning in June 2020, however, a majority of these stores continued to operate under government mandated restrictions. The governmental restrictions imposed in connection with the COVID-19 pandemic resulted in significant increases in unemployment, a reduction in business activity and a reduction in consumer spending on apparel and accessories, all of which contributed to the reduction of our net sales which occurred during the majority of fiscal 2021. During the three months ended July 31, 2021, substantially all stores operated by our retail partners were open and governmental restrictions were eased in most regions of the United States due to the reduction of the severity of the COVID-19 pandemic. The lessening of COVID-19 restrictions has resulted in an increase in business activity which has contributed to an increase in consumer spending on apparel and accessories. Governmental restrictions could be reimposed as a result of the spread of the Delta variant of COVID-19.</w:t>
      </w:r>
    </w:p>
    <w:p>
      <w:pPr>
        <w:spacing w:after="0" w:line="17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Net sales of our retail operations segment decreased to $27.3 million for the three months ended July 31, 2021 from $34.5 million in the same period last year. This decrease is primarily due to the significant reduction in our store count as a result of the restructuring of our retail operations segment that resulted in the closure of our Wilsons, G.H. Bass and Calvin Klein Performance stores during fiscal 2021. The number of retail stores operated by us decreased from 247 at July 31, 2020 to 50 at July 31, 2021. Wilsons and G.H. Bass stores, which were closed by the end of fiscal 2021, contributed $19.7 million of net sales for the three months ended July 31, 2020. Net sales from the remainder of our retail operations segment increased by $12.5 million during the three months ended July 31, 2021 compared to the same period last year.</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 was $192.9 million, or 39.9% of net sales, for the three months ended July 31, 2021, compared to $134.7 million, or 45.3% of net sales, in the same period last year. The gross profit percentage in our wholesale operations segment was 38.3% in the three months ended July 31, 2021 compared to 46.3% in the same period last year. In the prior year, the</w:t>
      </w:r>
    </w:p>
    <w:p>
      <w:pPr>
        <w:sectPr>
          <w:pgSz w:w="11900" w:h="16838" w:orient="portrait"/>
          <w:cols w:equalWidth="0" w:num="1">
            <w:col w:w="9019"/>
          </w:cols>
          <w:pgMar w:left="1440" w:top="51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gross profit percentage in our wholesale operations segment was positively impacted by the reversal of previously anticipated markdown accruals that were no longer necessary due to the reduction in sales to our retail customers, as well as a reversal of a portion of previously accrued royalty expense associated with royalty reductions that were provided by licensors. The gross profit percentage in our retail operations segment was 51.9% for the three months ended July 31, 2021 compared to 32.5% for the same period last year. The gross profit percentage in our retail operations segment was negatively impacted last year by the reduction of our net sales caused by COVID-19 related closures of our retail stores, increased promotional activity due to the COVID-19 pandemic and the restructuring of our retail operations segment which resulted in the liquidation of inventory. Our wholesale and retail operating segments had gross profit percentages of 32.8% and 46.5%, respectively, for the three months ended July 31, 2019. Both operating segments experienced increased gross profit percentages compared to the pre-pandemic quarter ended July 31, 2019 due to less promotional activity and strategic price increases in the current period, partially offset by increased freight costs.</w:t>
      </w:r>
    </w:p>
    <w:p>
      <w:pPr>
        <w:spacing w:after="0" w:line="17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Selling, general and administrative expenses increased to $146.8 million in the three months ended July 31, 2021 from $122.1 million in the same period last year. The increase in expenses was primarily due to an increase of $29.7 million in compensation expense, primarily from bonus accruals and salaries. As a result of the COVID-19 pandemic, the prior year’s period had no bonus accrual and salary expense declined as a result of employee furloughs, job eliminations and salary reductions. The increase in expenses was also due to a $7.7 million increase in contractual advertising and a $6.2 million increase in third-party warehouse expenses both related to increased sales. These increases were partially offset by a $17.0 million decrease in facility expenses and a $2.7 million decrease in professional fees primarily related to the retail restructuring that occurred in the prior year period.</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Depreciation and amortization was $7.1 million for the three months ended July 31, 2021 compared to $9.7 million in the same period last year. This decrease primarily relates to a reduction in capital expenditures during the COVID-19 pandemic.</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Other income was $2.0 million in the three months ended July 31, 2021 compared to $1.9 million for the same period last year. We recorded $0.4 million of foreign currency losses during the three months ended July 31, 2021 compared to foreign currency income of $1.5 million during the same period last year and $1.8 million in income from unconsolidated affiliates during the three months ended July 31, 2021 compared to $0.4 million in income from unconsolidated affiliates in the same period last year. In addition, we recorded other income of $0.6 million from non-refundable European government-backed grants received by Vilebrequin for COVID-19 relief.</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Interest and financing charges, net, for the three months ended July 31, 2021 were $12.6 million compared to $9.2 million for the same period last year. The increase is primarily due to the senior secured notes outstanding in the current quarter having a higher principal balance and interest rate than the term loan that was outstanding in the prior year period.</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Income tax expense was $9.2 million for the three months ended July 31, 2021 compared to an income tax benefit of $3.7 million for the same period last year. Our effective tax rate increased to 32.6% in the current year’s quarter from 19.6% in last year’s comparable quarter. The prior year’s rate was positively impacted by the carryback of net operating losses for U.S. federal income tax purposes to a taxable year with a 35% federal tax rate compared to the current federal tax rate of 21%. In addition, due to the uncertainty related to the impact of the COVID-19 pandemic on our operations, we used a discrete effective tax rate method to calculate taxes last year. We returned to our historical practice of using an annual effective tax rate based on full fiscal year income in the current year.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July 31, 2021 compared to six months ended July 31,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sales for the six months ended July 31, 2021 increased to $1.0 billion from $702.3 million in the same period last year.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sales of our segments are reported before intercompany eliminations.</w:t>
      </w:r>
    </w:p>
    <w:p>
      <w:pPr>
        <w:spacing w:after="0" w:line="21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sales of our wholesale operations segment increased to $978.5 million for the six months ended July 31, 2021 from $645.7 million in the comparable period last year. This increase is primarily the result of a $109.8 million increase in net sales of Calvin Klein licensed products, a $86.5 million increase in net sales of our DKNY and Donna Karan products, a $43.1 million increase in net sales of Tommy Hilfiger licensed products and a $26.3 million increase in net sales of Karl Lagerfeld Paris licensed products. In the prior year period, we experienced a significant decrease in net sales across substantially all of our brands primarily due to the effects of restrictions that began in March 2020 on business and personal</w:t>
      </w:r>
    </w:p>
    <w:p>
      <w:pPr>
        <w:sectPr>
          <w:pgSz w:w="11900" w:h="16838" w:orient="portrait"/>
          <w:cols w:equalWidth="0" w:num="1">
            <w:col w:w="9019"/>
          </w:cols>
          <w:pgMar w:left="1440" w:top="51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activities imposed by governments in connection with the COVID-19 pandemic. As a result, most of our retail partners closed their stores in North America, beginning in mid-March, 2020. Most of our retail partners began to reopen a majority of their stores in North America beginning in June 2020 with a majority of these stores operating under government mandated limitations. The governmental restrictions imposed in connection with the COVID-19 pandemic resulted in significant increases in unemployment, a reduction in business activity and a reduction in consumer spending on apparel and accessories, all of which contributed to the reduction of our net sales which occurred during the majority of fiscal 2021. During the six months ended July 31, 2021, substantially all stores operated by our retail partners were open and governmental restrictions were eased in most regions of the United States due to the reduction of the severity of the COVID-19 pandemic. The lessening of COVID-19 restrictions has resulted in an increase in business activity which has contributed to an increase in consumer spending on apparel and accessories. Governmental restrictions could be reimposed as a result of the spread of the Delta variant of COVID-19.</w:t>
      </w:r>
    </w:p>
    <w:p>
      <w:pPr>
        <w:spacing w:after="0" w:line="18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Net sales of our retail operations segment decreased to $46.7 million for the six months ended July 31, 2021 from $68.4 million in the same period last year. This decrease is primarily due to the significant reduction in our store count as a result of the restructuring of our retail operations segment that resulted in the closure of our Wilsons, G.H. Bass and Calvin Klein Performance stores during fiscal 2021. The number of retail stores operated by us decreased from 247 at July 31, 2020 to 50 at July 31, 2021. Wilsons and G.H. Bass stores, which were closed by the end of fiscal 2021, contributed $39.0 million of net sales for the six months ended July 31, 2020. Net sales from the remainder of our retail operations segment increased by $17.3 million during the six months ended July 31, 2021 compared to the same period last year.</w:t>
      </w:r>
    </w:p>
    <w:p>
      <w:pPr>
        <w:spacing w:after="0" w:line="16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Gross profit was $388.3 million, or 38.7% of net sales, for the six months ended July 31, 2021, compared to $259.1 million, or 36.9% of net sales, in the same period last year. The gross profit percentage in our wholesale operations segment was 37.2% in the six months ended July 31, 2021 compared to 36.5% in the same period last year. The gross profit in the current year period was positively impacted by less promotional activity and strategic price increases, partially offset by increased freight costs. The gross profit percentage in our retail operations segment was 51.3% for the six months ended July 31, 2021 compared to 34.2% for the same period last year. The gross profit percentage in our retail operations segment was negatively impacted last year by the reduction of our net sales caused by COVID-19 related closures of our retail stores, increased promotional activity due to the COVID-19 pandemic and the restructuring of our retail operations segment which resulted in the liquidation of inventory. Our wholesale and retail operating segments had gross profit percentages of 33.8% and 45.8%, respectively, for the six months ended July 31, 2019. Both operating segments experienced increased gross profit precentages compared to the pre-pandemic period ended July 31, 2019 due to less promotional activity and strategic price increases in the current period, partially offset by increased freight costs.</w:t>
      </w:r>
    </w:p>
    <w:p>
      <w:pPr>
        <w:spacing w:after="0" w:line="16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Selling, general and administrative expenses increased to $288.4 million in the six months ended July 31, 2021 from $276.7 million in the same period last year. The increase in expenses was primarily due to an increase of $36.9 million in compensation expense, primarily from bonus accruals. As a result of the COVID-19 pandemic, the prior year’s period had a nominal bonus accrual. The increase in expenses was also due to a $11.4 million increase in contractual advertising and a $7.6 million increase in third-party warehouse expenses related to increased sales. These increases were partially offset by a $29.5 million decrease in facility expenses and a $3.9 million decrease in professional fees primarily related to the retail restructuring that occurred in the prior year period. In addition, there was a $10.3 million decrease in bad debt expense primarily related to allowances recorded against the outstanding receivables of certain department store customers in the prior year period.</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Depreciation and amortization was $14.1 million for the six months ended July 31, 2021 compared to $19.6 million in the same period last year. This decrease primarily relates to a reduction in capital expenditures during the COVID-19 pandemic.</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Other income was $3.8 million in the six months ended July 31, 2021 compared to an other loss of $0.1 million for the same period last year. This change is primarily due to other income of $2.1 million from non-refundable European government-backed grants received by Vilebrequin for COVID-19 relief. In addition, this change is also the result of recording $0.6 million of foreign currency losses during the six months ended July 31, 2021 compared to foreign currency income of $0.1 million during the six months ended July 31, 2020 and $2.3 million in income from unconsolidated affiliates during the six months ended July 31, 2021 compared to $0.2 million of loss from unconsolidated affiliates in the same period last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Interest and financing charges, net, for the six months ended July 31, 2021 were $24.6 million compared to $19.6 million for the same period last year. The increase is primarily due to the senior secured notes outstanding in the current quarter having a higher principal balance and interest rate than the term loan that was outstanding in the prior year period.</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Income tax expense was $19.5 million for the six months ended July 31, 2021 compared to an income tax benefit of $20.1 million for the same period last year. Our effective tax rate increased to 30.0% in the current year’s period from 27.0% in last year’s comparable period. This is primarily due to the carryback of net operating losses for U.S. federal income tax purposes to a taxable year with a 35% federal tax rate compared to the current year federal tax rate of 21%. In addition, due to the uncertainty related to the impact of the COVID-19 pandemic on our operations, we used a discrete effective tax rate method to calculate taxes last year. We returned to our historical practice of using an annual effective tax rate based on full fiscal year income in the current year.</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Availability</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w:t>
      </w:r>
    </w:p>
    <w:p>
      <w:pPr>
        <w:spacing w:after="0" w:line="17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of July 31, 2021, we had cash and cash equivalents of $510.0 million and availability under our revolving credit facility of approximately $400 million. As of July 31, 2021, we were in compliance with all covenants under our debt agreements.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the $300 million that was outstanding under our prior term loan facility due 2022 (the “Term Loan”), (ii) to pay related fees and expenses and (iii) for general corporate purposes.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Notes bear interest at a rate of 7.875% per year payable semi-annually in arrears on February 15 and August 15 of each year, commencing on February 15, 2021.</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connection with the issuance of the Notes and execution of the Indenture, we and the Guarantors entered into a pledge and security agreement (the “Pledge and Security Agreement”), among us, the Guarantors and the Collateral Agent.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At any time prior to August 15, 2022, we may redeem some or all of the Notes at a price equal to 100% of the principal amount of the Notes redeemed plus accrued and unpaid interest, if any, to, but excluding, the applicable redemption date</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6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we had unamortized debt issuance costs of $6.1 million associated with the Term Loan. Upon repayment of the Term Loan, these debt issuance costs were fully extinguished and charged to interest expense in our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Second Amended and Restated ABL Credit Agreement</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July 31, 2021, the Company was in compliance with these covenants.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July 31, 2021, we had no borrowings outstanding under the ABL Credit Agreement. The ABL Credit Agreement also includes amounts available for letters of credit. As of July 31, 2021, there were outstanding trade and standby letters of credit amounting to $9.2 million and $4.0 million, respectively.</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to be subsequently amortized ratably over the term of the ABL Credit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In the aggregate, TRB is currently required to make quarterly installment payments of €0.2 million. Interest on the outstanding principal amount of the unsecured loans accrues at a fixed rate equal to 0% to 2.0% per annum, payable on either a quarterly or monthly basis. As of July 31, 2021, TRB had an aggregate outstanding balance of €7.5 million under these unsecured loans.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Overdraft Facilities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July 31, 2021, TRB had an aggregate €3.8 million drawn under these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had no borrowings outstanding under our revolving credit facility at July 31, 2021 and 2020. We had $400 million in borrowings outstanding under the Notes at July 31, 2021. The Notes repaid the $300 million in borrowings under the Term Loan Credit Agreement that were outstanding at July 31, 2020. Our contingent liability under open letters of credit was approximately $13.2 million and $10.4 million at July 31, 2021 and 2020, respectively. In addition to the amounts outstanding under these two loan agreements, at July 31, 2021 and 2020, we had $125 million of face value principal amount outstanding under the LVMH Note. As of July 31, 2021 and 2020, we had an aggregate of €7.5 million ($8.9 million) and €5.7 million ($6.4 million) outstanding under Vilebrequin’s unsecured loans. As of July 31, 2021 and 2020, we also had €3.8 million ($4.5 million) and €3.1 million ($3.5 million) outstanding under Vilebrequin’s overdraft facilities.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cash and cash equivalents of $510.0 million at July 31, 2021 and $252.8 million at July 31,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Board of Directors authorized a share repurchase program in the aggregate amount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July 31, 2021. As of August 31, 2021, we had 2,949,362 authorized shares remaining under this program and 48,566,107 shares of common stock outstanding.</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generated $193.8 million in cash from operating activities during six months ended July 31, 2021, primarily as a result of our net income of $45.5 million and non-cash charges in the aggregate amount of $43.2 million relating primarily to operating lease costs of $20.6 million, depreciation and amortization of $14.1 million and share-based compensation of $8.4 million. We also generated cash from operating activities as a result of an increase of $126.5 million in accounts payable and accrued expenses and a decrease of $107.7 million in accounts receivable. These items were offset, in part, by an increase of $82.8 million in inventories and decreases of $36.3 million in customer refund liabilities and $22.6 in operating lease liabilities.</w:t>
      </w:r>
    </w:p>
    <w:p>
      <w:pPr>
        <w:spacing w:after="0" w:line="19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changes in operating cash flow items are consistent with our seasonal pattern of building up inventory for the fall shipping season resulting in the increases in inventory and accounts payable. The fall shipping season begins during the latter half of our second quarter. Our accounts receivable and customer refund liabilities decreased because we experience lower sales levels in our first and second quarters than in our third and fourth quarters. Our typical seasonal patterns were disrupted last year due to the COVID-19 pandemic.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used $32.5 million of cash in investing activities during six months ended July 31, 2021, primarily as a result of a $25.0 million minority investment in an e-commerce retailer. In addition, we also had $7.5 million in capital expenditures primarily related to infrastructure and information technology expenditures and additional fixturing costs at department stores.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used in financing activities was $2.6 million during six months ended July 31, 2021 primarily as a result $4.3 million for taxes paid in connection with net share settlements, partially offset by $1.7 million of net borrowings under Vilebrequin’s overdraft facilities.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2021 are those that depend most heavily on these judgments and estimates. As of July 31, 2021, there have been no material changes to our critical accounting policies, other than the change in our retail inventory valuation method from the lower of cost or market as determined by the retail inventory method to the lower of cost or market under the weighted average cost method as discussed in Note 1 to the condensed consolidated financial statements included in this Quarterly Report on Form 10-Q.</w:t>
      </w:r>
    </w:p>
    <w:p>
      <w:pPr>
        <w:spacing w:after="0" w:line="188"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2021.</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contained in “Item 1A.-Risk Factors” in our Annual Report on Form 10-K for the year ended January 31, 2021 (the “Annual Report”), which could materially affect our business, financial condition and/or future results. As of July 31, 2021,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9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following table provides information with respect to the Company’s common stock that the Company repurchased during the three months ended July 31, 2021. Included in this table are shares withheld during June and July 2021 in connection with the settlement of vested restricted stock units to satisfy tax withholding requirements.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w:t>
            </w:r>
          </w:p>
        </w:tc>
        <w:tc>
          <w:tcPr>
            <w:tcW w:w="2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7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 Paid Per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4"/>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Purchased</w:t>
            </w:r>
          </w:p>
        </w:tc>
        <w:tc>
          <w:tcPr>
            <w:tcW w:w="162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5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6"/>
        </w:trPr>
        <w:tc>
          <w:tcPr>
            <w:tcW w:w="2380" w:type="dxa"/>
            <w:vAlign w:val="bottom"/>
            <w:gridSpan w:val="2"/>
            <w:vMerge w:val="continue"/>
          </w:tcPr>
          <w:p>
            <w:pPr>
              <w:spacing w:after="0"/>
              <w:rPr>
                <w:sz w:val="15"/>
                <w:szCs w:val="15"/>
                <w:color w:val="auto"/>
              </w:rPr>
            </w:pPr>
          </w:p>
        </w:tc>
        <w:tc>
          <w:tcPr>
            <w:tcW w:w="1620" w:type="dxa"/>
            <w:vAlign w:val="bottom"/>
            <w:gridSpan w:val="2"/>
          </w:tcPr>
          <w:p>
            <w:pPr>
              <w:jc w:val="center"/>
              <w:ind w:right="200"/>
              <w:spacing w:after="0" w:line="176"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20"/>
                <w:szCs w:val="20"/>
                <w:b w:val="1"/>
                <w:bCs w:val="1"/>
                <w:color w:val="auto"/>
                <w:w w:val="88"/>
                <w:vertAlign w:val="superscript"/>
              </w:rPr>
              <w:t>(1)</w:t>
            </w:r>
          </w:p>
        </w:tc>
        <w:tc>
          <w:tcPr>
            <w:tcW w:w="300" w:type="dxa"/>
            <w:vAlign w:val="bottom"/>
          </w:tcPr>
          <w:p>
            <w:pPr>
              <w:spacing w:after="0"/>
              <w:rPr>
                <w:sz w:val="15"/>
                <w:szCs w:val="15"/>
                <w:color w:val="auto"/>
              </w:rPr>
            </w:pPr>
          </w:p>
        </w:tc>
        <w:tc>
          <w:tcPr>
            <w:tcW w:w="1440" w:type="dxa"/>
            <w:vAlign w:val="bottom"/>
            <w:gridSpan w:val="2"/>
          </w:tcPr>
          <w:p>
            <w:pPr>
              <w:jc w:val="center"/>
              <w:ind w:right="480"/>
              <w:spacing w:after="0" w:line="176" w:lineRule="exact"/>
              <w:rPr>
                <w:sz w:val="20"/>
                <w:szCs w:val="20"/>
                <w:color w:val="auto"/>
              </w:rPr>
            </w:pPr>
            <w:r>
              <w:rPr>
                <w:rFonts w:ascii="Arial" w:cs="Arial" w:eastAsia="Arial" w:hAnsi="Arial"/>
                <w:sz w:val="14"/>
                <w:szCs w:val="14"/>
                <w:b w:val="1"/>
                <w:bCs w:val="1"/>
                <w:color w:val="auto"/>
                <w:w w:val="87"/>
              </w:rPr>
              <w:t xml:space="preserve">Share </w:t>
            </w:r>
            <w:r>
              <w:rPr>
                <w:rFonts w:ascii="Arial" w:cs="Arial" w:eastAsia="Arial" w:hAnsi="Arial"/>
                <w:sz w:val="20"/>
                <w:szCs w:val="20"/>
                <w:b w:val="1"/>
                <w:bCs w:val="1"/>
                <w:color w:val="auto"/>
                <w:w w:val="87"/>
                <w:vertAlign w:val="superscript"/>
              </w:rPr>
              <w:t>(1)</w:t>
            </w:r>
          </w:p>
        </w:tc>
        <w:tc>
          <w:tcPr>
            <w:tcW w:w="14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21"/>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 May 31, 2021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June 1 - June 30, 2021</w:t>
            </w:r>
          </w:p>
        </w:tc>
        <w:tc>
          <w:tcPr>
            <w:tcW w:w="1420" w:type="dxa"/>
            <w:vAlign w:val="bottom"/>
          </w:tcPr>
          <w:p>
            <w:pPr>
              <w:jc w:val="right"/>
              <w:spacing w:after="0"/>
              <w:rPr>
                <w:sz w:val="20"/>
                <w:szCs w:val="20"/>
                <w:color w:val="auto"/>
              </w:rPr>
            </w:pPr>
            <w:r>
              <w:rPr>
                <w:rFonts w:ascii="Arial" w:cs="Arial" w:eastAsia="Arial" w:hAnsi="Arial"/>
                <w:sz w:val="18"/>
                <w:szCs w:val="18"/>
                <w:color w:val="auto"/>
              </w:rPr>
              <w:t>131,111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32.86</w:t>
            </w:r>
          </w:p>
        </w:tc>
        <w:tc>
          <w:tcPr>
            <w:tcW w:w="20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 July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131,961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00" w:type="dxa"/>
            <w:vAlign w:val="bottom"/>
          </w:tcPr>
          <w:p>
            <w:pPr>
              <w:spacing w:after="0"/>
              <w:rPr>
                <w:sz w:val="18"/>
                <w:szCs w:val="18"/>
                <w:color w:val="auto"/>
              </w:rPr>
            </w:pPr>
          </w:p>
        </w:tc>
        <w:tc>
          <w:tcPr>
            <w:tcW w:w="142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80" w:right="179" w:hanging="328"/>
        <w:spacing w:after="0" w:line="190" w:lineRule="auto"/>
        <w:tabs>
          <w:tab w:leader="none" w:pos="4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Included in this table are 131,961 shares withheld during June and July 2021 in connection with the settlement of vested restricted stock units to satisfy tax withholding requirements. Our 2015 Long-Term Incentive Plan provides that shares withheld are valued at the closing price per share on the date withheld.</w:t>
      </w:r>
    </w:p>
    <w:p>
      <w:pPr>
        <w:spacing w:after="0" w:line="2" w:lineRule="exact"/>
        <w:rPr>
          <w:rFonts w:ascii="Arial" w:cs="Arial" w:eastAsia="Arial" w:hAnsi="Arial"/>
          <w:sz w:val="22"/>
          <w:szCs w:val="22"/>
          <w:color w:val="auto"/>
          <w:vertAlign w:val="superscript"/>
        </w:rPr>
      </w:pPr>
    </w:p>
    <w:p>
      <w:pPr>
        <w:jc w:val="both"/>
        <w:ind w:left="480" w:right="179" w:hanging="328"/>
        <w:spacing w:after="0" w:line="200" w:lineRule="auto"/>
        <w:tabs>
          <w:tab w:leader="none" w:pos="4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by Morris Goldfarb, Chief Executive Officer of G-III Apparel Group, Ltd., pursuant to Rule 13a -</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Group, Ltd.’s Quarterly Report on Form 10-Q for the fiscal quarter ended July 31, 2021.</w:t>
              </w:r>
            </w:hyperlink>
          </w:p>
        </w:tc>
      </w:tr>
      <w:tr>
        <w:trPr>
          <w:trHeight w:val="20"/>
        </w:trPr>
        <w:tc>
          <w:tcPr>
            <w:tcW w:w="800" w:type="dxa"/>
            <w:vAlign w:val="bottom"/>
          </w:tcPr>
          <w:p>
            <w:pPr>
              <w:spacing w:after="0" w:line="20" w:lineRule="exact"/>
              <w:rPr>
                <w:sz w:val="1"/>
                <w:szCs w:val="1"/>
                <w:color w:val="auto"/>
              </w:rPr>
            </w:pPr>
          </w:p>
        </w:tc>
        <w:tc>
          <w:tcPr>
            <w:tcW w:w="6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4"/>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by Neal S. Nackman, Chief Financial Officer of G-III Apparel Group, Ltd., pursuant to Rule 13a -</w:t>
              </w:r>
            </w:hyperlink>
          </w:p>
        </w:tc>
      </w:tr>
      <w:tr>
        <w:trPr>
          <w:trHeight w:val="20"/>
        </w:trPr>
        <w:tc>
          <w:tcPr>
            <w:tcW w:w="800" w:type="dxa"/>
            <w:vAlign w:val="bottom"/>
          </w:tcPr>
          <w:p>
            <w:pPr>
              <w:spacing w:after="0" w:line="20" w:lineRule="exact"/>
              <w:rPr>
                <w:sz w:val="1"/>
                <w:szCs w:val="1"/>
                <w:color w:val="auto"/>
              </w:rPr>
            </w:pPr>
          </w:p>
        </w:tc>
        <w:tc>
          <w:tcPr>
            <w:tcW w:w="69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14(a) or Rule 15d - 14(a) of the Securities Exchange Act of 1934, as amended, in connection with G-III Apparel</w:t>
              </w:r>
            </w:hyperlink>
          </w:p>
        </w:tc>
      </w:tr>
      <w:tr>
        <w:trPr>
          <w:trHeight w:val="196"/>
        </w:trPr>
        <w:tc>
          <w:tcPr>
            <w:tcW w:w="800" w:type="dxa"/>
            <w:vAlign w:val="bottom"/>
          </w:tcPr>
          <w:p>
            <w:pPr>
              <w:spacing w:after="0"/>
              <w:rPr>
                <w:sz w:val="17"/>
                <w:szCs w:val="17"/>
                <w:color w:val="auto"/>
              </w:rPr>
            </w:pPr>
          </w:p>
        </w:tc>
        <w:tc>
          <w:tcPr>
            <w:tcW w:w="810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Group, Ltd.’s Quarterly Report on Form 10-Q for the fiscal quarter ended July 31, 2021.</w:t>
              </w:r>
            </w:hyperlink>
          </w:p>
        </w:tc>
      </w:tr>
      <w:tr>
        <w:trPr>
          <w:trHeight w:val="20"/>
        </w:trPr>
        <w:tc>
          <w:tcPr>
            <w:tcW w:w="800" w:type="dxa"/>
            <w:vAlign w:val="bottom"/>
          </w:tcPr>
          <w:p>
            <w:pPr>
              <w:spacing w:after="0" w:line="20" w:lineRule="exact"/>
              <w:rPr>
                <w:sz w:val="1"/>
                <w:szCs w:val="1"/>
                <w:color w:val="auto"/>
              </w:rPr>
            </w:pPr>
          </w:p>
        </w:tc>
        <w:tc>
          <w:tcPr>
            <w:tcW w:w="6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by Morris Goldfarb, Chief Executive Officer of G-III Apparel Group, Ltd., pursuant to 18 U.S.C.</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196"/>
        </w:trPr>
        <w:tc>
          <w:tcPr>
            <w:tcW w:w="800" w:type="dxa"/>
            <w:vAlign w:val="bottom"/>
          </w:tcPr>
          <w:p>
            <w:pPr>
              <w:spacing w:after="0"/>
              <w:rPr>
                <w:sz w:val="17"/>
                <w:szCs w:val="17"/>
                <w:color w:val="auto"/>
              </w:rPr>
            </w:pPr>
          </w:p>
        </w:tc>
        <w:tc>
          <w:tcPr>
            <w:tcW w:w="6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Apparel Group, Ltd.’s Quarterly Report on Form 10-Q for the fiscal quarter ended July 31, 2021.</w:t>
              </w:r>
            </w:hyperlink>
          </w:p>
        </w:tc>
        <w:tc>
          <w:tcPr>
            <w:tcW w:w="11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gridSpan w:val="4"/>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by Neal S. Nackman, Chief Financial Officer of G-III Apparel Group, Ltd., pursuant to 18 U.S.C.</w:t>
              </w:r>
            </w:hyperlink>
          </w:p>
        </w:tc>
      </w:tr>
      <w:tr>
        <w:trPr>
          <w:trHeight w:val="20"/>
        </w:trPr>
        <w:tc>
          <w:tcPr>
            <w:tcW w:w="800" w:type="dxa"/>
            <w:vAlign w:val="bottom"/>
          </w:tcPr>
          <w:p>
            <w:pPr>
              <w:spacing w:after="0" w:line="20" w:lineRule="exact"/>
              <w:rPr>
                <w:sz w:val="1"/>
                <w:szCs w:val="1"/>
                <w:color w:val="auto"/>
              </w:rPr>
            </w:pPr>
          </w:p>
        </w:tc>
        <w:tc>
          <w:tcPr>
            <w:tcW w:w="80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Section 1350, as adopted pursuant to Section 906 of the Sarbanes-Oxley Act of 2002, in connection with G-III</w:t>
              </w:r>
            </w:hyperlink>
          </w:p>
        </w:tc>
      </w:tr>
      <w:tr>
        <w:trPr>
          <w:trHeight w:val="196"/>
        </w:trPr>
        <w:tc>
          <w:tcPr>
            <w:tcW w:w="800" w:type="dxa"/>
            <w:vAlign w:val="bottom"/>
          </w:tcPr>
          <w:p>
            <w:pPr>
              <w:spacing w:after="0"/>
              <w:rPr>
                <w:sz w:val="17"/>
                <w:szCs w:val="17"/>
                <w:color w:val="auto"/>
              </w:rPr>
            </w:pPr>
          </w:p>
        </w:tc>
        <w:tc>
          <w:tcPr>
            <w:tcW w:w="6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Apparel Group, Ltd.’s Quarterly Report on Form 10-Q for the fiscal quarter ended July 31, 2021.</w:t>
              </w:r>
            </w:hyperlink>
          </w:p>
        </w:tc>
        <w:tc>
          <w:tcPr>
            <w:tcW w:w="1120" w:type="dxa"/>
            <w:vAlign w:val="bottom"/>
            <w:gridSpan w:val="2"/>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4"/>
          </w:tcPr>
          <w:p>
            <w:pPr>
              <w:spacing w:after="0"/>
              <w:rPr>
                <w:sz w:val="20"/>
                <w:szCs w:val="20"/>
                <w:color w:val="auto"/>
              </w:rPr>
            </w:pPr>
            <w:r>
              <w:rPr>
                <w:rFonts w:ascii="Arial" w:cs="Arial" w:eastAsia="Arial" w:hAnsi="Arial"/>
                <w:sz w:val="18"/>
                <w:szCs w:val="18"/>
                <w:color w:val="auto"/>
              </w:rPr>
              <w:t>iXBRL Presentation Linkbase Document.</w:t>
            </w:r>
          </w:p>
        </w:tc>
      </w:tr>
    </w:tbl>
    <w:p>
      <w:pPr>
        <w:ind w:left="860" w:hanging="80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G-III APPAREL GROUP, LTD.</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September 8, 2021</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Morris Goldfarb</w:t>
            </w:r>
          </w:p>
        </w:tc>
      </w:tr>
      <w:tr>
        <w:trPr>
          <w:trHeight w:val="195"/>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September 8, 2021</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Neal S. Nackman</w:t>
            </w:r>
          </w:p>
        </w:tc>
      </w:tr>
      <w:tr>
        <w:trPr>
          <w:trHeight w:val="195"/>
        </w:trPr>
        <w:tc>
          <w:tcPr>
            <w:tcW w:w="3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0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41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8, 2021</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00" w:right="79" w:hanging="326"/>
        <w:spacing w:after="0" w:line="27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20" w:right="79" w:hanging="322"/>
        <w:spacing w:after="0" w:line="23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20" w:right="79" w:hanging="322"/>
        <w:spacing w:after="0" w:line="23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00" w:right="79" w:hanging="326"/>
        <w:spacing w:after="0" w:line="23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20" w:right="79" w:hanging="322"/>
        <w:spacing w:after="0" w:line="235"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20" w:right="79" w:hanging="322"/>
        <w:spacing w:after="0" w:line="246"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8, 2021</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July 31, 2021,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8, 2021</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July 31, 2021,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8, 2021</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upperLetter"/>
      <w:start w:val="6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2021-09-08T16:17:10Z</dcterms:created>
  <dcterms:modified xsi:type="dcterms:W3CDTF">2021-09-08T16:17:10Z</dcterms:modified>
</cp:coreProperties>
</file>