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18"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0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April 30, 2020</w:t>
      </w:r>
    </w:p>
    <w:p>
      <w:pPr>
        <w:spacing w:after="0" w:line="12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01" w:lineRule="exact"/>
        <w:rPr>
          <w:sz w:val="24"/>
          <w:szCs w:val="24"/>
          <w:color w:val="auto"/>
        </w:rPr>
      </w:pPr>
    </w:p>
    <w:p>
      <w:pPr>
        <w:ind w:left="3650"/>
        <w:spacing w:after="0"/>
        <w:tabs>
          <w:tab w:leader="none" w:pos="613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-4445</wp:posOffset>
            </wp:positionV>
            <wp:extent cx="205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-4445</wp:posOffset>
            </wp:positionV>
            <wp:extent cx="154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6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G-III APPAREL GROUP, LTD.</w:t>
      </w:r>
    </w:p>
    <w:p>
      <w:pPr>
        <w:spacing w:after="0" w:line="47"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91"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Arial" w:cs="Arial" w:eastAsia="Arial" w:hAnsi="Arial"/>
                <w:sz w:val="16"/>
                <w:szCs w:val="16"/>
                <w:b w:val="1"/>
                <w:bCs w:val="1"/>
                <w:color w:val="auto"/>
                <w:w w:val="91"/>
              </w:rPr>
              <w:t>(State or other jurisdiction of</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incorporation or organization)</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4"/>
              </w:rPr>
              <w:t>Identification No.)</w:t>
            </w:r>
          </w:p>
        </w:tc>
      </w:tr>
      <w:tr>
        <w:trPr>
          <w:trHeight w:val="303"/>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20" w:type="dxa"/>
            <w:vAlign w:val="bottom"/>
          </w:tcPr>
          <w:p>
            <w:pPr>
              <w:jc w:val="right"/>
              <w:ind w:right="359"/>
              <w:spacing w:after="0"/>
              <w:rPr>
                <w:sz w:val="20"/>
                <w:szCs w:val="20"/>
                <w:color w:val="auto"/>
              </w:rPr>
            </w:pPr>
            <w:r>
              <w:rPr>
                <w:rFonts w:ascii="Arial" w:cs="Arial" w:eastAsia="Arial" w:hAnsi="Arial"/>
                <w:sz w:val="16"/>
                <w:szCs w:val="16"/>
                <w:b w:val="1"/>
                <w:bCs w:val="1"/>
                <w:color w:val="auto"/>
              </w:rPr>
              <w:t>10018</w:t>
            </w:r>
          </w:p>
        </w:tc>
      </w:tr>
      <w:tr>
        <w:trPr>
          <w:trHeight w:val="210"/>
        </w:trPr>
        <w:tc>
          <w:tcPr>
            <w:tcW w:w="448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20" w:type="dxa"/>
            <w:vAlign w:val="bottom"/>
          </w:tcPr>
          <w:p>
            <w:pPr>
              <w:jc w:val="center"/>
              <w:ind w:left="145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0"/>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8906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214630"/>
                    </a:xfrm>
                    <a:prstGeom prst="rect">
                      <a:avLst/>
                    </a:prstGeom>
                    <a:noFill/>
                  </pic:spPr>
                </pic:pic>
              </a:graphicData>
            </a:graphic>
          </wp:anchor>
        </w:drawing>
      </w:r>
    </w:p>
    <w:p>
      <w:pPr>
        <w:spacing w:after="0" w:line="50"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1630045</wp:posOffset>
            </wp:positionH>
            <wp:positionV relativeFrom="paragraph">
              <wp:posOffset>-119380</wp:posOffset>
            </wp:positionV>
            <wp:extent cx="78105" cy="79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-119380</wp:posOffset>
            </wp:positionV>
            <wp:extent cx="78105" cy="79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473075</wp:posOffset>
            </wp:positionH>
            <wp:positionV relativeFrom="paragraph">
              <wp:posOffset>-119380</wp:posOffset>
            </wp:positionV>
            <wp:extent cx="78105" cy="79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847090</wp:posOffset>
            </wp:positionH>
            <wp:positionV relativeFrom="paragraph">
              <wp:posOffset>-119380</wp:posOffset>
            </wp:positionV>
            <wp:extent cx="78105" cy="79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1477645</wp:posOffset>
            </wp:positionH>
            <wp:positionV relativeFrom="paragraph">
              <wp:posOffset>-377825</wp:posOffset>
            </wp:positionV>
            <wp:extent cx="78105" cy="79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-377825</wp:posOffset>
            </wp:positionV>
            <wp:extent cx="78105" cy="79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-248920</wp:posOffset>
            </wp:positionV>
            <wp:extent cx="78105" cy="79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-248920</wp:posOffset>
            </wp:positionV>
            <wp:extent cx="78105" cy="79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-120650</wp:posOffset>
            </wp:positionV>
            <wp:extent cx="78105" cy="79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6" w:lineRule="exact"/>
        <w:rPr>
          <w:sz w:val="24"/>
          <w:szCs w:val="24"/>
          <w:color w:val="auto"/>
        </w:rPr>
      </w:pPr>
    </w:p>
    <w:p>
      <w:pPr>
        <w:jc w:val="both"/>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3957320</wp:posOffset>
            </wp:positionH>
            <wp:positionV relativeFrom="paragraph">
              <wp:posOffset>-120015</wp:posOffset>
            </wp:positionV>
            <wp:extent cx="78105" cy="79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7" w:lineRule="exact"/>
        <w:rPr>
          <w:sz w:val="24"/>
          <w:szCs w:val="24"/>
          <w:color w:val="auto"/>
        </w:rPr>
      </w:pPr>
    </w:p>
    <w:p>
      <w:pPr>
        <w:ind w:left="10" w:right="18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June 4, 2020, there were 48,052,834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64979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-306070</wp:posOffset>
            </wp:positionV>
            <wp:extent cx="78105" cy="79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-306070</wp:posOffset>
            </wp:positionV>
            <wp:extent cx="78105" cy="79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0" w:type="dxa"/>
            <w:vAlign w:val="bottom"/>
            <w:vMerge w:val="restart"/>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60" w:type="dxa"/>
            <w:vAlign w:val="bottom"/>
          </w:tcPr>
          <w:p>
            <w:pPr>
              <w:spacing w:after="0"/>
              <w:rPr>
                <w:sz w:val="16"/>
                <w:szCs w:val="16"/>
                <w:color w:val="auto"/>
              </w:rPr>
            </w:pPr>
          </w:p>
        </w:tc>
        <w:tc>
          <w:tcPr>
            <w:tcW w:w="7240" w:type="dxa"/>
            <w:vAlign w:val="bottom"/>
            <w:gridSpan w:val="7"/>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40" w:type="dxa"/>
            <w:vAlign w:val="bottom"/>
            <w:gridSpan w:val="7"/>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60" w:type="dxa"/>
            <w:vAlign w:val="bottom"/>
          </w:tcPr>
          <w:p>
            <w:pPr>
              <w:spacing w:after="0"/>
              <w:rPr>
                <w:sz w:val="18"/>
                <w:szCs w:val="18"/>
                <w:color w:val="auto"/>
              </w:rPr>
            </w:pPr>
          </w:p>
        </w:tc>
        <w:tc>
          <w:tcPr>
            <w:tcW w:w="7240" w:type="dxa"/>
            <w:vAlign w:val="bottom"/>
            <w:gridSpan w:val="7"/>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40" w:type="dxa"/>
            <w:vAlign w:val="bottom"/>
            <w:gridSpan w:val="7"/>
          </w:tcPr>
          <w:p>
            <w:pPr>
              <w:spacing w:after="0"/>
              <w:rPr>
                <w:rFonts w:ascii="Arial" w:cs="Arial" w:eastAsia="Arial" w:hAnsi="Arial"/>
                <w:sz w:val="18"/>
                <w:szCs w:val="18"/>
                <w:u w:val="single" w:color="auto"/>
                <w:color w:val="0000EE"/>
                <w:w w:val="94"/>
              </w:rPr>
            </w:pPr>
            <w:hyperlink w:anchor="page3">
              <w:r>
                <w:rPr>
                  <w:rFonts w:ascii="Arial" w:cs="Arial" w:eastAsia="Arial" w:hAnsi="Arial"/>
                  <w:sz w:val="18"/>
                  <w:szCs w:val="18"/>
                  <w:u w:val="single" w:color="auto"/>
                  <w:color w:val="0000EE"/>
                  <w:w w:val="94"/>
                </w:rPr>
                <w:t>Condensed Consolidated Balance Sheets – April 30, 2020, April 30, 2019 and January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90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 - For the</w:t>
              </w:r>
            </w:hyperlink>
          </w:p>
        </w:tc>
        <w:tc>
          <w:tcPr>
            <w:tcW w:w="34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Three Months Ended April 30, 2020 and 2019 (Unaudited)</w:t>
              </w:r>
            </w:hyperlink>
          </w:p>
        </w:tc>
        <w:tc>
          <w:tcPr>
            <w:tcW w:w="28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 April 30, 2020 and April 30, 2019</w:t>
              </w:r>
            </w:hyperlink>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0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40" w:type="dxa"/>
            <w:vAlign w:val="bottom"/>
            <w:gridSpan w:val="7"/>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 For the Three Months Ended April 30, 2020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2019 (Unaudited)</w:t>
              </w:r>
            </w:hyperlink>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7300" w:type="dxa"/>
            <w:vAlign w:val="bottom"/>
            <w:gridSpan w:val="8"/>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140" w:type="dxa"/>
            <w:vAlign w:val="bottom"/>
            <w:gridSpan w:val="9"/>
          </w:tcPr>
          <w:p>
            <w:pPr>
              <w:ind w:left="2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140" w:type="dxa"/>
            <w:vAlign w:val="bottom"/>
            <w:gridSpan w:val="9"/>
          </w:tcPr>
          <w:p>
            <w:pPr>
              <w:ind w:left="2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140" w:type="dxa"/>
            <w:vAlign w:val="bottom"/>
            <w:gridSpan w:val="9"/>
          </w:tcPr>
          <w:p>
            <w:pPr>
              <w:ind w:left="2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84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w:t>
              </w:r>
            </w:hyperlink>
          </w:p>
        </w:tc>
        <w:tc>
          <w:tcPr>
            <w:tcW w:w="60" w:type="dxa"/>
            <w:vAlign w:val="bottom"/>
          </w:tcPr>
          <w:p>
            <w:pPr>
              <w:spacing w:after="0"/>
              <w:rPr>
                <w:sz w:val="24"/>
                <w:szCs w:val="24"/>
                <w:color w:val="auto"/>
              </w:rPr>
            </w:pPr>
          </w:p>
        </w:tc>
        <w:tc>
          <w:tcPr>
            <w:tcW w:w="7240" w:type="dxa"/>
            <w:vAlign w:val="bottom"/>
            <w:gridSpan w:val="7"/>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gridSpan w:val="9"/>
          </w:tcPr>
          <w:p>
            <w:pPr>
              <w:ind w:left="26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1A</w:t>
              </w:r>
              <w:r>
                <w:rPr>
                  <w:rFonts w:ascii="Arial" w:cs="Arial" w:eastAsia="Arial" w:hAnsi="Arial"/>
                  <w:sz w:val="18"/>
                  <w:szCs w:val="18"/>
                  <w:color w:val="0000EE"/>
                </w:rPr>
                <w:t>.</w:t>
              </w:r>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140" w:type="dxa"/>
            <w:vAlign w:val="bottom"/>
            <w:gridSpan w:val="9"/>
          </w:tcPr>
          <w:p>
            <w:pPr>
              <w:ind w:left="2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2.  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40" w:type="dxa"/>
            <w:vAlign w:val="bottom"/>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w:t>
              </w:r>
            </w:hyperlink>
          </w:p>
        </w:tc>
        <w:tc>
          <w:tcPr>
            <w:tcW w:w="60" w:type="dxa"/>
            <w:vAlign w:val="bottom"/>
          </w:tcPr>
          <w:p>
            <w:pPr>
              <w:spacing w:after="0"/>
              <w:rPr>
                <w:sz w:val="20"/>
                <w:szCs w:val="20"/>
                <w:color w:val="auto"/>
              </w:rPr>
            </w:pPr>
          </w:p>
        </w:tc>
        <w:tc>
          <w:tcPr>
            <w:tcW w:w="724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62"/>
        </w:trPr>
        <w:tc>
          <w:tcPr>
            <w:tcW w:w="840" w:type="dxa"/>
            <w:vAlign w:val="bottom"/>
          </w:tcPr>
          <w:p>
            <w:pPr>
              <w:spacing w:after="0"/>
              <w:rPr>
                <w:sz w:val="24"/>
                <w:szCs w:val="24"/>
                <w:color w:val="auto"/>
              </w:rPr>
            </w:pPr>
          </w:p>
        </w:tc>
        <w:tc>
          <w:tcPr>
            <w:tcW w:w="4440" w:type="dxa"/>
            <w:vAlign w:val="bottom"/>
            <w:gridSpan w:val="5"/>
          </w:tcPr>
          <w:p>
            <w:pPr>
              <w:jc w:val="right"/>
              <w:ind w:right="780"/>
              <w:spacing w:after="0"/>
              <w:rPr>
                <w:sz w:val="20"/>
                <w:szCs w:val="20"/>
                <w:color w:val="auto"/>
              </w:rPr>
            </w:pPr>
            <w:r>
              <w:rPr>
                <w:rFonts w:ascii="Arial" w:cs="Arial" w:eastAsia="Arial" w:hAnsi="Arial"/>
                <w:sz w:val="18"/>
                <w:szCs w:val="18"/>
                <w:color w:val="auto"/>
              </w:rPr>
              <w:t>2</w:t>
            </w: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April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8"/>
          </w:tcPr>
          <w:p>
            <w:pPr>
              <w:jc w:val="right"/>
              <w:ind w:right="45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48,312</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197,372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80"/>
              <w:spacing w:after="0" w:line="185" w:lineRule="exact"/>
              <w:rPr>
                <w:sz w:val="20"/>
                <w:szCs w:val="20"/>
                <w:color w:val="auto"/>
              </w:rPr>
            </w:pPr>
            <w:r>
              <w:rPr>
                <w:rFonts w:ascii="Arial" w:cs="Arial" w:eastAsia="Arial" w:hAnsi="Arial"/>
                <w:sz w:val="17"/>
                <w:szCs w:val="17"/>
                <w:color w:val="auto"/>
                <w:w w:val="96"/>
              </w:rPr>
              <w:t>Accounts receivable, net of allowance for doubtful accounts of $10.4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million, $0.9 million and $0.7 million,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421,143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478,371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530,137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Inventories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Prepaid income taxes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9,724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9,369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66,594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1,614,054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1,171,552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1,368,688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72,918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89,848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Other assets,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32,691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35,663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34,548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25,212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438,675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260,578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2,798,961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2,446,544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2,565,137</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Current portion of notes payable</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60,523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78,619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101,838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refund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210,310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Current operating lease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63,632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74,761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 tax payable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540,231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900,682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411,087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396,794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231,323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286,663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1,552,727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1,259,718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1,274,465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Preferred stock; 1,000 shares authorized; no shares issued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80"/>
              <w:spacing w:after="0" w:line="185" w:lineRule="exact"/>
              <w:rPr>
                <w:sz w:val="20"/>
                <w:szCs w:val="20"/>
                <w:color w:val="auto"/>
              </w:rPr>
            </w:pPr>
            <w:r>
              <w:rPr>
                <w:rFonts w:ascii="Arial" w:cs="Arial" w:eastAsia="Arial" w:hAnsi="Arial"/>
                <w:sz w:val="17"/>
                <w:szCs w:val="17"/>
                <w:color w:val="auto"/>
                <w:w w:val="94"/>
              </w:rPr>
              <w:t>Common stock - $0.01 par value; 120,000 shares authorized; 48,052,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49,393 and, 49,396 shares issued,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449,840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456,835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(22,034)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(18,421)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earnings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853,843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761,344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893,138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80"/>
              <w:spacing w:after="0" w:line="185" w:lineRule="exact"/>
              <w:rPr>
                <w:sz w:val="20"/>
                <w:szCs w:val="20"/>
                <w:color w:val="auto"/>
              </w:rPr>
            </w:pPr>
            <w:r>
              <w:rPr>
                <w:rFonts w:ascii="Arial" w:cs="Arial" w:eastAsia="Arial" w:hAnsi="Arial"/>
                <w:sz w:val="17"/>
                <w:szCs w:val="17"/>
                <w:color w:val="auto"/>
                <w:w w:val="93"/>
              </w:rPr>
              <w:t>Common stock held in treasury, at cost - 1,344, 470 and 1,386 shares,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respectively</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1,246,234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1,186,826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1,290,672</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2,798,961</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2,446,544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2,565,137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statements</w:t>
      </w:r>
      <w:r>
        <w:rPr>
          <w:rFonts w:ascii="Arial" w:cs="Arial" w:eastAsia="Arial" w:hAnsi="Arial"/>
          <w:sz w:val="17"/>
          <w:szCs w:val="17"/>
          <w:i w:val="1"/>
          <w:iCs w:val="1"/>
          <w:color w:val="auto"/>
        </w:rPr>
        <w:t>.</w:t>
      </w:r>
    </w:p>
    <w:p>
      <w:pPr>
        <w:sectPr>
          <w:pgSz w:w="11900" w:h="16838" w:orient="portrait"/>
          <w:cols w:equalWidth="0" w:num="1">
            <w:col w:w="9019"/>
          </w:cols>
          <w:pgMar w:left="1440" w:top="517"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4"/>
          </w:tcPr>
          <w:p>
            <w:pPr>
              <w:jc w:val="center"/>
              <w:ind w:right="71"/>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center"/>
              <w:ind w:left="753"/>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center"/>
              <w:ind w:right="71"/>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5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405,131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633,552</w:t>
            </w:r>
          </w:p>
        </w:tc>
      </w:tr>
      <w:tr>
        <w:trPr>
          <w:trHeight w:val="216"/>
        </w:trPr>
        <w:tc>
          <w:tcPr>
            <w:tcW w:w="5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280,730</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397,488</w:t>
            </w:r>
          </w:p>
        </w:tc>
      </w:tr>
      <w:tr>
        <w:trPr>
          <w:trHeight w:val="209"/>
        </w:trPr>
        <w:tc>
          <w:tcPr>
            <w:tcW w:w="1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124,401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236,064</w:t>
            </w:r>
          </w:p>
        </w:tc>
      </w:tr>
      <w:tr>
        <w:trPr>
          <w:trHeight w:val="216"/>
        </w:trPr>
        <w:tc>
          <w:tcPr>
            <w:tcW w:w="586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154,620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201,859</w:t>
            </w:r>
          </w:p>
        </w:tc>
      </w:tr>
      <w:tr>
        <w:trPr>
          <w:trHeight w:val="216"/>
        </w:trPr>
        <w:tc>
          <w:tcPr>
            <w:tcW w:w="5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r>
      <w:tr>
        <w:trPr>
          <w:trHeight w:val="216"/>
        </w:trPr>
        <w:tc>
          <w:tcPr>
            <w:tcW w:w="5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Loss (gain) on lease terminations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09"/>
        </w:trPr>
        <w:tc>
          <w:tcPr>
            <w:tcW w:w="1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 (loss)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25,561</w:t>
            </w:r>
          </w:p>
        </w:tc>
      </w:tr>
      <w:tr>
        <w:trPr>
          <w:trHeight w:val="216"/>
        </w:trPr>
        <w:tc>
          <w:tcPr>
            <w:tcW w:w="5860" w:type="dxa"/>
            <w:vAlign w:val="bottom"/>
            <w:gridSpan w:val="4"/>
          </w:tcPr>
          <w:p>
            <w:pPr>
              <w:ind w:left="20"/>
              <w:spacing w:after="0"/>
              <w:rPr>
                <w:sz w:val="20"/>
                <w:szCs w:val="20"/>
                <w:color w:val="auto"/>
              </w:rPr>
            </w:pPr>
            <w:r>
              <w:rPr>
                <w:rFonts w:ascii="Arial" w:cs="Arial" w:eastAsia="Arial" w:hAnsi="Arial"/>
                <w:sz w:val="18"/>
                <w:szCs w:val="18"/>
                <w:color w:val="auto"/>
              </w:rPr>
              <w:t>Other loss</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(2,056)</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16"/>
        </w:trPr>
        <w:tc>
          <w:tcPr>
            <w:tcW w:w="5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and financing charges, net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w:t>
            </w:r>
          </w:p>
        </w:tc>
      </w:tr>
      <w:tr>
        <w:trPr>
          <w:trHeight w:val="209"/>
        </w:trPr>
        <w:tc>
          <w:tcPr>
            <w:tcW w:w="120" w:type="dxa"/>
            <w:vAlign w:val="bottom"/>
          </w:tcPr>
          <w:p>
            <w:pPr>
              <w:spacing w:after="0"/>
              <w:rPr>
                <w:sz w:val="18"/>
                <w:szCs w:val="18"/>
                <w:color w:val="auto"/>
              </w:rPr>
            </w:pPr>
          </w:p>
        </w:tc>
        <w:tc>
          <w:tcPr>
            <w:tcW w:w="5740" w:type="dxa"/>
            <w:vAlign w:val="bottom"/>
            <w:gridSpan w:val="3"/>
          </w:tcPr>
          <w:p>
            <w:pPr>
              <w:ind w:left="10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(55,708)</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14,593</w:t>
            </w:r>
          </w:p>
        </w:tc>
      </w:tr>
      <w:tr>
        <w:trPr>
          <w:trHeight w:val="216"/>
        </w:trPr>
        <w:tc>
          <w:tcPr>
            <w:tcW w:w="5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(16,413)</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50"/>
        </w:trPr>
        <w:tc>
          <w:tcPr>
            <w:tcW w:w="5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(39,295)</w:t>
            </w:r>
          </w:p>
        </w:tc>
        <w:tc>
          <w:tcPr>
            <w:tcW w:w="2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12,043</w:t>
            </w:r>
          </w:p>
        </w:tc>
      </w:tr>
      <w:tr>
        <w:trPr>
          <w:trHeight w:val="196"/>
        </w:trPr>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86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INCOME (LOSS) PER COMMON SHARE: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586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Pr>
          <w:p>
            <w:pPr>
              <w:spacing w:after="0"/>
              <w:rPr>
                <w:sz w:val="22"/>
                <w:szCs w:val="22"/>
                <w:color w:val="auto"/>
              </w:rPr>
            </w:pPr>
          </w:p>
        </w:tc>
        <w:tc>
          <w:tcPr>
            <w:tcW w:w="5740" w:type="dxa"/>
            <w:vAlign w:val="bottom"/>
            <w:gridSpan w:val="3"/>
          </w:tcPr>
          <w:p>
            <w:pPr>
              <w:ind w:left="100"/>
              <w:spacing w:after="0"/>
              <w:rPr>
                <w:sz w:val="20"/>
                <w:szCs w:val="20"/>
                <w:color w:val="auto"/>
              </w:rPr>
            </w:pPr>
            <w:r>
              <w:rPr>
                <w:rFonts w:ascii="Arial" w:cs="Arial" w:eastAsia="Arial" w:hAnsi="Arial"/>
                <w:sz w:val="18"/>
                <w:szCs w:val="18"/>
                <w:color w:val="auto"/>
              </w:rPr>
              <w:t>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196"/>
        </w:trPr>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740" w:type="dxa"/>
            <w:vAlign w:val="bottom"/>
            <w:tcBorders>
              <w:top w:val="single" w:sz="8" w:color="CCEEFF"/>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48,781</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586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Pr>
          <w:p>
            <w:pPr>
              <w:spacing w:after="0"/>
              <w:rPr>
                <w:sz w:val="22"/>
                <w:szCs w:val="22"/>
                <w:color w:val="auto"/>
              </w:rPr>
            </w:pPr>
          </w:p>
        </w:tc>
        <w:tc>
          <w:tcPr>
            <w:tcW w:w="5740" w:type="dxa"/>
            <w:vAlign w:val="bottom"/>
            <w:gridSpan w:val="3"/>
          </w:tcPr>
          <w:p>
            <w:pPr>
              <w:ind w:left="100"/>
              <w:spacing w:after="0"/>
              <w:rPr>
                <w:sz w:val="20"/>
                <w:szCs w:val="20"/>
                <w:color w:val="auto"/>
              </w:rPr>
            </w:pPr>
            <w:r>
              <w:rPr>
                <w:rFonts w:ascii="Arial" w:cs="Arial" w:eastAsia="Arial" w:hAnsi="Arial"/>
                <w:sz w:val="18"/>
                <w:szCs w:val="18"/>
                <w:color w:val="auto"/>
              </w:rPr>
              <w:t>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196"/>
        </w:trPr>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740" w:type="dxa"/>
            <w:vAlign w:val="bottom"/>
            <w:tcBorders>
              <w:top w:val="single" w:sz="8" w:color="CCEEFF"/>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49,774</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r>
      <w:tr>
        <w:trPr>
          <w:trHeight w:val="216"/>
        </w:trPr>
        <w:tc>
          <w:tcPr>
            <w:tcW w:w="5860" w:type="dxa"/>
            <w:vAlign w:val="bottom"/>
            <w:gridSpan w:val="4"/>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(4,026)</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10"/>
        </w:trPr>
        <w:tc>
          <w:tcPr>
            <w:tcW w:w="5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(3,227)</w:t>
            </w:r>
          </w:p>
        </w:tc>
      </w:tr>
      <w:tr>
        <w:trPr>
          <w:trHeight w:val="209"/>
        </w:trPr>
        <w:tc>
          <w:tcPr>
            <w:tcW w:w="5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Held In</w:t>
            </w: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rPr>
              <w:t>(Unaudited)</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$ 452,142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$ 893,138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(36,864)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$ 1,290,672</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(39,295)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$ 449,840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$ 853,843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(35,679)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$ 1,246,234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$ 464,112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$ 758,881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(19,054)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$ 1,189,009</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(5,818)</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(5,686)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Cumulative effect of adoption of ASC 842</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(9,580)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8"/>
                <w:szCs w:val="18"/>
                <w:color w:val="auto"/>
              </w:rPr>
              <w:t>Balance as of April 30, 2019</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$ 456,835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$ 761,344</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(13,196)</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$ 1,186,826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center"/>
              <w:ind w:left="496"/>
              <w:spacing w:after="0" w:line="119"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7"/>
                <w:szCs w:val="17"/>
                <w:color w:val="auto"/>
              </w:rPr>
              <w:t>Net income (loss)</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(39,295)</w:t>
            </w:r>
          </w:p>
        </w:tc>
        <w:tc>
          <w:tcPr>
            <w:tcW w:w="4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9"/>
              </w:rPr>
              <w:t>Adjustments to reconcile net income (loss) to net cash used in operating activities: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9,867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on disposal of fixed 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7"/>
                <w:szCs w:val="17"/>
                <w:color w:val="auto"/>
              </w:rPr>
              <w:t>Non-cash operating lease costs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17,443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(gain) on lease terminations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7"/>
                <w:szCs w:val="17"/>
                <w:color w:val="auto"/>
              </w:rPr>
              <w:t>Dividend received from unconsolidated affiliate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Equity (gain) loss in unconsolidated affiliates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7"/>
                <w:szCs w:val="17"/>
                <w:color w:val="auto"/>
              </w:rPr>
              <w:t>Share-based compensation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financing charges and debt discount amortization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rPr>
                <w:sz w:val="20"/>
                <w:szCs w:val="20"/>
                <w:color w:val="auto"/>
              </w:rPr>
            </w:pPr>
            <w:r>
              <w:rPr>
                <w:rFonts w:ascii="Arial" w:cs="Arial" w:eastAsia="Arial" w:hAnsi="Arial"/>
                <w:sz w:val="17"/>
                <w:szCs w:val="17"/>
                <w:color w:val="auto"/>
              </w:rPr>
              <w:t>Deferred income taxes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(16,415)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7"/>
                <w:szCs w:val="17"/>
                <w:color w:val="auto"/>
              </w:rPr>
              <w:t>Accounts receivable, net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108,994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51,508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7"/>
                <w:szCs w:val="17"/>
                <w:color w:val="auto"/>
              </w:rPr>
              <w:t>Income taxes, net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7"/>
                <w:szCs w:val="17"/>
                <w:color w:val="auto"/>
              </w:rPr>
              <w:t>Other assets, net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(1,046)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Customer refund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(75,532)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300"/>
              <w:spacing w:after="0"/>
              <w:rPr>
                <w:sz w:val="20"/>
                <w:szCs w:val="20"/>
                <w:color w:val="auto"/>
              </w:rPr>
            </w:pPr>
            <w:r>
              <w:rPr>
                <w:rFonts w:ascii="Arial" w:cs="Arial" w:eastAsia="Arial" w:hAnsi="Arial"/>
                <w:sz w:val="17"/>
                <w:szCs w:val="17"/>
                <w:color w:val="auto"/>
              </w:rPr>
              <w:t>Operating lease liabilities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 accrued expenses and other liabilities</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(136,769)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cash used in operating activities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(73,096)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lease assets initial direct costs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Capital expenditures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used in investing activities</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7"/>
                <w:szCs w:val="17"/>
                <w:color w:val="auto"/>
              </w:rPr>
              <w:t>Repayment of borrowings - revolving facility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(355,477)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0"/>
              </w:rPr>
              <w:t>(482,496)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borrowings - revolving facility</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855,477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505,005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7"/>
                <w:szCs w:val="17"/>
                <w:color w:val="auto"/>
              </w:rPr>
              <w:t>Repayment of borrowings - unsecured term loan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borrowings - unsecured term loan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7"/>
                <w:szCs w:val="17"/>
                <w:color w:val="auto"/>
              </w:rPr>
              <w:t>Proceeds from exercise of equity awards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Taxes paid for net share settlements</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cash provided by financing activities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501,408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 currency translation adjustments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increase (decrease) in cash and cash equivalents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418,811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197,372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616,183</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 of cash flow information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80"/>
              <w:spacing w:after="0"/>
              <w:rPr>
                <w:sz w:val="20"/>
                <w:szCs w:val="20"/>
                <w:color w:val="auto"/>
              </w:rPr>
            </w:pPr>
            <w:r>
              <w:rPr>
                <w:rFonts w:ascii="Arial" w:cs="Arial" w:eastAsia="Arial" w:hAnsi="Arial"/>
                <w:sz w:val="17"/>
                <w:szCs w:val="17"/>
                <w:color w:val="auto"/>
              </w:rPr>
              <w:t>Cash payments: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net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7"/>
                <w:szCs w:val="17"/>
                <w:color w:val="auto"/>
              </w:rPr>
              <w:t>Income tax payments, net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653</w:t>
            </w:r>
          </w:p>
        </w:tc>
        <w:tc>
          <w:tcPr>
            <w:tcW w:w="4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8,844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for several product categories.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consolidates the accounts of its wholly-owned and majority-owned subsidiaries. KL North America B.V. (“KLNA”) and Fabco Holding B.V. (“Fabco”) are Dutch joint venture limited liability companies that are 49% owned by the Company. Karl Lagerfeld Holding B.V. (“KLH”) is a Dutch limited liability company that is 19% owned by the Company. These investments are accounted for using the equity method of accounting. All material intercompany balances and transactions have been eliminated.</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three-month period ended April 30, 2020, the results of Vilebrequin, KLH, KLNA and Fabco are included for the three-month period ended March 31, 2020. The Company’s retail operations segment reports on a 52/53-week fiscal year. The Company’s three-month periods ended April 30, 2020 and 2019 were each 13-week fiscal quarters for the retail operations segment. For fiscal 2021 and 2020, the three-month period for the retail operations segment ended on May 2, 2020 and May 4, 2019, respectively.</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results for the three months ended April 30, 2020 are not necessarily indicative of the results expected for the entire fiscal year, given the seasonal nature of the Company’s business and the significant effects of the COVID-19 pandemic on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2020 filed with the Securities and Exchange Commission (the “SEC”).</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Policies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April 10, 2020, the Financial Accounting Standards Board (“FASB”) issued a Staff Q&amp;A to respond to frequently asked questions about accounting for lease concessions related to the effects of the COVID-19 outbreak. Consequently, for lease concessions related to the effects of the COVID-19 outbreak, an entity will not have to analyze each lease to determine whether the enforceable rights and obligations for concessions exist in the contract and can elect to apply or not apply the lease modification guidance to those leases. Entities may make the elections for any lessor-provided concessions related to the effects of the outbreak (e.g., deferrals of lease payments, cash payments made to the lessee, or reduced future lease payments) as long as the concession does not result in a substantial increase in the rights of the lessor or the obligations of the lessee. The Company has elected to not apply the lease modification guidance for contracts with COVID-19 related rent concessions. As of April 30, 2020, the Company has $6.8 million of deferred lease payments recorded within accounts payable on its condensed consolidated balance sheets.</w:t>
      </w:r>
    </w:p>
    <w:p>
      <w:pPr>
        <w:sectPr>
          <w:pgSz w:w="11900" w:h="16838" w:orient="portrait"/>
          <w:cols w:equalWidth="0" w:num="1">
            <w:col w:w="9019"/>
          </w:cols>
          <w:pgMar w:left="1440" w:top="517"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 and Impact of COVID-19</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relies on its cash flows generated from operations and the borrowing capacity under its credit facilities to meet the cash requirements of its business. The primary cash requirements of its business are the seasonal buildup in inventory, compensation paid to employees, payments to suppliers in the normal course of business, capital expenditures, maturities of debt and related interest payments and income tax payments. The rapid expansion of the COVID-19 pandemic resulted in a sharp decline in net sales and earnings in the first quarter of fiscal 2021, which had a corresponding impact on the Company’s liquidity. The Company is focused on preserving its liquidity and managing its cash flow during these unprecedented conditions. The Company has taken preemptive actions to enhance its ability to meet its short-term liquidity needs, including, but not limited to, reducing payroll costs through employee furloughs and salary reductions, reduction of all discretionary spending, deferring certain lease payments, deferral of capital projects and drawing down on its revolving credit facility. In addition, the Company is closely monitoring its inventory needs and is working with its suppliers to curtail, or cancel, production of product that the Company believes will not be able to be sold in season. The Company has also been working with its suppliers and licensors to negotiate extended payment terms in order to preserve capital.</w:t>
      </w:r>
    </w:p>
    <w:p>
      <w:pPr>
        <w:spacing w:after="0" w:line="18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2020, in response to the uncertainty of the circumstances surrounding the COVID-19 outbreak, the Company borrowed an aggregate of $500 million under its revolving credit facility as a precautionary measure, to provide the Company with additional financial flexibility to manage its business during the unknown duration and impact of the COVID-19 pandemic. In May and June 2020, the Company repaid an aggregate of $500 million of its borrowings under the revolving credit facility as financial markets stabilized. As of April 30, 2020, the Company was in compliance with all covenants under its term loan and revolving credit facility.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2 – Allowance for Doubtful Accounts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February 1, 2020, the Company adopted Accounting Standards Update (“ASU”) 2016-13, “Financial Instruments-Credit Losses (Topic 326): Measurement of Credit Losses on Financial Instruments” which had no material impact on the Company’s financial statements. 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As a result of the COVID-19 pandemic, certain of the Company’s wholesale customers have asked for extended payment terms. Retail trade receivables primarily relate to amounts due from third-party credit card processors for the settlement of debit and credit card transactions and are typically collected within 3 to 5 days. The Company’s accounts receivable and allowance for doubtful accounts as of April 30, 2020 were:</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5"/>
              </w:rPr>
              <w:t>April 30, 2020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460"/>
              <w:spacing w:after="0" w:line="128"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Accounts receivable, gross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428,762</w:t>
            </w:r>
          </w:p>
        </w:tc>
        <w:tc>
          <w:tcPr>
            <w:tcW w:w="3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2,828</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431,590</w:t>
            </w:r>
          </w:p>
        </w:tc>
        <w:tc>
          <w:tcPr>
            <w:tcW w:w="20" w:type="dxa"/>
            <w:vAlign w:val="bottom"/>
          </w:tcPr>
          <w:p>
            <w:pPr>
              <w:spacing w:after="0"/>
              <w:rPr>
                <w:sz w:val="20"/>
                <w:szCs w:val="20"/>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(10,419)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0" w:type="dxa"/>
            <w:vAlign w:val="bottom"/>
          </w:tcPr>
          <w:p>
            <w:pPr>
              <w:spacing w:after="0"/>
              <w:rPr>
                <w:sz w:val="18"/>
                <w:szCs w:val="18"/>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418,343</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421,143</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allowance for doubtful accounts for wholesale trade receivables is estimated based on several factors. In circumstances where the Company is aware of a specific customer’s inability to meet its financial obligation (such as in the case of bankruptcy filings (including potential bankruptcy filings), extensive delay in payment or substantial downgrading by credit rating agencies),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allowance for doubtful accounts for retail trade receivables is estimated as the credit card chargeback rate applied to the previous 90 days of credit card sales. In addition, the Company considers both current and forecasted future economic conditions in determining the adequacy of its allowance for doubtful accounts.</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three months ended April 30, 2020, the Company recorded a $9.7 million increase in its allowance for doubtful accounts primarily due to allowances recorded against the outstanding receivables of certain department store customers that have publicly announced bankruptcy filings or possible bankruptcy filings. The Company had the following activity in its allowance for credit losses for the three months ended April 30, 2020:</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5"/>
              </w:rPr>
              <w:t>April 30, 2020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Wholesale</w:t>
            </w: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Retail</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(9,791)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(9,737)</w:t>
            </w:r>
          </w:p>
        </w:tc>
        <w:tc>
          <w:tcPr>
            <w:tcW w:w="20" w:type="dxa"/>
            <w:vAlign w:val="bottom"/>
          </w:tcPr>
          <w:p>
            <w:pPr>
              <w:spacing w:after="0"/>
              <w:rPr>
                <w:sz w:val="18"/>
                <w:szCs w:val="18"/>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3 – Inventories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$21.3 million, $35.5 million and $31.0 million as of April 30, 2020, April 30, 2019 and January 31, 2020 respectively. The inventory return asset is recorded within prepaid expenses and other current assets on the condensed consolidated balance sheets.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Inventory held on consignment by the Company’s customers totaled $6.6 million, $3.8 million and $9.1 million at April 30, 2020, April 30, 2019 and January 31, 2020, respectively. Consignment inventory is stored at the facilities of the Company’s customers. The Company reflects this inventory on its condensed consolidated balance sheets.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4 – Fair Value of Financial Instruments</w:t>
      </w:r>
    </w:p>
    <w:p>
      <w:pPr>
        <w:spacing w:after="0" w:line="21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71"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48"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8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April 30,</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April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88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April 30,</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April 30,</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417"/>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300,000</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  300,000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22,509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960" w:type="dxa"/>
            <w:vAlign w:val="bottom"/>
          </w:tcPr>
          <w:p>
            <w:pPr>
              <w:jc w:val="right"/>
              <w:spacing w:after="0"/>
              <w:rPr>
                <w:sz w:val="20"/>
                <w:szCs w:val="20"/>
                <w:color w:val="auto"/>
              </w:rPr>
            </w:pPr>
            <w:r>
              <w:rPr>
                <w:rFonts w:ascii="Arial" w:cs="Arial" w:eastAsia="Arial" w:hAnsi="Arial"/>
                <w:sz w:val="18"/>
                <w:szCs w:val="18"/>
                <w:color w:val="auto"/>
              </w:rPr>
              <w:t>22,509</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103,438</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97,938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95,126</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Unsecured loans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4,504</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 2% note issued to LVMH Moet Hennessy Louis Vuitton Inc. (“LVMH”) in connection with the acquisition of Donna Karan International (“DKI”) was issued at a discount of $40.0 million in accordance with Accounting Standards Codification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note issued to LVMH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the first quarter of fiscal 2020, the Company recorded an impairment of $9.6 million, net of tax, in connection with the adoption of ASC 842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that was recognized through retained earnings.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5 – Leases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5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lease assets and liabilities as of April 30, 2020, April 30, 2019 and January 31, 2020 consist of the following:</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 2019</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31, 2020</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270,032</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320,169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270,032</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290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63,632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74,761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63,166</w:t>
            </w:r>
          </w:p>
        </w:tc>
      </w:tr>
      <w:tr>
        <w:trPr>
          <w:trHeight w:val="216"/>
        </w:trPr>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Noncurrent 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231,323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249,040</w:t>
            </w:r>
          </w:p>
        </w:tc>
      </w:tr>
      <w:tr>
        <w:trPr>
          <w:trHeight w:val="21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294,955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361,424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312,206</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recorded lease costs of $22.4 million and $25.0 million during the three months ended April 30, 2020 and 2019, respectively. Lease costs are recorded within selling, general and administrative expenses in the Company’s condensed consolidated statements of operations and comprehensive income (loss). The Company recorded variable lease costs and short-term lease costs of $3.4 million and $3.3 million for the three months ended April 30, 2020 and 2019, respectively. Short-term lease costs are immaterial.</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April 30, 2020, the Company’s maturity of operating lease liabilities in the years ending up to January 31, 2025 and thereafter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76,088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52,732</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42,709</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58,068</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360,245</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65,290</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294,955</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April 30, 2020, there are no material leases that are legally binding but have not yet commenced.</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April 30, 2020, the weighted average remaining lease term related to operating leases is 5.1 years. The weighted average discount rate related to operating leases is 7.9%.</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is $23.4 million and $26.4 million during the periods ended April 30, 2020 and 2019, respectively. Right-of-use assets obtained in exchange for lease obligations were $4.6 million and $1.8 million as of April 30, 2020 and 2019,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6 – Goodwill and Intangible Assets</w:t>
      </w:r>
    </w:p>
    <w:p>
      <w:pPr>
        <w:spacing w:after="0" w:line="225"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As of April 30, 2020, there is $259.9 million of goodwill and $437.6 million of indefinite-lived trademarks recorded on the Company’s condensed consolidated balance sheet. The Company reviews and tests its goodwill and intangible assets with indefinite lives for impairment annually, or more frequently if events or changes in circumstances indicate that the carrying amount of such assets may be impaired. Due to the impact of the COVID-19 pandemic on the Company’s operations, the Company performed a quantitative test of its goodwill as of April 30, 2020 using an income approach through a discounted cash flow analysis methodology. The discounted cash flow approach requires that certain assumptions and estimates be made regarding industry economic factors and future profitability. The Company also performed quantitative tests of each of its indefinite-lived intangible assets using a relief from royalty method, another form of the income approach. The relief from royalty method requires assumptions regarding industry economic factors and future profitability. There were no impairments identified as of April 30, 2020 as a result of these tests.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While no impairment was identified as of the test date, $370.0 million of the Company’s indefinite-lived trademarks could be deemed to have a risk of future impairment as there is limited excess fair value over the carrying value of these assets at April 30, 2020. The continued impact of the COVID-19 pandemic could give rise to global and regional macroeconomic factors that could impact the Company’s assumptions relating to net sales growth rates, discount rates, tax rates or royalty rates and may result in future impairment charges for indefinite-lived intangible assets.</w:t>
      </w:r>
    </w:p>
    <w:p>
      <w:pPr>
        <w:spacing w:after="0" w:line="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fair value of the Company’s goodwill and indefinite-lived intangible assets are considered a Level 3 valuation in the fair value hierarchy.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7 – Net Income (Loss) per Common Share</w:t>
      </w:r>
    </w:p>
    <w:p>
      <w:pPr>
        <w:spacing w:after="0" w:line="14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355,900 shares of common stock have been excluded from the diluted net income per share calculation for the three months ended April 30, 2019. All share-based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(loss) per share: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60" w:type="dxa"/>
            <w:vAlign w:val="bottom"/>
            <w:gridSpan w:val="7"/>
          </w:tcPr>
          <w:p>
            <w:pPr>
              <w:jc w:val="center"/>
              <w:ind w:right="432"/>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(39,295)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Basic common shares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8"/>
                <w:szCs w:val="18"/>
                <w:color w:val="auto"/>
                <w:w w:val="94"/>
              </w:rPr>
              <w:t>Dilutive restricted stock unit awards and stock options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Diluted common shares</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Note 8 – Notes Payable</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Pr>
          <w:p>
            <w:pPr>
              <w:spacing w:after="0"/>
              <w:rPr>
                <w:sz w:val="23"/>
                <w:szCs w:val="23"/>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April 30, 2019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22,509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Unsecured loans</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929,504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447,509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(6,748)</w:t>
            </w:r>
          </w:p>
        </w:tc>
        <w:tc>
          <w:tcPr>
            <w:tcW w:w="1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(9,360)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discount</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(21,562)</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ind w:left="4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900,682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411,087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80" w:right="79" w:hanging="330"/>
        <w:spacing w:after="0" w:line="23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5"/>
          <w:szCs w:val="15"/>
          <w:color w:val="auto"/>
        </w:rPr>
        <w:t>Does not include debt issuance costs, net of amortization, totaling $3.9 million, $6.4 million and $4.6 million as of April 30, 2020, April 30, 2019 and January 31, 2020, respectively, related to the revolving credit facility. These debt issuance costs have been deferred and are classified in prepaid expenses and other current assets in the accompanying condensed consolidated balance sheets in accordance with ASU 2015-15.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w:t>
      </w:r>
    </w:p>
    <w:p>
      <w:pPr>
        <w:spacing w:after="0" w:line="158"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 borrowed $350.0 million under a senior secured term loan facility (the “Term Loan”) that matures in December 2022. The Company prepaid $50.0 million in principal amount of the Term Loan, reducing the principal balance of the Term Loan to $300.0 million. The Term Loan is guaranteed by certain of the Company’s subsidiaries.</w:t>
      </w:r>
    </w:p>
    <w:p>
      <w:pPr>
        <w:spacing w:after="0" w:line="9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80" w:hanging="230"/>
        <w:spacing w:after="0"/>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or</w:t>
      </w:r>
    </w:p>
    <w:p>
      <w:pPr>
        <w:spacing w:after="0" w:line="20" w:lineRule="exact"/>
        <w:rPr>
          <w:rFonts w:ascii="Arial" w:cs="Arial" w:eastAsia="Arial" w:hAnsi="Arial"/>
          <w:sz w:val="17"/>
          <w:szCs w:val="17"/>
          <w:color w:val="auto"/>
        </w:rPr>
      </w:pPr>
    </w:p>
    <w:p>
      <w:pPr>
        <w:ind w:left="60" w:right="59" w:hanging="10"/>
        <w:spacing w:after="0" w:line="290" w:lineRule="auto"/>
        <w:tabs>
          <w:tab w:leader="none" w:pos="38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LIBOR rate for a borrowing with an interest period of one month) plus 4.25%, per annum, payable in cash. As of April 30, 2020, interest under the Term Loan was being paid at a weighted average rate of 6.66% per annum.</w:t>
      </w:r>
    </w:p>
    <w:p>
      <w:pPr>
        <w:spacing w:after="0" w:line="9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Term Loan is secured by certain assets of the Company and certain of its subsidiaries. The Term Loan is required to be prepaid with the proceeds of certain asset sales if such proceeds are not applied as required by the Term Loan within specified deadlines. The Term Loan contains covenants that, among other things, restrict the Company’s ability, subject to certain exceptions, to incur additional debt; incur liens; sell or dispose of certain assets; merge with other companies; liquidate or dissolve the Company; acquire other companies; make loans, advances, or guarantees; and make certain investments. This loan also includes a mandatory prepayment provision based on excess cash flow as defined in the term loan agreement. A first lien leverage covenant requires the Company to maintain a level of debt to EBITDA at a ratio as defined in the term loan agreement. As of April 30, 2020, the Company was in compliance with these covenants.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Revolving Credit Facility</w:t>
      </w:r>
    </w:p>
    <w:p>
      <w:pPr>
        <w:spacing w:after="0" w:line="15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has a $650 million credit agreement (the “revolving credit facility”) under which amounts available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1" w:lineRule="exact"/>
        <w:rPr>
          <w:sz w:val="20"/>
          <w:szCs w:val="20"/>
          <w:color w:val="auto"/>
        </w:rPr>
      </w:pPr>
    </w:p>
    <w:p>
      <w:pPr>
        <w:jc w:val="both"/>
        <w:ind w:left="60" w:right="59" w:hanging="10"/>
        <w:spacing w:after="0" w:line="252" w:lineRule="auto"/>
        <w:tabs>
          <w:tab w:leader="none" w:pos="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a margin of 0.25% to 0.75%, with the applicable margin determined based on the availability under the revolving credit facility agreement.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revolving credit facility is secured by specified assets of the Company and certain of its subsidiaries.</w:t>
      </w:r>
    </w:p>
    <w:p>
      <w:pPr>
        <w:spacing w:after="0" w:line="15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April 30, 2020, the Company was in compliance with these covenants.</w:t>
      </w:r>
    </w:p>
    <w:p>
      <w:pPr>
        <w:spacing w:after="0" w:line="9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April 30, 2020, the Company had $500 million of borrowings outstanding under the revolving credit facility, all of which are classified as long-term liabilities. This borrowing was a precautionary measure in response to the uncertainty of the circumstances surrounding the COVID-19 outbreak. The Company subsequently repaid an aggregate of $500 million of its borrowing under the revolving credit facility in May and June 2020.</w:t>
      </w:r>
    </w:p>
    <w:p>
      <w:pPr>
        <w:spacing w:after="0" w:line="11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As of April 30, 2020, interest under the revolving credit agreement was being paid at an average rate of 2.13% per annum. The revolving credit facility also includes amounts available for letters of credit. As of April 30, 2020, there were outstanding trade and standby letters of credit amounting to $10.5 million and $5.2 million, respectively.</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ectPr>
          <w:pgSz w:w="11900" w:h="16838" w:orient="portrait"/>
          <w:cols w:equalWidth="0" w:num="1">
            <w:col w:w="9019"/>
          </w:cols>
          <w:pgMar w:left="1440" w:top="51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April 15, 2019, T.R.B. International SA (“TRB”), a subsidiary of Vilebrequin, borrowed €3.0 million under an unsecured loan (the “2019 Unsecured Loan”). During the term of the 2019 Unsecured Loan, TRB is required to make quarterly installment payments of €0.2 million. Interest on the outstanding principal amount of the 2019 Unsecured Loan accrues at a fixed rate equal to 1.50% per annum, payable quarterly. The 2019 Unsecured Loan originally matured on April 15, 2024. Due to the COVID-19 outbreak, the bank agreed to amend the 2019 Unsecured Loan to suspend the March and June 2020 quarterly installment payments and add these payments to the balance due at the end of the loan term. The 2019 Unsecured Loan now matures on September 15, 2024.</w:t>
      </w:r>
    </w:p>
    <w:p>
      <w:pPr>
        <w:spacing w:after="0" w:line="17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February 3, 2020, TRB borrowed €1.7 million under another unsecured loan (the “2020 Unsecured Loan”). During the term of the 2020 Unsecured Loan, TRB is required to make quarterly installment payments of €0.1 million. Interest on the outstanding principal amount of the 2020 Unsecured Loan accrues at a fixed rate equal to 1.50% per annum, payable quarterly. The 2020 Unsecured Loan originally matured on March 31, 2025. Due to the COVID-19 outbreak, the bank agreed to amend the 2020 Unsecured Loan to suspend the June 2020 quarterly installment payment and add this payment to the balance due at the end of the loan term. The 2020 Unsecured Loan now matures on June 30, 2025.</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9 – 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Wholesale Operations Segment. </w:t>
      </w:r>
      <w:r>
        <w:rPr>
          <w:rFonts w:ascii="Arial" w:cs="Arial" w:eastAsia="Arial" w:hAnsi="Arial"/>
          <w:sz w:val="17"/>
          <w:szCs w:val="17"/>
          <w:color w:val="auto"/>
        </w:rPr>
        <w:t>Wholesale revenues include sales of products to retailers under owned, licensed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G.H. Bass, Andrew Marc and Vilebrequin trademarks owned by the Company. As of April 30, 2020, revenues from license agreements represented an insignificant portion of wholesale revenues.</w:t>
      </w:r>
    </w:p>
    <w:p>
      <w:pPr>
        <w:spacing w:after="0" w:line="18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Retail Operations Segment. </w:t>
      </w:r>
      <w:r>
        <w:rPr>
          <w:rFonts w:ascii="Arial" w:cs="Arial" w:eastAsia="Arial" w:hAnsi="Arial"/>
          <w:sz w:val="16"/>
          <w:szCs w:val="16"/>
          <w:color w:val="auto"/>
        </w:rPr>
        <w:t>Retail store revenues are generated by direct sales to consumers through company-operated</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$4.1 million, $6.3 million and $5.9 million at April 30, 2020, April 30, 2019 and January 31, 2020, respectively. The Company recognized $3.5 million in revenue for the three months ended April 30, 2020 related to contract liabilities that existed at January 31, 2020. The Company recognized $4.3 million in revenue for the three months ended April 30, 2019 related to contract liabilities that existed at January 31, 2019. There were no contract assets recorded as of April 30, 2020, April 30, 2019 and January 31, 2019. Substantially all of the advance payments from licensees as of April 30, 2020 are expected to be recognized as revenue within the next twelve months.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10 – Segments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consisting primarily of Wilsons Leather, G.H. Bass and DKNY stores, substantially all of which are operated as outlet stores. Sales through Company-owned websites, with the exception of Vilebrequin, are also included in the retail operations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is presented for the three-month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0"/>
          </w:tcPr>
          <w:p>
            <w:pPr>
              <w:jc w:val="center"/>
              <w:ind w:right="160"/>
              <w:spacing w:after="0"/>
              <w:rPr>
                <w:sz w:val="20"/>
                <w:szCs w:val="20"/>
                <w:color w:val="auto"/>
              </w:rPr>
            </w:pPr>
            <w:r>
              <w:rPr>
                <w:rFonts w:ascii="Arial" w:cs="Arial" w:eastAsia="Arial" w:hAnsi="Arial"/>
                <w:sz w:val="14"/>
                <w:szCs w:val="14"/>
                <w:b w:val="1"/>
                <w:bCs w:val="1"/>
                <w:color w:val="auto"/>
                <w:w w:val="95"/>
              </w:rPr>
              <w:t>Three Months Ended April 30,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5"/>
          </w:tcPr>
          <w:p>
            <w:pPr>
              <w:jc w:val="center"/>
              <w:ind w:left="35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405,131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266,639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280,730</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112,232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154,620</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(Gain) loss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3,187</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5"/>
              </w:rPr>
              <w:t>Three Months Ended April 30, 2019</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5"/>
          </w:tcPr>
          <w:p>
            <w:pPr>
              <w:jc w:val="center"/>
              <w:ind w:left="35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(18,991)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371,580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(18,991)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397,488</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236,064</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147,258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(829)</w:t>
            </w: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 w:lineRule="exact"/>
        <w:rPr>
          <w:sz w:val="20"/>
          <w:szCs w:val="20"/>
          <w:color w:val="auto"/>
        </w:rPr>
      </w:pPr>
    </w:p>
    <w:p>
      <w:pPr>
        <w:ind w:left="320" w:hanging="270"/>
        <w:spacing w:after="0"/>
        <w:tabs>
          <w:tab w:leader="none" w:pos="32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200" w:lineRule="exact"/>
        <w:rPr>
          <w:rFonts w:ascii="Arial" w:cs="Arial" w:eastAsia="Arial" w:hAnsi="Arial"/>
          <w:sz w:val="24"/>
          <w:szCs w:val="24"/>
          <w:color w:val="auto"/>
          <w:vertAlign w:val="superscript"/>
        </w:rPr>
      </w:pPr>
    </w:p>
    <w:p>
      <w:pPr>
        <w:spacing w:after="0" w:line="223" w:lineRule="exact"/>
        <w:rPr>
          <w:rFonts w:ascii="Arial" w:cs="Arial" w:eastAsia="Arial" w:hAnsi="Arial"/>
          <w:sz w:val="24"/>
          <w:szCs w:val="24"/>
          <w:color w:val="auto"/>
          <w:vertAlign w:val="superscript"/>
        </w:rPr>
      </w:pPr>
    </w:p>
    <w:p>
      <w:pPr>
        <w:ind w:left="4420"/>
        <w:spacing w:after="0"/>
        <w:rPr>
          <w:rFonts w:ascii="Arial" w:cs="Arial" w:eastAsia="Arial" w:hAnsi="Arial"/>
          <w:sz w:val="24"/>
          <w:szCs w:val="24"/>
          <w:color w:val="auto"/>
          <w:vertAlign w:val="superscript"/>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April 30, 2019</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January 31, 2020</w:t>
            </w:r>
          </w:p>
        </w:tc>
      </w:tr>
      <w:tr>
        <w:trPr>
          <w:trHeight w:val="142"/>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1,912,175</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376,619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272,832</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812,283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256,687</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380,130</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2,798,961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2,446,544</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2,565,137</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11 – Stockholders’ Equity</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April 30, 2020, the Company issued no shares of common stock and utilized 42,195 shares of treasury stock in connection with the vesting of equity awards. For the three months ended April 30, 2019, the Company issued no shares of common stock and utilized 207,325 shares of treasury stock in connection with the vesting of equity awards.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12 – Income Taxes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recorded an income tax benefit of $16.4 million for the three months ended April 30, 2020. The Company recorded income tax expense of $2.6 million for the three months ended April 30, 2019. Historically, the Company has calculated its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the Company used a discrete effective tax rate method to calculate taxes for the three-month period ended April 30, 2020. The Company will continue to evaluate income tax estimates under the historical method in subsequent quarters and employ a discrete effective tax rate method if warranted.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13 – Canadian Customs Duty Examination</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2" w:lineRule="exact"/>
        <w:rPr>
          <w:sz w:val="20"/>
          <w:szCs w:val="20"/>
          <w:color w:val="auto"/>
        </w:rPr>
      </w:pPr>
    </w:p>
    <w:p>
      <w:pPr>
        <w:ind w:left="60" w:right="79" w:hanging="10"/>
        <w:spacing w:after="0" w:line="260" w:lineRule="auto"/>
        <w:tabs>
          <w:tab w:leader="none" w:pos="292"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Canada to the vendor. The CBSA has also requested that G-III Canada change the valuation method used to pay duties with respect to goods imported in the future.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There were no amounts paid and deferred for the three months ended April 30, 2020, related to the higher dutiable values. Cumulative amounts paid and deferred through April 30, 2020, related to the higher dutiable values, were CAD$13.5 million ($9.7 million).</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14 – Recent Adopted and Issued Accounting Pronouncements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This pronouncement changed how entities account for credit impairment for trade and other receivables, as well as for certain financial assets and other instruments. ASU 2016-13 replaced the “incurred loss” model with an “expected loss” model. Under the “incurred loss” model, a loss (or allowance) was recognized only when an event had occurred (such as a payment delinquency) that caused the entity to believe that a loss was probable (i.e., that it had been “incurred”). Under the “expected loss” model, an entity recognizes a loss (or allowance) upon initial recognition of the asset that reflects all future events that may lead to a loss being realized, regardless of whether it is probable that the future event will occur. The “incurred loss” model considered past events and current conditions, while the “expected loss” model includes expectations for the future which have yet to occur. The Company adopted ASU 2016-16 as of February 1, 2020. The adoption of this standard did not result in a material change to the Company’s condensed consolidated financial statements.</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made a number of changes meant to add, modify or remove certain disclosure requirements associated with the movement among or hierarchy associated with Level 1, Level 2 and Level 3 fair value measurements. The amendments in ASU 2018-13 modified the disclosure requirements with respect to fair value measurements based on the concepts in FASB Concepts Statement, Conceptual Framework for Financial Reporting—Chapter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have been applied prospectively in the initial fiscal year of adoption. All other amendments have been applied retrospectively to all periods presented in the initial year of adoption. The Company adopted the standard effective February 1, 2020. The adoption of this standard did not result in a material change to the Company’s condensed consolidated financial statements.</w:t>
      </w:r>
    </w:p>
    <w:p>
      <w:pPr>
        <w:spacing w:after="0" w:line="17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which addresses the accounting for implementation costs incurred in a cloud computing arrangement (“CCA”) that is a service contract. ASU 2018-15 aligned the accounting for costs incurred to implement a CCA that is a service arrangement with the guidance on capitalizing costs associated with developing or obtaining internal-use software. Specifically, ASU 2018-15 amended ASC 350 to include in its scope implementation costs of a CCA that is a service contract and clarifies that a customer should apply ASC 350-40 to determine which implementation costs should be capitalized in a CCA that is considered a service contract. The Company adopted the standard effective February 1, 2020. The adoption of this standard did not result in a material change to the Company’s condensed consolidated financial statements.</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2020, the FASB issued ASU 2020-04, Reference Rate Reform (“ASC 848”): Facilitation of the Effects of Reference Rate Reform on Financial Reporting. The standard is intended to provide optional expedients and exceptions for applying GAAP to contract modifications and hedging relationships, subject to meeting certain criteria, that reference LIBOR or another rate that is expected to be discontinued. The guidance was effective upon issuance, and may be applied prospectively through December 31, 2022. The adoption of this standard did not result in a material change to the Company’s condensed consolidated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reviewed all recently issued accounting pronouncements and concluded that they were either not applicable or not expected to have a significant impact to the condensed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Note 15 – Subsequent Events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May and June 2020, the Company repaid an aggregate of $500 million of its borrowings under its revolving credit facility as financial markets stabilized.</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June 5, 2020, the Company announced the restructuring of its retail operations segment including the closing of all Wilsons Leather and G.H. Bass stores. Additionally, the Company will close all Calvin Klein Performance stores. In connection with the restructuring of the retail operations segment, the Company expects to incur an aggregate charge of approximately $100 million related to landlord termination fees, severance costs, store liquidation and closing costs, write-offs related to right-of-use assets and legal and professional fees. The Company expects the cash portion of this charge to be approximately $65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Unless the context otherwise requires, “G-III,” “us,” “we” and “our” refer to G-III Apparel Group, Ltd. and its subsidiaries. References to fiscal years refer to the year ended or ending on January 31 of that year. For example, our fiscal year ending January 31, 2021 is referred to as “fiscal 2021.”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three-month period ended April 30, 2020, the results of Vilebrequin, KLH, KLNA and Fabco are included for the three-month period ended March 31, 2020. We account for our investment in each of KLH, KLNA and Fabco using the equity method of accounting. The Company’s retail operations segment uses a 52/53-week fiscal year. The Company’s three-month period ended April 30, 2020 and 2019 were both a 13-week fiscal quarter for the retail operations segment. For fiscal 2021 and 2020, the retail operations segment three-month periods ended on May 2, 2020 and May 4, 2019 respectively.</w:t>
      </w:r>
    </w:p>
    <w:p>
      <w:pPr>
        <w:spacing w:after="0" w:line="18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1" w:lineRule="exact"/>
        <w:rPr>
          <w:sz w:val="20"/>
          <w:szCs w:val="20"/>
          <w:color w:val="auto"/>
        </w:rPr>
      </w:pPr>
    </w:p>
    <w:p>
      <w:pPr>
        <w:jc w:val="both"/>
        <w:ind w:left="720" w:right="79" w:hanging="319"/>
        <w:spacing w:after="0" w:line="269"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outbreak of COVID-19 and its numerous adverse effects, including the closing of stores and shopping malls, the reduction of consumer purchases of the types of products we sell, the impact on our supply chain, restrictions on travel and group gatherings and the general material adverse effect on the economy in the U.S. and around the world, all of which negatively impact our business, sales and results of operations;</w:t>
      </w:r>
    </w:p>
    <w:p>
      <w:pPr>
        <w:spacing w:after="0" w:line="1" w:lineRule="exact"/>
        <w:rPr>
          <w:rFonts w:ascii="Arial" w:cs="Arial" w:eastAsia="Arial" w:hAnsi="Arial"/>
          <w:sz w:val="17"/>
          <w:szCs w:val="17"/>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the proposal to implement a national security law in Hong Kong;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the restructuring of our retail operations, as well as the impact on our business and financial statements resulting from any related costs and charges which may be dilutive to our earnings;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our business and financial statements related to the early closure of stores or the termination of long-term leases;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the current economic and credit environment on us, our customers, suppliers and vendors;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redefinition of the retail store landscape in light of widespread retail store closings, the bankruptcy of a number of prominent retailers and the impact of online apparel purchases and innovations by e-commerce retailers;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effect on the price of our common stock if actual results are worse than financial forecasts; and</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pacing w:after="0" w:line="21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2020 and in Part II-Other Information, Item 1A. Risk Factors in this Quarterly Report on Form 10-Q. We undertake no obligation to publicly update or revise any forward-looking statements, whether as a result of new information, future events or otherwise, except as required by law.</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Restructuring of Our Retail Operations Segment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5, 2020, we announced a restructuring of our retail operations segment, including the closing of all Wilsons Leather and G.H. Bass stores. Additionally, we will close all Calvin Klein Performance stores. We have hired Hilco Global to assist in the liquidation of these stores, which will begin immediately or as stores reopen.</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After completion of the restructuring, our retail operations segment will consist of 41 DKNY stores and 13 Karl Lagerfeld Paris stores, as well as the e-commerce sites for DKNY, Donna Karan, Karl Lagerfeld Paris, Andrew Marc, Wilsons Leather and G.H. Bass. Part of our restructuring plan includes making significant changes to our DKNY and Karl Lagerfeld store operations. In addition to the stores operated as part of our retail operations segment, as of April 30, 2020, Vilebrequin products were distributed through 104 company-operated stores, as well as through 63 franchised locations and e-commerce stores in Europe and the United States.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restructuring of our retail operations, we expect to incur an aggregate charge of approximately $100 million related to landlord termination fees, severance costs, store liquidation and closing costs, write-offs related to right-of-use assets and legal and professional fees. A significant portion of these charges will be incurred during our second fiscal quarter ending July 31, 2020. We expect the cash portion of this charge to be approximately $65 million. We believe that this restructuring plan will enable us to greatly reduce our retail losses and to ultimately have this segment become profitable.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Outbreaks of COVID-19 were detected beginning in December 2019 and, in March 2020, the World Health Organization declared COVID-19 a pandemic. The President of the United States has declared a national emergency as a result of the COVID-19 pandemic.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COVID-19 pandemic has had multiple impacts on our business, including, but not limited to, the temporary closure of our customers’ stores and closures of our own stores in North America, a mandate to require our employees who work in our headquarters to work remotely and temporary disruption of our global supply chain. The COVID-19 pandemic has impacted our business operations and results of operations for the first quarter of fiscal 2021 resulting in lower sales, lower liquidity and higher leverage. COVID-19 could continue to have an adverse impact on our results of operations and liquidity, the operations of our suppliers, vendors and customers, and on our employees as a result of quarantines, facility closures, and travel and logistics restrictions. Even as businesses slowly begin to reopen as governmental restrictions are loosened with respect to stay at home orders and previously closed businesses, the ultimate economic impact of the COVID-19 pandemic is highly uncertain. We expect that our business operations and results of operations, including our net sales, earnings and cash flows, will be materially adversely impacted for at least the balance of fiscal 2021.</w:t>
      </w:r>
    </w:p>
    <w:p>
      <w:pPr>
        <w:spacing w:after="0" w:line="168"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During this crisis we are focused on protecting the health and safety of our employees, our customers, and our communities. We have taken precautionary measures intended to help minimize the risk of COVID-19 to our employees, including temporarily requiring employees to work remotely and temporarily closing all of our retail stores. Requiring our employees to work remotely may disrupt our operations or increase the risk of a cybersecurity incident.</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Most of our retail partners have closed their stores in North America, including our largest customer, Macy’s. Some of our customers, such as Costco and Sam’s Club, remain open for business. Our retail partners that have closed stores have asked to extend their payment terms with us. We continue to negotiate resolutions with our retail partners that are equitable and fiscally responsible for each of us. Certain of our retail partners have publicized actual or potential bankruptcy filings or other liquidity issues that could impact our anticipated income and cash flows, as well as require us to record additional accounts receivable reserves. In addition, we could be required to record increased excess and obsolete inventory reserves due to decreased sales or noncash impairment charges related to our intangible assets or goodwill due to reduced market values and cash flows.</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There is significant uncertainty around the breadth and duration of store closures and other business disruptions related to the COVID-19 pandemic, as well as its impact on the U.S. and global economies and on consumer willingness to visit stores once they re-open. Recently, consumer businesses have begun to re-open in many areas of the United States under governmental social distancing and other restrictions that are expected to limit the scope of operations compared to pre-COVID-19 business operations for an unknown period of time. These restrictions are expected to adversely impact sales even as retail stores continue to reopen. The extent to which COVID-19 impacts our results will depend on continued developments in the public and private responses to the pandemic. The continued impact of COVID-19 remains highly uncertain and cannot be predicted. New information may emerge concerning the severity of the outbreak and the actions taken to contain COVID-19 or treat its impact may change or become more restrictive if a second wave of infections occurs as a result of the loosening of governmental restrictions.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response to these challenges, we have taken measures to contain costs that include, but are not limited to, employee furloughs, temporary salary reductions, reduced advertising and other promotional spending and deferral of capital projects. We are also reviewing our inventory needs and working with suppliers to curtail, or cancel, production of product which we believe will not be able to be sold in season. We have also been working with our suppliers, landlords and licensors to renegotiate related agreements and extend payment terms in order to preserve capital.</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Due to the impact of the COVID-19 pandemic on our operations, we performed a quantitative test of our goodwill as of April 30, 2020 using an income approach through a discounted cash flow analysis methodology. The discounted cash flow approach requires that certain assumptions and estimates be made regarding industry economic factors and future profitability. We also performed quantitative tests of each of our indefinite-lived intangible assets using a relief from royalty method, another form of the income approach. The relief from royalty method requires assumptions regarding industry economic factors and future profitability. While no impairment was identified as of April 30, 2020 as a result of these tests, $370.0 million of our indefinite-lived trademarks could be deemed to have a risk of future impairment as there is limited excess fair value over the carrying value of the assets at April 30, 2020. The continued impact of the COVID-19 pandemic could give rise to global and regional macroeconomic factors that could impact our assumptions relating to net sales growth rates, discount rates, tax rates or royalty rates and may result in future impairment charges for indefinite-lived intangible assets.</w:t>
      </w:r>
    </w:p>
    <w:p>
      <w:pPr>
        <w:sectPr>
          <w:pgSz w:w="11900" w:h="16838" w:orient="portrait"/>
          <w:cols w:equalWidth="0" w:num="1">
            <w:col w:w="9019"/>
          </w:cols>
          <w:pgMar w:left="1440" w:top="517"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believe that we have sufficient cash and available capacity under our revolving credit facility to meet our liquidity needs. As of April 30, 2020, we had cash of approximately $616.2 million. Our cash balance included draw downs in March 2020 of $500 million under our revolving credit facility taken as a precautionary measure to provide us with additional financial flexibility to manage our business. In May and June 2020, we repaid an aggregate of $500 million of our borrowings under our revolving credit facility as the financial markets stabilized.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own proprietary brands include DKNY, Donna Karan, Vilebrequin, G.H. Bass, Eliza J, Jessica Howard, Andrew Marc and Marc New York.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believe that the international sales and profit opportunity is quite significant for our DKNY and Donna Karan businesses. We are also expanding our DKNY business globally through our distribution partners in key regions. The key markets in which our DKNY merchandise is currently distributed include the Middle East, Russia, Indonesia, the Philippines, South East Asia and Korea, as well as in China where we operate through a joint venture. Continued growth, brand development and marketing in these key markets is critical to driving global brand recognition.</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retail operations segment historically consisted primarily of direct sales to consumers through our company-operated stores. Prior to our restructuring of this segment, it was composed primarily of Wilsons Leather, G.H. Bass and DKNY stores, substantially all of which are operated as outlet stores, as well as a smaller number of Karl Lagerfeld Paris and Calvin Klein Performance stores. After completion of the restructuring, our retail operations segment will initially consist of 41 DKNY and 13 Karl Lagerfeld Paris stores, as well as the e-commerce sites for DKNY, Donna Karan, Karl Lagerfeld Paris, Andrew Marc, Wilsons Leather and G.H. Bass. Our ongoing plan for our retail business focuses on the operations and growth of our DKNY and Karl Lagerfeld Paris stores, as well as our e-commerce business. Our plan is based on the assumed continued strength of the DKNY and Karl Lagerfeld brands, improved store productivity, changes in planning and allocation and improvements in gross margin and payroll leverage.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Significant trends that affect the apparel industry include retail chains closing unprofitable stores, an increased focus by retail chains and others on expanding e-commerce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 The effects of the COVID-19 pandemic have accelerated these trends.</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 number of retailers are experiencing financial difficulties, which in some cases have resulted in bankruptcies, liquidations and/or store closings, such as the announced store closing plans for Macy’s and Lord &amp; Taylor, the announced bankruptcy filings of JCPenney, Neiman Marcus and other retailers and the potential bankruptcy of other retailers.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Tariffs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18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followed an earlier proposal by the United States government that would have imposed 25% tariffs on the balance of inbound trade from China, but that were suspended pending trade negotiations with</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China. In January 2020, the U.S. and China signed their Phase One Deal that rolled back certain tariffs and postponed certain tariffs that had been scheduled to go into effect on December 15, 2020.</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It is difficult to accurately estimate the impact on our business from these tariff actions or similar actions or when additional tariffs may become effective. For fiscal 2019, approximately 61% of the products that we sold were manufactured in China. For fiscal 2020, approximately 50% of the products that we sold were manufactured in China.</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Notwithstanding the Phase One Deal, the United States government continues to negotiate with China with respect to a trade deal, which could lead to the removal or postponement of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accelerating the receipt of inventory,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April 30, 2020 compared to three months ended April 30, 2019</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sales for the three months ended April 30, 2020 decreased to $405.1 million from $633.6 million in the same period last year. Net sales of our segments are reported before intercompany eliminations.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Net sales of our wholesale operations segment decreased to $378.9 million for the three months ended April 30, 2020 from $570.6 million in the comparable period last year. We experienced a significant decrease in net sales across substantially all of our brands due to the effects of restrictions on business and personal activities imposed by governments in connection with the COVID-19 pandemic. As a result, most of our retail partners closed their stores in North America beginning in mid-March, 2020, including our largest customer, Macy’s. These closures were still in effect as of April 30, 2020, the end of our first fiscal quarter. The governmental restrictions imposed in connection with the COVID-19 pandemic have resulted in significant increases in unemployment, a reduction in business activity and a reduction in consumer spending on apparel and accessories, all of which contributed to the reduction of our net sales which occurred during the second half of the three month period.</w:t>
      </w:r>
    </w:p>
    <w:p>
      <w:pPr>
        <w:spacing w:after="0" w:line="1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Net sales of our retail operations segment were $33.9 million for the three months ended April 30, 2020 compared to $81.9 million in the same period last year. This decrease primarily reflected the closure of our retail stores in March 2020 and reduced demand as a result of disruptions related to COVID-19. Same store sales decreased across all store brands due to the COVID-19 related store closures. Net sales of our retail operations segment were also negatively affected by the decrease in the number of stores operated by us from 296 at April 30, 2019 to 257 at April 30, 2020. The number of retail stores operated by us and, as a result, the net sales of our retail operations segment will be reduced significantly as a result of the restructuring of our retail operations segment.</w:t>
      </w:r>
    </w:p>
    <w:p>
      <w:pPr>
        <w:spacing w:after="0" w:line="17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Gross profit was $124.4 million, or 30.7% of net sales, for the three months ended April 30, 2020, compared to $236.1 million, or 37.3% of net sales, in the same period last year. The gross profit percentage in our wholesale operations segment was 29.6% in the three months ended April 30, 2020 compared to 34.8% in the same period last year. The gross profit percentage in our retail operations segment was 35.9% for the three months ended April 30, 2020 compared to 45.2% for the same period last year. Gross profit for both our wholesale and retail segment were negatively impacted by the negative effects of the COVID-19 pandemic on our net sales caused by closures of our retail stores and the stores of most of our retail partners. In addition, our wholesale gross profit percentage was negatively impacted as a result of recognizing certain fixed costs, primarily higher effective royalty rates, over a reduced sales base.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Selling, general and administrative expenses decreased to $154.6 million in the three months ended April 30, 2020 from $201.9 million in the same period last year. The decrease in expenses was primarily due to a decrease of $36.1 million in personnel costs including salaries, bonus, share-based compensation and payroll taxes as a result of employee furloughs and salary reductions implemented by us in response to the COVID-19. In addition, there were decreases of $10.2 million in advertising, $3.2 million in rent and facility costs and $2.8 million in third-party warehouse expenses. These decreases were offset, in part, by a $9.7 million increase in bad debt expense primarily related to allowances recorded against the outstanding receivables of certain department store customers that have publicly announced bankruptcy filings or potential bankruptcy filings. Selling, general and administrative expenses will be further reduced as a result of the restructuring of our retail operations segment, but will increase as we bring back furloughed employees as we respond to the re-opening of the U.S. economy.</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Depreciation and amortization was $9.9 million for the three months ended April 30, 2020 compared to $9.5 million in the same period last year. The increase in expense is due to capital expenditures during the last twelve months.</w:t>
      </w:r>
    </w:p>
    <w:p>
      <w:pPr>
        <w:spacing w:after="0" w:line="14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Other loss was $2.1 million in the three months ended April 30, 2020 compared to $0.6 million for the same period last year. This increase is primarily the result of recording $1.5 million of foreign currency losses during the three months ended April 30, 2020 compared to $0.1 million during the three months ended April 30, 2019. In addition, we recorded $0.6 million in losses from unconsolidated affiliates during the three months ended April 30, 2020 compared to $0.1 million of losses in the same period last year.</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Interest and financing charges, net, for the three months ended April 30, 2020 were $10.4 million compared to $10.3 million for the same period last year. Borrowings were greater in the three months ended April 30, 2020 due to our borrowing of $500 million under our revolving credit facility during March 2020 as a precautionary measure to maintain our financial liquidity during the COVID-19 pandemic. However, interest expense was only slightly higher for the three month period because interest rates were lower during the three months ended April 30, 2020 as compared to the same period last year.</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Income tax benefit was $16.4 million for the three months ended April 30, 2020 compared to income tax expense of $2.6 million for the same period last year primarily due to our net loss position resulting from the significant decrease in net sales due to the effects of the COVID-19 pandemic. Our effective tax rate increased to 29.5% in the current year’s quarter from 17.5% in last year’s comparable quarter primarily due to a U.S. federal net operating loss carryback to a tax year with a 35% federal tax rate compared to the current federal tax rate of 21% as well as a decrease in excess tax benefits in connection with the vesting of equity awards.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Historically, we calculated our provision for income taxes during interim reporting periods by applying the estimated annual effective tax rate for the full fiscal year to pre-tax income or loss, excluding discrete items, for the reporting period. Due to the uncertainty related to the impact of the COVID-19 pandemic on our operations, we have used a discrete effective tax rate method to calculate taxes for the three-month period ended April 30, 2020. We will continue to evaluate income tax estimates under the historical method in subsequent quarters and employ a discrete effective tax rate method if warranted.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Requirements and Trends and Uncertainties Affecting Liquidity</w:t>
      </w:r>
    </w:p>
    <w:p>
      <w:pPr>
        <w:spacing w:after="0" w:line="15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rely on our cash flows generated from operations and the borrowing capacity under our revolving credit facility to meet the cash requirements of our business. The primary cash requirements of our business are the seasonal buildup in inventories, compensation paid to employees, payments to vendors in the normal course of business, capital expenditures, maturities of debt and related interest payments and income tax payments. The rapid expansion of the COVID-19 pandemic resulted in a sharp decline in net sales and earnings in the first quarter of fiscal 2021, which has a corresponding impact on our liquidity. We are focused on preserving our liquidity and managing our cash flow during these unprecedented conditions. We have taken preemptive actions to enhance our ability to meet our short-term liquidity needs including, but not limited to, reducing payroll costs through employee furloughs and salary reductions, deferring certain lease payments, deferral of capital projects and drawing down on our revolving credit facility. In addition, we are closely monitoring our inventory needs and we are working with our suppliers to curtail, or cancel, production of product that we believe will not be able to be sold in season. We have also been working with our suppliers, landlords and licensors to renegotiate related agreements and extend payment terms in order to preserve capital.</w:t>
      </w:r>
    </w:p>
    <w:p>
      <w:pPr>
        <w:sectPr>
          <w:pgSz w:w="11900" w:h="16838" w:orient="portrait"/>
          <w:cols w:equalWidth="0" w:num="1">
            <w:col w:w="9019"/>
          </w:cols>
          <w:pgMar w:left="1440" w:top="517" w:right="1440" w:bottom="1440" w:gutter="0" w:footer="0" w:header="0"/>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March 2020, in response to the uncertainty surrounding the COVID-19 pandemic, we borrowed an aggregate of $500 million under our revolving credit facility as a precautionary measure to provide us with additional financial flexibility to manage our business during the unknown duration and impact of the COVID-19 pandemic. In May and June 2020, we repaid an aggregate of $500 million of our borrowings under the revolving credit facility. As of April 30, 2020, we were in compliance with all covenants under our term loan and revolving credit facility.</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cannot be sure that our assumptions used to estimate our liquidity requirements will remain accurate due to the unprecedented nature of the disruption to our operations and the unpredictability of the COVID-19 outbreak. As a result, the impact of COVID-19 on our future earnings and cash flows could continue to have a material impact on our results of operations and financial condition depending on the duration of the COVID-19 pandemic. We believe we have sufficient cash and available borrowings for our foreseeable liquidity needs.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are party to a five-year senior secured credit facility providing for borrowings in the aggregate principal amount of up to $650 million (the “revolving credit facility”).</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Amounts available under the revolving credit facility are subject to borrowing base formulas and over advances as specified in the revolving credit facility.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Borrowers’ availability under the revolving credit facility . As of April 30, 2020, interest under the revolving credit facility was being paid at the weighted average rate of 2.13% per annum. The revolving credit facility is secured by specified assets of us and certain of our subsidiaries.</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to paying interest on any outstanding borrowings under the revolving credit facility, we are required to pay a commitment fee to the lenders under the revolving credit facility with respect to the unutilized commitments. The commitment fee shall accrue at a rate equal to 0.25% per annum on the average daily amount of the available commitment.</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revolving credit facility contains covenants that, among other things, restrict our ability, subject to specified exceptions, to incur additional debt; incur liens; sell or dispose of certain assets; merge with other companies; liquidate or dissolve G-III; acquire other companies; make loans, advances, or guarantees; and make certain investments. In certain circumstances, the revolving credit facility also requires us to maintain a fixed charge coverage ratio, as defined in the agreement, which may not be less than 1.00 to 1.00 for each period of twelve consecutive fiscal months. As of April 30, 2020, we were in compliance with these covenants.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April 30, 2020, we had $500 million of borrowings outstanding under the revolving credit facility that had been borrowed in March 2020 as a precautionary measure in response to the uncertainty of the circumstances surrounding the COVID-19 pandemic outbreak. In May and June 2020, we repaid an aggregate of $500 million of our borrowings under the revolving credit facility.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December 1, 2016, we borrowed $350 million under a senior secured term loan facility (the “Term Loan”). Additionally, on December 1, 2016, we prepaid $50 million in principal amount of the Term Loan, reducing the principal balance of the Term Loan to $300 million. The Term Loan will mature in December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80" w:hanging="230"/>
        <w:spacing w:after="0"/>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and</w:t>
      </w:r>
    </w:p>
    <w:p>
      <w:pPr>
        <w:spacing w:after="0" w:line="20" w:lineRule="exact"/>
        <w:rPr>
          <w:rFonts w:ascii="Arial" w:cs="Arial" w:eastAsia="Arial" w:hAnsi="Arial"/>
          <w:sz w:val="17"/>
          <w:szCs w:val="17"/>
          <w:color w:val="auto"/>
        </w:rPr>
      </w:pPr>
    </w:p>
    <w:p>
      <w:pPr>
        <w:ind w:left="60" w:right="59" w:hanging="10"/>
        <w:spacing w:after="0" w:line="290" w:lineRule="auto"/>
        <w:tabs>
          <w:tab w:leader="none" w:pos="3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LIBOR rate for a borrowing with an interest period of one month) plus 4.25%, per annum, payable in cash. As of April 30, 2020, interest under the Term Loan was being paid at the average rate of 6.66% per annum.</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Term Loan is secured (i) on a first-priority basis by a lien on, among other things, our real estate assets, equipment and fixtures, equity interests and intellectual property and certain related rights owned by us and by certain of our subsidiaries and (ii) by a second-priority security interest in our and certain of our subsidiaries other assets, which will secure on a first-priority basis our revolving credit facility.</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Term Loan is required to be prepaid with the proceeds of certain asset sales if such proceeds are not applied as required by the agreement within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Term Loan contains covenants that, among other things, restrict our ability, subject to certain exceptions, to incur additional debt; incur liens; sell or dispose of certain assets; merge with other companies; liquidate or dissolve G-III; acquire other companies; make loans, advances, or guarantees; and make certain investments. As described above, the Term Loan also includes a mandatory prepayment provision with respect to Excess Cash Flow. A first lien leverage covenant requires the Company to maintain a level of debt to EBITDA at a ratio as defined in the term loan agreement. As of April 30, 2020, we were in compliance with these covenants.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April 15, 2019, T.R.B. International SA (“TRB”), a subsidiary of Vilebrequin, borrowed €3.0 million under an unsecured loan (the “2019 Unsecured Loan”). During the term of the 2019 Unsecured Loan, TRB is required to make quarterly installment payments of €0.2 million. Interest on the outstanding principal amount of the 2019 Unsecured Loan accrues at a fixed rate equal to 1.50% per annum, payable quarterly. The 2019 Unsecured Loan originally matured on April 15, 2024. Due to the COVID-19 pandemic, the bank agreed to amend the 2019 Unsecured Loan to suspend the March and June 2020 quarterly installment payments and add these payments to the balance due at the end of the loan term. The 2019 Unsecured Loan now matures on September 15, 2024.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February 3, 2020, TRB borrowed €1.7 million under another unsecured loan (the “2020 Unsecured Loan”). During the term of the 2020 Unsecured Loan, TRB is required to make quarterly installment payments of €0.1 million. Interest on the outstanding principal amount of the 2020 Unsecured Loan accrues at a fixed rate equal to 1.50% per annum, payable quarterly. The 2020 Unsecured Loan originally matured on March 31, 2025. Due to the COVID-19 pandemic, the bank agreed to amend the 2020 Unsecured Loan to suspend the June 2020 quarterly installment payment and add this payment to the balance due at the end of the loan term. The 2020 Unsecured Loan now matures on June 30, 2025.</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 operating cash requirements have been borrowings under this credit facility and, in prior years, cash generated from operations.</w:t>
      </w:r>
    </w:p>
    <w:p>
      <w:pPr>
        <w:spacing w:after="0" w:line="15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incurred significant additional debt in connection with our acquisition of DKI. We had borrowings outstanding under our revolving credit facility of $500 million and $22.5 million at April 30, 2020 and 2019, respectively. We borrowed $500 million in March 2020 as a precautionary measure in connection with disruptions caused by the COVID-19 pandemic and repaid an aggregate of $500 million of those borrowings in May and June 2020. In addition, we had $300 million in borrowings outstanding under the Term Loan at both April 30, 2020 and 2019. Our contingent liability under open letters of credit was approximately $15.8 million and $18.1 million at April 30, 2020 and 2019, respectively. In addition to the amounts outstanding under these two loan agreements, at April 30, 2020 and 2019, we had $125 million of face value principal amount outstanding under the LVMH Note. As of April 30, 2020, we also had €4.1 million ($4.5 million) outstanding under the 2019 and 2020 Unsecured Loans.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cash and cash equivalents of $616.2 million on April 30, 2020 and $48.3 million on April 30,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April 30, 2020. We have 2,949,362 authorized shares remaining under this program. As of June 4, 2020, we had 48,052,834 shares of common stock outstanding.</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used $73.1 million of cash in operating activities during three months ended April 30, 2020, primarily due to our net loss of $39.3 million, and decreases of $136.8 million in accounts payable, accrued expenses and other liabilities, $75.5 million in customer refund liabilities and $13.1 million in operating lease liabilities. In addition, we had a non-cash charge of $16.4 million in deferred income taxes. These items were offset, in part, by decreases of $109.0 million in accounts receivable, $51.5 million in inventories and $13.9 million in prepaid expenses and other current assets and non-cash charges relating primarily to operating lease costs of $17.4 million and depreciation and amortization of $9.9 million.</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changes in operating cash flow items are generally consistent with our seasonable pattern. The decrease in accounts payable, accrued expenses and other liabilities is primarily attributable to vendor payments related to inventory purchases and the payment of year-end bonuses in our first quarter. Our accounts receivable, customer refund liabilities and inventory decreased because we experience lower sales levels in our first and second quarters than in our third and fourth quarters. The COVID-19 pandemic exacerbated these trends in the first quarter. Our reported net loss for the quarter also contributed to the increase in use of cash in our operating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used $8.3 million of cash in investing activities during three months ended April 30, 2020 for capital expenditures and initial direct costs of operating lease assets. Capital expenditures in the period primarily related to infrastructure and information technology expenditures and additional fixturing costs at department stores prior to the onset of the COVID-19 pandemic. Operating lease assets initial direct costs in the period primarily related to payments of key money and broker fees.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cash provided by financing activities was $501.4 million during three months ended April 30, 2020 primarily as a result of the net proceeds of $500 million in borrowings in March 2020 under our revolving credit facility that were drawn down a precautionary measure in response to the uncertainty of the circumstances surrounding the COVID-19 pandemic. In May and June 2020, we repaid an aggregate of $500 million of these borrowings.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accounting policies and related estimates described in our Annual Report on Form 10-K for the year ended January 31, 2020 are those that depend most heavily on these judgments and estimates. As of April 30, 2020, there have been no material changes to our critical accounting policies, other than the adoption ASU 2016-13 as discussed in Note 2 to the condensed consolidated financial statements included in this Quarterly Report on Form 10-Q.</w:t>
      </w:r>
    </w:p>
    <w:p>
      <w:pPr>
        <w:spacing w:after="0" w:line="16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2020.</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“Item 1A. Risk Factors” in our Annual Report on Form 10-K for the year ended January 31, 2020 (the “Annual Report”), which could materially affect our business, financial condition and/or future results. There have been no material changes in our risk factors from those set forth in our Annual Report, except for the risk factors set forth below, which serve as an update to our risk factors contained in our Annual Report. The risks described in our Annual Report on Form 10-K and in this Quarterly Report on Form 10-Q are not the only risks facing our company. Additional risks and uncertainties not currently known to us or that we currently deem to be immaterial also may materially adversely affect our business, financial condition and/or future results.</w:t>
      </w:r>
    </w:p>
    <w:p>
      <w:pPr>
        <w:spacing w:after="0" w:line="19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The global health crisis caused by the COVID-19 pandemic has had, and the current and uncertain future outlook of the outbreak will likely continue to have, a significant adverse effect on our business, financial condition and results of operations.</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Outbreaks of COVID-19 were detected beginning in December 2019 and, in March 2020, the World Health Organization declared COVID-19 a pandemic. The President of the United States has declared a national emergency as a result of the COVID-19 pandemic.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apparel and accessories.</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COVID-19 pandemic has had, and will likely continue to have, a significant adverse effect on our business, financial condition, and results of operations. The effects of COVID-19 could affect our ability to successfully operate in many ways, including, but not limited to, the following factors:</w:t>
      </w:r>
    </w:p>
    <w:p>
      <w:pPr>
        <w:spacing w:after="0" w:line="184" w:lineRule="exact"/>
        <w:rPr>
          <w:sz w:val="20"/>
          <w:szCs w:val="20"/>
          <w:color w:val="auto"/>
        </w:rPr>
      </w:pPr>
    </w:p>
    <w:p>
      <w:pPr>
        <w:jc w:val="both"/>
        <w:ind w:left="720" w:right="79" w:hanging="319"/>
        <w:spacing w:after="0" w:line="25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pandemic on the economies and financial markets of the countries and regions in which we operate, including a potential global recession, a decline in consumer confidence and spending, or a further increase in unemployment levels, has resulted, and could continue to result, in consumers having less disposable income and, in turn, decreased sales of our products;</w:t>
      </w:r>
    </w:p>
    <w:p>
      <w:pPr>
        <w:spacing w:after="0" w:line="2"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“shelter in place” and other similar mandated or suggested isolation protocols, which have disrupted, and could continue to disrupt, brick-and-mortar retailers, including stores operated by us, as a result of store closures or reduced operating hours and decreased retail traffic;</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accessing debt and equity on attractive terms, or at all, and a severe disruption and instability in the global financial markets or deteriorations in credit and financing conditions may affect our ability to access capital necessary to operate our business;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prolonged disruption of our business may impact our ability to satisfy the terms of our revolving credit facility and Term Loan ,including the covenants contained in those agreements, which could constitute an event of default under the terms of the revolving credit facility and Term Loan, which may result in an acceleration of payment under those agreements;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attempting to reduce operating costs and conserve cash;</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rent and other relief from our landlords with respect to closed retail stores, which may involve litigation or other disruptions;</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our wholesale customers to whom we extend credit to pay amounts owed to us on time, or at all, particularly if such customers are significantly impacted by COVID-19;</w:t>
      </w: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even after the pandemic has initially subsided, social distancing measures and general consumer behaviors due to the COVID-19 pandemic may continue to impact mall and store traffic and the fear of COVID-19 re-occurrence could cause customers to avoid public places, such as malls and outlets, where the retail stores of our wholesale customers and our stores are located;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71"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obstacles and delays in re-opening company-owned stores as we may have to hire and train a substantial number of new employees as a result of the temporary furlough of our retail employees in the United States and the risk that some of those employees may seek employment elsewhere during the furlough; and</w:t>
      </w:r>
    </w:p>
    <w:p>
      <w:pPr>
        <w:jc w:val="both"/>
        <w:ind w:left="720" w:right="79" w:hanging="319"/>
        <w:spacing w:after="0" w:line="277"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required to revise certain accounting estimates and judgments such as, but not limited to, those related to the valuation of goodwill, indefinite-lived intangible assets, long-lived assets and deferred tax assets, which could have a material adverse effect on our financial position and results of operations.</w:t>
      </w:r>
    </w:p>
    <w:p>
      <w:pPr>
        <w:spacing w:after="0" w:line="173"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stated, COVID-19 has had and is continuing to have a material adverse impact on our business, operating results and financial condition. The COVID-19 outbreak has impacted our worldwide sourcing operations in China and elsewhere. There is hardly anywhere in the world that is not being impacted by the effects of COVID-19. Travel within and between many countries has been restricted. The length of these travel restrictions is not certain at this time. Travel restrictions may impact our suppliers’ ability to obtain necessary materials and inhibit travel by our employees and our suppliers’ employees. As a result of any travel restrictions, potential factory closures, inability to obtain materials, disruptions in the supply chain and potential disruption of transportation of goods produced for us in China and other countries adversely impacted by the coronavirus outbreak, or threat or perceived threat of such outbreak, we may be unable to obtain adequate inventory from these regions, which could adversely affect our business, results of operations and financial condition. Potential financial impacts associated with the outbreak include, but are not limited to, lower net sales in markets affected by the outbreak, the delay of inventory production and fulfillment, potentially impacting net sales, and potential incremental costs associated with mitigating the effects of the outbreak. As our suppliers open their factories for production, we will need to balance the production orders given to these factories against the demand for our products in the United States.</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Restrictions on travel and group gatherings, the closing of restaurants, sports leagues and all forms of communal entertainment and the fear of contracting COVID-19 has materially adversely affected store traffic and retail sales. Many retail store chains and shopping malls closed their store operations beginning in March 2020 and have only recently begun to reopen on a limited basis. The restrictions imposed as a result of the COVID-19 outbreak and the closing of retail stores in connection with the outbreak are causing a significant adverse effect on the economy in the United States and around the world. If the retail economy continues to weaken and/or consumers continue to reduce purchases in the near or long-term as a result of the negative effects of on the U.S. and worldwide economies caused by COVID-19, retailers may need to further reduce or limit store operations, close additional stores and be more cautious with orders. A slowing or changing economy as a result of the coronavirus outbreak and the governmental restrictions imposed in the United States and around the world as a result thereof would adversely affect the financial health of our retail, distributor and joint venture partners, which in turn could have an adverse effect on our business, results of operations and financial condition.</w:t>
      </w:r>
    </w:p>
    <w:p>
      <w:pPr>
        <w:spacing w:after="0" w:line="17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economic conditions caused by the COVID-19 outbreak worsen and our earnings and operating cash flows do not begin to recover, this could impact our ability to maintain compliance with our debt covenants and could require us to seek modifications to our term loan and revolving credit facility. In the unlikely event we are not able to obtain such modifications on acceptable terms, this would lead to an event of default and, if not cured timely, our lenders could require us to repay our outstanding debt. In that situation, we may not be able to raise sufficient debt or equity capital, or divest assets, to refinance or repay lenders.</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COVID-19 pandemic is ongoing, and its dynamic nature, including uncertainties relating to the geographic spread of the virus, the severity of the disease, the duration of the outbreak, and the restrictive actions that are being taken by governmental authorities in the United States and around the world to contain the outbreak or to treat its impact makes it difficult to forecast its effects on our fiscal 2021 results. Our results of operations for the first quarter of fiscal 2021 reflected some of the impacts of the COVID-19 pandemic and we expect that the results for our second quarter of fiscal 2021, and potentially for the balance of fiscal 2021, will likely reflect further impacts. It is difficult, if not impossible, at this time to predict the magnitude of the effect of the COVID-19 outbreak on our business and results of operations. However, we expect our results for fiscal 2021 to be materially adversely affected compared to fiscal 2020 as a result of the impact of COVID-19.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There are risks associated with the restructuring of our retail operations segment.</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June 2020, we announced a restructuring of our retail operations segment, including the closing of all Wilsons Leather, and G.H. Bass stores. Additionally, we will close all Calvin Klein Performance stores. We have hired Hilco Global to assist in the liquidation of these stores, which will begin immediately or as stores reopen. After completion of the restructuring, our retail operations segment will initially consist of 41 DKNY stores and 13 Karl Lagerfeld Paris stores, as well as the e-commerce sites for DKNY, Donna Karan, Karl Lagerfeld Paris, Andrew Marc, Wilsons Leather and G.H. Bass. Part of our restructuring plan includes making significant changes to our DKNY and Karl Lagerfeld store operations.</w:t>
      </w:r>
    </w:p>
    <w:p>
      <w:pPr>
        <w:spacing w:after="0" w:line="16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connection with this restructuring of our retail operations segment, we anticipate incurring an aggregate charge of approximately $100 million relating primarily to landlord termination fees, severance costs, store liquidation and closing costs, write-offs relating to right-of-use assets and professional fees. A significant portion of these charges will be incurred during our second fiscal quarter ending July 31, 2020. We expect the cash portion of this charge to be approximately $65 million. We may incur additional costs during fiscal 2021 until the restructuring is completed which may include, among other costs, additional severance, lease termination, inventory liquidation or non-cash asset impairment costs. Additional costs and impairment charges could materially exceed our estimates. In connection with the restructuring of our retail business, we negotiated the termination of leases for a majority of our retail stores in return for certain cash payments made to lessors. There can be no assurance that we would be able to negotiate termination of any other leases if we should desire to do so.</w:t>
      </w:r>
    </w:p>
    <w:p>
      <w:pPr>
        <w:spacing w:after="0" w:line="18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As indicated, part of our restructuring plan includes the liquidation of our retail inventory. The ability to liquidate our retail inventory is currently severely limited by COVID-19 restrictions on retail businesses. Even as these restrictions continue to be loosened, our ability to liquidate retail inventory will still be adversely affected by the reduction in the disposable income of consumers, the reduced desire and ability of consumers to spend on apparel and accessories and the general turbulent environment caused by the COVID-19 pandemic and its aftereffects. In addition, we will face significant competition in the marketplace as retailers are opening their stores and are expected to reduce prices significantly in order to sell their excess inventory resulting from store closures and other COVID-19 related restrictions that were put in place in mid-March and have only recently begun to be modified. All of these factors may result in the reduction in the net proceeds we receive from the liquidation of our inventory and in the increase in the time period we need to close our stores, both of which would have an adverse effect on our financial condition and results of operation.</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not be able to complete the restructuring of our retail operations segment, including the closing of the substantial majority of the stores we currently operate, in the timeframe, on the terms or in the manner we expect. Any of the foregoing could also result in the cost of the restructuring exceeding our estimates. If the actual restructuring costs or impairment charges exceed our estimates, this could adversely impact our business, operating results, financial position and cash flows.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the announced restructuring involves numerous risks including, but not limited to:</w:t>
      </w:r>
    </w:p>
    <w:p>
      <w:pPr>
        <w:spacing w:after="0" w:line="131" w:lineRule="exact"/>
        <w:rPr>
          <w:sz w:val="20"/>
          <w:szCs w:val="20"/>
          <w:color w:val="auto"/>
        </w:rPr>
      </w:pPr>
    </w:p>
    <w:p>
      <w:pPr>
        <w:ind w:left="720" w:right="79" w:hanging="319"/>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bring back from furlough, hire or retain qualified personnel necessary for the orderly liquidation of inventory and closing of retail stores;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attrition beyond any planned reduction in workforce and/or a decrease in employee morale;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write-offs of assets or lease termination, store closing and severance costs;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disruption of the operations of the rest of our businesses and diversion of management’s attention away from our other businesses and operations;</w:t>
      </w:r>
    </w:p>
    <w:p>
      <w:pPr>
        <w:ind w:left="720" w:right="7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unknown, contingent or other liabilities, including litigation arising in connection with the restructuring;</w:t>
      </w:r>
    </w:p>
    <w:p>
      <w:pPr>
        <w:ind w:left="720" w:right="7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negative impact on our business relationships or reputation including, but not limited to, potential relationships with customers, suppliers, vendors, lessors, licensors, licensees and employees; and</w:t>
      </w: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unintended negative consequences from changes to our business.</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If any of these or other factors impair our ability to successfully implement the restructuring, we may not be able to realize other business opportunities as we may be required to spend additional time and incur additional expenses relating to the restructuring that otherwise would be used on the development and expansion of our other businesses, which could adversely impact our business, operating results, financial position and cash flows.</w:t>
      </w:r>
    </w:p>
    <w:p>
      <w:pPr>
        <w:sectPr>
          <w:pgSz w:w="11900" w:h="16838" w:orient="portrait"/>
          <w:cols w:equalWidth="0" w:num="1">
            <w:col w:w="9019"/>
          </w:cols>
          <w:pgMar w:left="1440" w:top="517"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The recently approved proposal to implement a national security law in Hong Kong may result in disruptions to our business operations in Hong Kong and additional tariffs and trade restrictions.</w:t>
      </w:r>
    </w:p>
    <w:p>
      <w:pPr>
        <w:spacing w:after="0" w:line="19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28, 2020, China’s legislature approved a proposal to implement a national security law that would change the way Hong Kong has been governed since the territory was handed over by England to China in 1997. This proposal would increase the power of the central government in Beijing over Hong Kong, limit the civil liberties of residents of Hong Kong and could restrict their ability to conduct business in the same way as in the past on a go forward basis. A legislative committee will draft the law, a process that is expected to take a couple of months.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to the United States. Further, the U.S. may impose the same tariffs and other trade restrictions on exports from Hong Kong that it places on goods from mainland China. The potential disruption to our business operations in Hong Kong and additional tariffs and trade restrictions could have an adverse impact on our results of operations.</w:t>
      </w:r>
    </w:p>
    <w:p>
      <w:pPr>
        <w:spacing w:after="0" w:line="178"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following table provides information with respect to the Company’s common stock that the Company repurchased during the three months ended April 30, 2020. Included in this table are shares withheld during March and April 2020 in connection with the settlement of vested restricted stock units to satisfy tax withholding requirements.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Share Purchased as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Average Price Paid Per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Purchased</w:t>
            </w:r>
          </w:p>
        </w:tc>
        <w:tc>
          <w:tcPr>
            <w:tcW w:w="158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Announced Program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35"/>
        </w:trPr>
        <w:tc>
          <w:tcPr>
            <w:tcW w:w="2500" w:type="dxa"/>
            <w:vAlign w:val="bottom"/>
            <w:gridSpan w:val="2"/>
            <w:vMerge w:val="continue"/>
          </w:tcPr>
          <w:p>
            <w:pPr>
              <w:spacing w:after="0"/>
              <w:rPr>
                <w:sz w:val="11"/>
                <w:szCs w:val="11"/>
                <w:color w:val="auto"/>
              </w:rPr>
            </w:pPr>
          </w:p>
        </w:tc>
        <w:tc>
          <w:tcPr>
            <w:tcW w:w="1580" w:type="dxa"/>
            <w:vAlign w:val="bottom"/>
            <w:gridSpan w:val="2"/>
          </w:tcPr>
          <w:p>
            <w:pPr>
              <w:jc w:val="center"/>
              <w:ind w:right="200"/>
              <w:spacing w:after="0" w:line="135" w:lineRule="exact"/>
              <w:rPr>
                <w:sz w:val="20"/>
                <w:szCs w:val="20"/>
                <w:color w:val="auto"/>
              </w:rPr>
            </w:pPr>
            <w:r>
              <w:rPr>
                <w:rFonts w:ascii="Arial" w:cs="Arial" w:eastAsia="Arial" w:hAnsi="Arial"/>
                <w:sz w:val="11"/>
                <w:szCs w:val="11"/>
                <w:b w:val="1"/>
                <w:bCs w:val="1"/>
                <w:color w:val="auto"/>
              </w:rPr>
              <w:t xml:space="preserve">Shares Purchased </w:t>
            </w:r>
            <w:r>
              <w:rPr>
                <w:rFonts w:ascii="Arial" w:cs="Arial" w:eastAsia="Arial" w:hAnsi="Arial"/>
                <w:sz w:val="15"/>
                <w:szCs w:val="15"/>
                <w:b w:val="1"/>
                <w:bCs w:val="1"/>
                <w:color w:val="auto"/>
                <w:vertAlign w:val="superscript"/>
              </w:rPr>
              <w:t>(1)</w:t>
            </w:r>
          </w:p>
        </w:tc>
        <w:tc>
          <w:tcPr>
            <w:tcW w:w="300" w:type="dxa"/>
            <w:vAlign w:val="bottom"/>
          </w:tcPr>
          <w:p>
            <w:pPr>
              <w:spacing w:after="0"/>
              <w:rPr>
                <w:sz w:val="11"/>
                <w:szCs w:val="11"/>
                <w:color w:val="auto"/>
              </w:rPr>
            </w:pPr>
          </w:p>
        </w:tc>
        <w:tc>
          <w:tcPr>
            <w:tcW w:w="1400" w:type="dxa"/>
            <w:vAlign w:val="bottom"/>
            <w:gridSpan w:val="2"/>
          </w:tcPr>
          <w:p>
            <w:pPr>
              <w:jc w:val="center"/>
              <w:ind w:right="480"/>
              <w:spacing w:after="0" w:line="135" w:lineRule="exact"/>
              <w:rPr>
                <w:sz w:val="20"/>
                <w:szCs w:val="20"/>
                <w:color w:val="auto"/>
              </w:rPr>
            </w:pPr>
            <w:r>
              <w:rPr>
                <w:rFonts w:ascii="Arial" w:cs="Arial" w:eastAsia="Arial" w:hAnsi="Arial"/>
                <w:sz w:val="11"/>
                <w:szCs w:val="11"/>
                <w:b w:val="1"/>
                <w:bCs w:val="1"/>
                <w:color w:val="auto"/>
              </w:rPr>
              <w:t xml:space="preserve">Share </w:t>
            </w:r>
            <w:r>
              <w:rPr>
                <w:rFonts w:ascii="Arial" w:cs="Arial" w:eastAsia="Arial" w:hAnsi="Arial"/>
                <w:sz w:val="15"/>
                <w:szCs w:val="15"/>
                <w:b w:val="1"/>
                <w:bCs w:val="1"/>
                <w:color w:val="auto"/>
                <w:vertAlign w:val="superscript"/>
              </w:rPr>
              <w:t>(1)</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Arial" w:cs="Arial" w:eastAsia="Arial" w:hAnsi="Arial"/>
                <w:sz w:val="11"/>
                <w:szCs w:val="11"/>
                <w:b w:val="1"/>
                <w:bCs w:val="1"/>
                <w:color w:val="auto"/>
              </w:rPr>
              <w:t xml:space="preserve">Program </w:t>
            </w:r>
            <w:r>
              <w:rPr>
                <w:rFonts w:ascii="Arial" w:cs="Arial" w:eastAsia="Arial" w:hAnsi="Arial"/>
                <w:sz w:val="15"/>
                <w:szCs w:val="15"/>
                <w:b w:val="1"/>
                <w:bCs w:val="1"/>
                <w:color w:val="auto"/>
                <w:vertAlign w:val="superscript"/>
              </w:rPr>
              <w:t>(2)</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February 1 - February 29, 2020</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March 1 - March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39,285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 April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480" w:right="179" w:hanging="328"/>
        <w:spacing w:after="0" w:line="190" w:lineRule="auto"/>
        <w:tabs>
          <w:tab w:leader="none" w:pos="4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Included in this table are 39,450 shares withheld during March and April 2020 in connection with the settlement of vested restricted stock units to satisfy tax withholding requirements. Our 2015 Long-Term Incentive Plan provides that shares withheld are valued at the closing price per share on the date withheld.</w:t>
      </w:r>
    </w:p>
    <w:p>
      <w:pPr>
        <w:spacing w:after="0" w:line="2" w:lineRule="exact"/>
        <w:rPr>
          <w:rFonts w:ascii="Arial" w:cs="Arial" w:eastAsia="Arial" w:hAnsi="Arial"/>
          <w:sz w:val="22"/>
          <w:szCs w:val="22"/>
          <w:color w:val="auto"/>
          <w:vertAlign w:val="superscript"/>
        </w:rPr>
      </w:pPr>
    </w:p>
    <w:p>
      <w:pPr>
        <w:jc w:val="both"/>
        <w:ind w:left="480" w:right="179" w:hanging="328"/>
        <w:spacing w:after="0" w:line="200" w:lineRule="auto"/>
        <w:tabs>
          <w:tab w:leader="none" w:pos="4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100" w:type="dxa"/>
            <w:vAlign w:val="bottom"/>
            <w:gridSpan w:val="5"/>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810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u w:val="single" w:color="auto"/>
                  <w:color w:val="0000EE"/>
                </w:rPr>
                <w:t>Form of Restricted Stock Unit Agreement for April 27, 2020 restricted stock unit grants</w:t>
              </w:r>
              <w:r>
                <w:rPr>
                  <w:rFonts w:ascii="Arial" w:cs="Arial" w:eastAsia="Arial" w:hAnsi="Arial"/>
                  <w:sz w:val="18"/>
                  <w:szCs w:val="18"/>
                  <w:color w:val="0000EE"/>
                </w:rPr>
                <w:t>.</w:t>
              </w:r>
            </w:hyperlink>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8100" w:type="dxa"/>
            <w:vAlign w:val="bottom"/>
            <w:tcBorders>
              <w:bottom w:val="single" w:sz="8" w:color="0000EE"/>
            </w:tcBorders>
            <w:gridSpan w:val="5"/>
          </w:tcPr>
          <w:p>
            <w:pPr>
              <w:spacing w:after="0" w:line="190" w:lineRule="exact"/>
              <w:rPr>
                <w:sz w:val="20"/>
                <w:szCs w:val="20"/>
                <w:color w:val="auto"/>
              </w:rPr>
            </w:pPr>
            <w:r>
              <w:rPr>
                <w:rFonts w:ascii="Arial" w:cs="Arial" w:eastAsia="Arial" w:hAnsi="Arial"/>
                <w:sz w:val="18"/>
                <w:szCs w:val="18"/>
                <w:color w:val="0000EE"/>
                <w:w w:val="94"/>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5"/>
          </w:tcPr>
          <w:p>
            <w:pPr>
              <w:spacing w:after="0" w:line="196" w:lineRule="exact"/>
              <w:rPr>
                <w:sz w:val="20"/>
                <w:szCs w:val="20"/>
                <w:color w:val="auto"/>
              </w:rPr>
            </w:pPr>
            <w:r>
              <w:rPr>
                <w:rFonts w:ascii="Arial" w:cs="Arial" w:eastAsia="Arial" w:hAnsi="Arial"/>
                <w:sz w:val="18"/>
                <w:szCs w:val="18"/>
                <w:color w:val="0000EE"/>
              </w:rPr>
              <w:t>Group, Ltd.’s Quarterly Report on Form 10-Q for the fiscal quarter ended April 30, 2020.</w:t>
            </w:r>
          </w:p>
        </w:tc>
      </w:tr>
      <w:tr>
        <w:trPr>
          <w:trHeight w:val="20"/>
        </w:trPr>
        <w:tc>
          <w:tcPr>
            <w:tcW w:w="800" w:type="dxa"/>
            <w:vAlign w:val="bottom"/>
          </w:tcPr>
          <w:p>
            <w:pPr>
              <w:spacing w:after="0" w:line="20" w:lineRule="exact"/>
              <w:rPr>
                <w:sz w:val="1"/>
                <w:szCs w:val="1"/>
                <w:color w:val="auto"/>
              </w:rPr>
            </w:pPr>
          </w:p>
        </w:tc>
        <w:tc>
          <w:tcPr>
            <w:tcW w:w="6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100" w:type="dxa"/>
            <w:vAlign w:val="bottom"/>
            <w:gridSpan w:val="5"/>
          </w:tcPr>
          <w:p>
            <w:pPr>
              <w:spacing w:after="0" w:line="196" w:lineRule="exact"/>
              <w:rPr>
                <w:sz w:val="20"/>
                <w:szCs w:val="20"/>
                <w:color w:val="auto"/>
              </w:rPr>
            </w:pPr>
            <w:r>
              <w:rPr>
                <w:rFonts w:ascii="Arial" w:cs="Arial" w:eastAsia="Arial" w:hAnsi="Arial"/>
                <w:sz w:val="18"/>
                <w:szCs w:val="18"/>
                <w:color w:val="0000EE"/>
                <w:w w:val="93"/>
              </w:rPr>
              <w:t>Certification by Neal S. Nackman, Chief Financial Officer of G-III Apparel Group, Ltd., pursuant to Rule 13a -</w:t>
            </w:r>
          </w:p>
        </w:tc>
      </w:tr>
      <w:tr>
        <w:trPr>
          <w:trHeight w:val="20"/>
        </w:trPr>
        <w:tc>
          <w:tcPr>
            <w:tcW w:w="800" w:type="dxa"/>
            <w:vAlign w:val="bottom"/>
          </w:tcPr>
          <w:p>
            <w:pPr>
              <w:spacing w:after="0" w:line="20" w:lineRule="exact"/>
              <w:rPr>
                <w:sz w:val="1"/>
                <w:szCs w:val="1"/>
                <w:color w:val="auto"/>
              </w:rPr>
            </w:pPr>
          </w:p>
        </w:tc>
        <w:tc>
          <w:tcPr>
            <w:tcW w:w="6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5"/>
          </w:tcPr>
          <w:p>
            <w:pPr>
              <w:spacing w:after="0" w:line="196" w:lineRule="exact"/>
              <w:rPr>
                <w:sz w:val="20"/>
                <w:szCs w:val="20"/>
                <w:color w:val="auto"/>
              </w:rPr>
            </w:pPr>
            <w:r>
              <w:rPr>
                <w:rFonts w:ascii="Arial" w:cs="Arial" w:eastAsia="Arial" w:hAnsi="Arial"/>
                <w:sz w:val="18"/>
                <w:szCs w:val="18"/>
                <w:color w:val="0000EE"/>
              </w:rPr>
              <w:t>Group, Ltd.’s Quarterly Report on Form 10-Q for the fiscal quarter ended April 30, 2020.</w:t>
            </w:r>
          </w:p>
        </w:tc>
      </w:tr>
      <w:tr>
        <w:trPr>
          <w:trHeight w:val="20"/>
        </w:trPr>
        <w:tc>
          <w:tcPr>
            <w:tcW w:w="800" w:type="dxa"/>
            <w:vAlign w:val="bottom"/>
          </w:tcPr>
          <w:p>
            <w:pPr>
              <w:spacing w:after="0" w:line="20" w:lineRule="exact"/>
              <w:rPr>
                <w:sz w:val="1"/>
                <w:szCs w:val="1"/>
                <w:color w:val="auto"/>
              </w:rPr>
            </w:pPr>
          </w:p>
        </w:tc>
        <w:tc>
          <w:tcPr>
            <w:tcW w:w="6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1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0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Apparel Group, Ltd.’s Quarterly Report on Form 10-Q for the fiscal quarter ended April 30, 2020.</w:t>
            </w:r>
          </w:p>
        </w:tc>
        <w:tc>
          <w:tcPr>
            <w:tcW w:w="10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100" w:type="dxa"/>
            <w:vAlign w:val="bottom"/>
            <w:gridSpan w:val="5"/>
          </w:tcPr>
          <w:p>
            <w:pPr>
              <w:spacing w:after="0" w:line="196" w:lineRule="exact"/>
              <w:rPr>
                <w:sz w:val="20"/>
                <w:szCs w:val="20"/>
                <w:color w:val="auto"/>
              </w:rPr>
            </w:pPr>
            <w:r>
              <w:rPr>
                <w:rFonts w:ascii="Arial" w:cs="Arial" w:eastAsia="Arial" w:hAnsi="Arial"/>
                <w:sz w:val="18"/>
                <w:szCs w:val="18"/>
                <w:color w:val="0000EE"/>
                <w:w w:val="94"/>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70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0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Apparel Group, Ltd.’s Quarterly Report on Form 10-Q for the fiscal quarter ended April 30, 2020.</w:t>
            </w:r>
          </w:p>
        </w:tc>
        <w:tc>
          <w:tcPr>
            <w:tcW w:w="1040" w:type="dxa"/>
            <w:vAlign w:val="bottom"/>
            <w:gridSpan w:val="3"/>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5"/>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8100" w:type="dxa"/>
            <w:vAlign w:val="bottom"/>
            <w:gridSpan w:val="5"/>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8100" w:type="dxa"/>
            <w:vAlign w:val="bottom"/>
            <w:gridSpan w:val="5"/>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8100" w:type="dxa"/>
            <w:vAlign w:val="bottom"/>
            <w:gridSpan w:val="5"/>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8100" w:type="dxa"/>
            <w:vAlign w:val="bottom"/>
            <w:gridSpan w:val="5"/>
          </w:tcPr>
          <w:p>
            <w:pPr>
              <w:spacing w:after="0"/>
              <w:rPr>
                <w:sz w:val="20"/>
                <w:szCs w:val="20"/>
                <w:color w:val="auto"/>
              </w:rPr>
            </w:pPr>
            <w:r>
              <w:rPr>
                <w:rFonts w:ascii="Arial" w:cs="Arial" w:eastAsia="Arial" w:hAnsi="Arial"/>
                <w:sz w:val="18"/>
                <w:szCs w:val="18"/>
                <w:color w:val="auto"/>
              </w:rPr>
              <w:t>iXBRL Label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8100" w:type="dxa"/>
            <w:vAlign w:val="bottom"/>
            <w:gridSpan w:val="5"/>
          </w:tcPr>
          <w:p>
            <w:pPr>
              <w:spacing w:after="0"/>
              <w:rPr>
                <w:sz w:val="20"/>
                <w:szCs w:val="20"/>
                <w:color w:val="auto"/>
              </w:rPr>
            </w:pPr>
            <w:r>
              <w:rPr>
                <w:rFonts w:ascii="Arial" w:cs="Arial" w:eastAsia="Arial" w:hAnsi="Arial"/>
                <w:sz w:val="18"/>
                <w:szCs w:val="18"/>
                <w:color w:val="auto"/>
              </w:rPr>
              <w:t>iXBRL Presentation Linkbase Document.</w:t>
            </w:r>
          </w:p>
        </w:tc>
      </w:tr>
    </w:tbl>
    <w:p>
      <w:pPr>
        <w:ind w:left="4420" w:right="2399" w:hanging="4364"/>
        <w:spacing w:after="0" w:line="761" w:lineRule="auto"/>
        <w:tabs>
          <w:tab w:leader="none" w:pos="8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060" w:type="dxa"/>
            <w:vAlign w:val="bottom"/>
            <w:gridSpan w:val="2"/>
          </w:tcPr>
          <w:p>
            <w:pPr>
              <w:ind w:left="1620"/>
              <w:spacing w:after="0"/>
              <w:rPr>
                <w:sz w:val="20"/>
                <w:szCs w:val="20"/>
                <w:color w:val="auto"/>
              </w:rPr>
            </w:pPr>
            <w:r>
              <w:rPr>
                <w:rFonts w:ascii="Arial" w:cs="Arial" w:eastAsia="Arial" w:hAnsi="Arial"/>
                <w:sz w:val="18"/>
                <w:szCs w:val="18"/>
                <w:color w:val="auto"/>
              </w:rPr>
              <w:t>G-III APPAREL GROUP, LTD.</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June 9, 2020</w:t>
            </w:r>
          </w:p>
        </w:tc>
        <w:tc>
          <w:tcPr>
            <w:tcW w:w="6060" w:type="dxa"/>
            <w:vAlign w:val="bottom"/>
            <w:gridSpan w:val="2"/>
          </w:tcPr>
          <w:p>
            <w:pPr>
              <w:ind w:left="1620"/>
              <w:spacing w:after="0"/>
              <w:rPr>
                <w:sz w:val="20"/>
                <w:szCs w:val="20"/>
                <w:color w:val="auto"/>
              </w:rPr>
            </w:pPr>
            <w:r>
              <w:rPr>
                <w:rFonts w:ascii="Arial" w:cs="Arial" w:eastAsia="Arial" w:hAnsi="Arial"/>
                <w:sz w:val="18"/>
                <w:szCs w:val="18"/>
                <w:color w:val="auto"/>
              </w:rPr>
              <w:t>By: /s/ Morris Goldfarb</w:t>
            </w:r>
          </w:p>
        </w:tc>
      </w:tr>
      <w:tr>
        <w:trPr>
          <w:trHeight w:val="195"/>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June 9, 2020</w:t>
            </w:r>
          </w:p>
        </w:tc>
        <w:tc>
          <w:tcPr>
            <w:tcW w:w="6060" w:type="dxa"/>
            <w:vAlign w:val="bottom"/>
            <w:gridSpan w:val="2"/>
          </w:tcPr>
          <w:p>
            <w:pPr>
              <w:ind w:left="1620"/>
              <w:spacing w:after="0"/>
              <w:rPr>
                <w:sz w:val="20"/>
                <w:szCs w:val="20"/>
                <w:color w:val="auto"/>
              </w:rPr>
            </w:pPr>
            <w:r>
              <w:rPr>
                <w:rFonts w:ascii="Arial" w:cs="Arial" w:eastAsia="Arial" w:hAnsi="Arial"/>
                <w:sz w:val="18"/>
                <w:szCs w:val="18"/>
                <w:color w:val="auto"/>
              </w:rPr>
              <w:t>By: /s/ Neal S. Nackman</w:t>
            </w:r>
          </w:p>
        </w:tc>
      </w:tr>
      <w:tr>
        <w:trPr>
          <w:trHeight w:val="195"/>
        </w:trPr>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2860" w:type="dxa"/>
            <w:vAlign w:val="bottom"/>
          </w:tcPr>
          <w:p>
            <w:pPr>
              <w:spacing w:after="0"/>
              <w:rPr>
                <w:sz w:val="24"/>
                <w:szCs w:val="24"/>
                <w:color w:val="auto"/>
              </w:rPr>
            </w:pP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41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G-III APPAREL GROUP, LTD.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2015 LONG-TERM INCENTIVE PLAN</w:t>
      </w:r>
    </w:p>
    <w:p>
      <w:pPr>
        <w:jc w:val="center"/>
        <w:ind w:right="19"/>
        <w:spacing w:after="0"/>
        <w:rPr>
          <w:sz w:val="20"/>
          <w:szCs w:val="20"/>
          <w:color w:val="auto"/>
        </w:rPr>
      </w:pPr>
      <w:r>
        <w:rPr>
          <w:rFonts w:ascii="Arial" w:cs="Arial" w:eastAsia="Arial" w:hAnsi="Arial"/>
          <w:sz w:val="22"/>
          <w:szCs w:val="22"/>
          <w:b w:val="1"/>
          <w:bCs w:val="1"/>
          <w:u w:val="single" w:color="auto"/>
          <w:color w:val="auto"/>
        </w:rPr>
        <w:t>RESTRICTED STOCK UNIT AGREEMENT</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AGREEMENT, made as of the 27</w:t>
      </w:r>
      <w:r>
        <w:rPr>
          <w:rFonts w:ascii="Arial" w:cs="Arial" w:eastAsia="Arial" w:hAnsi="Arial"/>
          <w:sz w:val="10"/>
          <w:szCs w:val="10"/>
          <w:color w:val="auto"/>
        </w:rPr>
        <w:t>th</w:t>
      </w:r>
      <w:r>
        <w:rPr>
          <w:rFonts w:ascii="Arial" w:cs="Arial" w:eastAsia="Arial" w:hAnsi="Arial"/>
          <w:sz w:val="20"/>
          <w:szCs w:val="20"/>
          <w:color w:val="auto"/>
        </w:rPr>
        <w:t xml:space="preserve"> day of April, 2020, between G-III APPAREL GROUP,</w:t>
      </w:r>
    </w:p>
    <w:p>
      <w:pPr>
        <w:spacing w:after="0" w:line="31"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LTD. (the “Company”) and (the “Participant”), pursuant to the G-III Apparel Group, Ltd. 2015 Long-Term Incentive Plan (the “Plan”). Capitalized terms that are used but not defined in this Agreement shall have the meanings given to them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-338455</wp:posOffset>
            </wp:positionV>
            <wp:extent cx="11658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94" w:lineRule="exact"/>
        <w:rPr>
          <w:sz w:val="20"/>
          <w:szCs w:val="20"/>
          <w:color w:val="auto"/>
        </w:rPr>
      </w:pPr>
    </w:p>
    <w:p>
      <w:pPr>
        <w:ind w:left="1560" w:hanging="703"/>
        <w:spacing w:after="0"/>
        <w:tabs>
          <w:tab w:leader="none" w:pos="156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Restricted Stock Unit Award</w:t>
      </w:r>
      <w:r>
        <w:rPr>
          <w:rFonts w:ascii="Arial" w:cs="Arial" w:eastAsia="Arial" w:hAnsi="Arial"/>
          <w:sz w:val="19"/>
          <w:szCs w:val="19"/>
          <w:color w:val="auto"/>
        </w:rPr>
        <w:t>. In accordance with the Plan, the Company hereby</w:t>
      </w:r>
    </w:p>
    <w:p>
      <w:pPr>
        <w:spacing w:after="0" w:line="33" w:lineRule="exact"/>
        <w:rPr>
          <w:sz w:val="20"/>
          <w:szCs w:val="20"/>
          <w:color w:val="auto"/>
        </w:rPr>
      </w:pPr>
    </w:p>
    <w:p>
      <w:pPr>
        <w:ind w:left="200"/>
        <w:spacing w:after="0"/>
        <w:tabs>
          <w:tab w:leader="none" w:pos="3020" w:val="left"/>
        </w:tabs>
        <w:rPr>
          <w:sz w:val="20"/>
          <w:szCs w:val="20"/>
          <w:color w:val="auto"/>
        </w:rPr>
      </w:pPr>
      <w:r>
        <w:rPr>
          <w:rFonts w:ascii="Arial" w:cs="Arial" w:eastAsia="Arial" w:hAnsi="Arial"/>
          <w:sz w:val="22"/>
          <w:szCs w:val="22"/>
          <w:color w:val="auto"/>
        </w:rPr>
        <w:t>grants to the Participant</w:t>
      </w:r>
      <w:r>
        <w:rPr>
          <w:sz w:val="20"/>
          <w:szCs w:val="20"/>
          <w:color w:val="auto"/>
        </w:rPr>
        <w:tab/>
      </w:r>
      <w:r>
        <w:rPr>
          <w:rFonts w:ascii="Arial" w:cs="Arial" w:eastAsia="Arial" w:hAnsi="Arial"/>
          <w:sz w:val="19"/>
          <w:szCs w:val="19"/>
          <w:color w:val="auto"/>
        </w:rPr>
        <w:t>restricted stock units (“RSUs”). Each RSU represents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-22860</wp:posOffset>
            </wp:positionV>
            <wp:extent cx="386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ind w:left="200" w:right="239"/>
        <w:spacing w:after="0" w:line="236" w:lineRule="auto"/>
        <w:rPr>
          <w:sz w:val="20"/>
          <w:szCs w:val="20"/>
          <w:color w:val="auto"/>
        </w:rPr>
      </w:pPr>
      <w:r>
        <w:rPr>
          <w:rFonts w:ascii="Arial" w:cs="Arial" w:eastAsia="Arial" w:hAnsi="Arial"/>
          <w:sz w:val="22"/>
          <w:szCs w:val="22"/>
          <w:color w:val="auto"/>
        </w:rPr>
        <w:t>receive one share of the Company’s common stock (a “Share”), subject to the terms and conditions of this Agreement and the Plan.</w:t>
      </w:r>
    </w:p>
    <w:p>
      <w:pPr>
        <w:spacing w:after="0" w:line="213" w:lineRule="exact"/>
        <w:rPr>
          <w:sz w:val="20"/>
          <w:szCs w:val="20"/>
          <w:color w:val="auto"/>
        </w:rPr>
      </w:pPr>
    </w:p>
    <w:p>
      <w:pPr>
        <w:jc w:val="both"/>
        <w:ind w:left="200" w:right="219" w:firstLine="657"/>
        <w:spacing w:after="0" w:line="238" w:lineRule="auto"/>
        <w:tabs>
          <w:tab w:leader="none" w:pos="1577"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Vesting Conditions</w:t>
      </w:r>
      <w:r>
        <w:rPr>
          <w:rFonts w:ascii="Arial" w:cs="Arial" w:eastAsia="Arial" w:hAnsi="Arial"/>
          <w:sz w:val="22"/>
          <w:szCs w:val="22"/>
          <w:color w:val="auto"/>
        </w:rPr>
        <w:t>. Participant’s right to receive the Shares covered by this Agreement shall become vested with respect to all of the Shares on June 15, 2023, subject to the Participant’s continuous employment or other service with the Company through the applicable vesting date.</w:t>
      </w:r>
    </w:p>
    <w:p>
      <w:pPr>
        <w:spacing w:after="0" w:line="211" w:lineRule="exact"/>
        <w:rPr>
          <w:rFonts w:ascii="Arial" w:cs="Arial" w:eastAsia="Arial" w:hAnsi="Arial"/>
          <w:sz w:val="22"/>
          <w:szCs w:val="22"/>
          <w:color w:val="auto"/>
        </w:rPr>
      </w:pPr>
    </w:p>
    <w:p>
      <w:pPr>
        <w:jc w:val="both"/>
        <w:ind w:left="200" w:right="219" w:firstLine="657"/>
        <w:spacing w:after="0" w:line="235" w:lineRule="auto"/>
        <w:tabs>
          <w:tab w:leader="none" w:pos="1523"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xml:space="preserve"> If and when RSUs become vested, the Participant will have the right to receive a corresponding number of whole Shares from the Company in full settlement of such vested RSUs. Such Shares will be issued and delivered in certificated or electronic form as soon as practicable (but not more than 90 days) after the applicable RSU vesting date, subject to any applicable tax withholding and other conditions set forth in the Plan, this Agreement and/or applicable law.</w:t>
      </w:r>
    </w:p>
    <w:p>
      <w:pPr>
        <w:spacing w:after="0" w:line="214" w:lineRule="exact"/>
        <w:rPr>
          <w:rFonts w:ascii="Arial" w:cs="Arial" w:eastAsia="Arial" w:hAnsi="Arial"/>
          <w:sz w:val="22"/>
          <w:szCs w:val="22"/>
          <w:color w:val="auto"/>
        </w:rPr>
      </w:pPr>
    </w:p>
    <w:p>
      <w:pPr>
        <w:jc w:val="both"/>
        <w:ind w:left="200" w:right="219" w:firstLine="657"/>
        <w:spacing w:after="0" w:line="297" w:lineRule="auto"/>
        <w:tabs>
          <w:tab w:leader="none" w:pos="153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Upon the termination of the Participant’s employment or other service with the Company, any unvested RSUs then covered by this Agreement shall be canceled and the Participant shall have no further rights with respect thereto.</w:t>
      </w:r>
    </w:p>
    <w:p>
      <w:pPr>
        <w:spacing w:after="0" w:line="160" w:lineRule="exact"/>
        <w:rPr>
          <w:rFonts w:ascii="Arial" w:cs="Arial" w:eastAsia="Arial" w:hAnsi="Arial"/>
          <w:sz w:val="19"/>
          <w:szCs w:val="19"/>
          <w:color w:val="auto"/>
        </w:rPr>
      </w:pPr>
    </w:p>
    <w:p>
      <w:pPr>
        <w:jc w:val="both"/>
        <w:ind w:left="200" w:right="219" w:firstLine="657"/>
        <w:spacing w:after="0" w:line="238" w:lineRule="auto"/>
        <w:tabs>
          <w:tab w:leader="none" w:pos="1523"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 Rights as a Shareholder</w:t>
      </w:r>
      <w:r>
        <w:rPr>
          <w:rFonts w:ascii="Arial" w:cs="Arial" w:eastAsia="Arial" w:hAnsi="Arial"/>
          <w:sz w:val="22"/>
          <w:szCs w:val="22"/>
          <w:color w:val="auto"/>
        </w:rPr>
        <w:t>. The Participant shall have no ownership or other rights of a stockholder with respect to Shares underlying the RSUs (including any right to receive dividends or to vote such Shares) unless and until such Shares are issued to the Participant in settlement of vested RSUs.</w:t>
      </w:r>
    </w:p>
    <w:p>
      <w:pPr>
        <w:spacing w:after="0" w:line="211" w:lineRule="exact"/>
        <w:rPr>
          <w:rFonts w:ascii="Arial" w:cs="Arial" w:eastAsia="Arial" w:hAnsi="Arial"/>
          <w:sz w:val="22"/>
          <w:szCs w:val="22"/>
          <w:color w:val="auto"/>
        </w:rPr>
      </w:pPr>
    </w:p>
    <w:p>
      <w:pPr>
        <w:jc w:val="both"/>
        <w:ind w:left="200" w:right="219" w:firstLine="657"/>
        <w:spacing w:after="0" w:line="275" w:lineRule="auto"/>
        <w:tabs>
          <w:tab w:leader="none" w:pos="153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Prior to any settlement of vested RSUs, the Participant shall be required to pay or make adequate arrangements satisfactory to the Company for the payment of all applicable tax withholding obligations. The Participant hereby authorizes the Company to satisfy all or part of the amount of such tax withholding obligations by deducting such amount from cash compensation or other payments that would otherwise be owed to the Participant. The Committee, acting in its sole discretion and pursuant to applicable law, may permit the Participant to satisfy any such tax withholding obligations with Shares that would otherwise be issued to the Participant in settlement of vested RSUs, and/or with previously-owned Shares held by the Participant. The</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200" w:right="219"/>
        <w:spacing w:after="0" w:line="328" w:lineRule="auto"/>
        <w:rPr>
          <w:sz w:val="20"/>
          <w:szCs w:val="20"/>
          <w:color w:val="auto"/>
        </w:rPr>
      </w:pPr>
      <w:r>
        <w:rPr>
          <w:rFonts w:ascii="Arial" w:cs="Arial" w:eastAsia="Arial" w:hAnsi="Arial"/>
          <w:sz w:val="19"/>
          <w:szCs w:val="19"/>
          <w:color w:val="auto"/>
        </w:rPr>
        <w:t>amount of the Participant’s tax withholding obligation that is satisfied in Shares, if any, shall be based upon the Fair Market Value of the Shares on the date such Shares are delivered or withheld.</w:t>
      </w:r>
    </w:p>
    <w:p>
      <w:pPr>
        <w:spacing w:after="0" w:line="132" w:lineRule="exact"/>
        <w:rPr>
          <w:sz w:val="20"/>
          <w:szCs w:val="20"/>
          <w:color w:val="auto"/>
        </w:rPr>
      </w:pPr>
    </w:p>
    <w:p>
      <w:pPr>
        <w:jc w:val="both"/>
        <w:ind w:left="200" w:right="219" w:firstLine="657"/>
        <w:spacing w:after="0" w:line="235" w:lineRule="auto"/>
        <w:tabs>
          <w:tab w:leader="none" w:pos="152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 Except as otherwise permitted by the Committee acting in its discretion under the Plan, the RSUs and the Participant’s right to receive Shares in settlement of vested RSUs may not be sold, assigned, transferred, pledged or otherwise alienated or disposed of (except by will or the laws of descent and distribution), and may not become subject to attachment, garnishment, execution or other legal or equitable process, and any attempt to do so shall be null and void.</w:t>
      </w:r>
    </w:p>
    <w:p>
      <w:pPr>
        <w:spacing w:after="0" w:line="214" w:lineRule="exact"/>
        <w:rPr>
          <w:rFonts w:ascii="Arial" w:cs="Arial" w:eastAsia="Arial" w:hAnsi="Arial"/>
          <w:sz w:val="22"/>
          <w:szCs w:val="22"/>
          <w:color w:val="auto"/>
        </w:rPr>
      </w:pPr>
    </w:p>
    <w:p>
      <w:pPr>
        <w:jc w:val="both"/>
        <w:ind w:left="200" w:right="219" w:firstLine="657"/>
        <w:spacing w:after="0" w:line="238" w:lineRule="auto"/>
        <w:tabs>
          <w:tab w:leader="none" w:pos="152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No Other Rights Conferred</w:t>
      </w:r>
      <w:r>
        <w:rPr>
          <w:rFonts w:ascii="Arial" w:cs="Arial" w:eastAsia="Arial" w:hAnsi="Arial"/>
          <w:sz w:val="22"/>
          <w:szCs w:val="22"/>
          <w:color w:val="auto"/>
        </w:rPr>
        <w:t>. Nothing contained herein shall be deemed to give the Participant a right to be retained in the employ or other service of the Company or any affiliate or affect the right of the Company and its affiliates to terminate or amend the terms and conditions of the Participant’s employment or other service.</w:t>
      </w:r>
    </w:p>
    <w:p>
      <w:pPr>
        <w:spacing w:after="0" w:line="211" w:lineRule="exact"/>
        <w:rPr>
          <w:rFonts w:ascii="Arial" w:cs="Arial" w:eastAsia="Arial" w:hAnsi="Arial"/>
          <w:sz w:val="22"/>
          <w:szCs w:val="22"/>
          <w:color w:val="auto"/>
        </w:rPr>
      </w:pPr>
    </w:p>
    <w:p>
      <w:pPr>
        <w:jc w:val="both"/>
        <w:ind w:left="200" w:right="219" w:firstLine="657"/>
        <w:spacing w:after="0"/>
        <w:tabs>
          <w:tab w:leader="none" w:pos="15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Provisions of the Plan Control</w:t>
      </w:r>
      <w:r>
        <w:rPr>
          <w:rFonts w:ascii="Arial" w:cs="Arial" w:eastAsia="Arial" w:hAnsi="Arial"/>
          <w:sz w:val="22"/>
          <w:szCs w:val="22"/>
          <w:color w:val="auto"/>
        </w:rPr>
        <w:t>. The provisions of the Plan, the terms of which are incorporated in this Agreement, shall govern if and to the extent that there are inconsistencies between those provisions and the provisions hereof.</w:t>
      </w:r>
    </w:p>
    <w:p>
      <w:pPr>
        <w:spacing w:after="0" w:line="213" w:lineRule="exact"/>
        <w:rPr>
          <w:rFonts w:ascii="Arial" w:cs="Arial" w:eastAsia="Arial" w:hAnsi="Arial"/>
          <w:sz w:val="22"/>
          <w:szCs w:val="22"/>
          <w:color w:val="auto"/>
        </w:rPr>
      </w:pPr>
    </w:p>
    <w:p>
      <w:pPr>
        <w:ind w:left="200" w:right="219" w:firstLine="657"/>
        <w:spacing w:after="0" w:line="250" w:lineRule="auto"/>
        <w:tabs>
          <w:tab w:leader="none" w:pos="152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shall inure to the benefit of the parties hereto and their respective successors and permitted assigns.</w:t>
      </w:r>
    </w:p>
    <w:p>
      <w:pPr>
        <w:spacing w:after="0" w:line="201" w:lineRule="exact"/>
        <w:rPr>
          <w:rFonts w:ascii="Arial" w:cs="Arial" w:eastAsia="Arial" w:hAnsi="Arial"/>
          <w:sz w:val="22"/>
          <w:szCs w:val="22"/>
          <w:color w:val="auto"/>
        </w:rPr>
      </w:pPr>
    </w:p>
    <w:p>
      <w:pPr>
        <w:jc w:val="both"/>
        <w:ind w:left="200" w:right="219" w:firstLine="657"/>
        <w:spacing w:after="0"/>
        <w:tabs>
          <w:tab w:leader="none" w:pos="1542"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with respect to the subject matter hereof and may not be modified except by written instrument executed by the parties.</w:t>
      </w:r>
    </w:p>
    <w:p>
      <w:pPr>
        <w:spacing w:after="0" w:line="213" w:lineRule="exact"/>
        <w:rPr>
          <w:rFonts w:ascii="Arial" w:cs="Arial" w:eastAsia="Arial" w:hAnsi="Arial"/>
          <w:sz w:val="22"/>
          <w:szCs w:val="22"/>
          <w:color w:val="auto"/>
        </w:rPr>
      </w:pPr>
    </w:p>
    <w:p>
      <w:pPr>
        <w:ind w:left="200" w:right="239" w:firstLine="657"/>
        <w:spacing w:after="0" w:line="250" w:lineRule="auto"/>
        <w:tabs>
          <w:tab w:leader="none" w:pos="155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the laws of the State of Delaware, without regard to its principles of conflict of laws.</w:t>
      </w:r>
    </w:p>
    <w:p>
      <w:pPr>
        <w:spacing w:after="0" w:line="201" w:lineRule="exact"/>
        <w:rPr>
          <w:rFonts w:ascii="Arial" w:cs="Arial" w:eastAsia="Arial" w:hAnsi="Arial"/>
          <w:sz w:val="22"/>
          <w:szCs w:val="22"/>
          <w:color w:val="auto"/>
        </w:rPr>
      </w:pPr>
    </w:p>
    <w:p>
      <w:pPr>
        <w:jc w:val="both"/>
        <w:ind w:left="200" w:right="219" w:firstLine="657"/>
        <w:spacing w:after="0"/>
        <w:tabs>
          <w:tab w:leader="none" w:pos="15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each of which will be an original and all of which taken together shall constitute one and the same agreement.</w:t>
      </w:r>
    </w:p>
    <w:p>
      <w:pPr>
        <w:spacing w:after="0" w:line="200" w:lineRule="exact"/>
        <w:rPr>
          <w:sz w:val="20"/>
          <w:szCs w:val="20"/>
          <w:color w:val="auto"/>
        </w:rPr>
      </w:pPr>
    </w:p>
    <w:p>
      <w:pPr>
        <w:spacing w:after="0" w:line="25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G-III APPAREL GROUP, LTD.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By: ____________________________________</w:t>
      </w:r>
    </w:p>
    <w:p>
      <w:pPr>
        <w:spacing w:after="0" w:line="200" w:lineRule="exact"/>
        <w:rPr>
          <w:sz w:val="20"/>
          <w:szCs w:val="20"/>
          <w:color w:val="auto"/>
        </w:rPr>
      </w:pPr>
    </w:p>
    <w:p>
      <w:pPr>
        <w:spacing w:after="0" w:line="28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_______________________________________</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3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20" w:right="79" w:hanging="319"/>
        <w:spacing w:after="0" w:line="276"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40" w:right="79" w:hanging="315"/>
        <w:spacing w:after="0" w:line="231"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40" w:right="79" w:hanging="315"/>
        <w:spacing w:after="0" w:line="231"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40" w:right="79" w:hanging="315"/>
        <w:spacing w:after="0" w:line="235"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40" w:right="79" w:hanging="315"/>
        <w:spacing w:after="0" w:line="231"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40" w:right="79" w:hanging="315"/>
        <w:spacing w:after="0" w:line="235"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40" w:right="79" w:hanging="315"/>
        <w:spacing w:after="0" w:line="246"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9, 2020</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1051560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720" w:right="79" w:hanging="319"/>
        <w:spacing w:after="0" w:line="276"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7" w:lineRule="exact"/>
        <w:rPr>
          <w:rFonts w:ascii="Arial" w:cs="Arial" w:eastAsia="Arial" w:hAnsi="Arial"/>
          <w:sz w:val="16"/>
          <w:szCs w:val="16"/>
          <w:color w:val="auto"/>
        </w:rPr>
      </w:pPr>
    </w:p>
    <w:p>
      <w:pPr>
        <w:jc w:val="both"/>
        <w:ind w:left="1040" w:right="79" w:hanging="315"/>
        <w:spacing w:after="0" w:line="231"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left="1040" w:right="79" w:hanging="315"/>
        <w:spacing w:after="0" w:line="231"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1040" w:right="79" w:hanging="315"/>
        <w:spacing w:after="0" w:line="235"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1040" w:right="79" w:hanging="315"/>
        <w:spacing w:after="0" w:line="231"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040" w:right="79" w:hanging="315"/>
        <w:spacing w:after="0" w:line="235"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040" w:right="79" w:hanging="315"/>
        <w:spacing w:after="0" w:line="246"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9, 2020</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1043305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April 30, 2020,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9, 2020</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856615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59" w:firstLine="415"/>
        <w:spacing w:after="0" w:line="296" w:lineRule="auto"/>
        <w:rPr>
          <w:sz w:val="20"/>
          <w:szCs w:val="20"/>
          <w:color w:val="auto"/>
        </w:rPr>
      </w:pPr>
      <w:r>
        <w:rPr>
          <w:rFonts w:ascii="Arial" w:cs="Arial" w:eastAsia="Arial" w:hAnsi="Arial"/>
          <w:sz w:val="16"/>
          <w:szCs w:val="16"/>
          <w:color w:val="auto"/>
        </w:rPr>
        <w:t>In connection with the Quarterly Report of G-III Apparel Group, Ltd. (the “Company”) on Form 10-Q for the quarterly period ended April 30, 2020,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9, 2020</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993775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1)"/>
      <w:numFmt w:val="lowerRoman"/>
      <w:start w:val="3"/>
    </w:lvl>
  </w:abstractNum>
  <w:abstractNum w:abstractNumId="6">
    <w:nsid w:val="1BEFD79F"/>
    <w:multiLevelType w:val="hybridMultilevel"/>
    <w:lvl w:ilvl="0">
      <w:lvlJc w:val="left"/>
      <w:lvlText w:val="(%1)"/>
      <w:numFmt w:val="lowerRoman"/>
      <w:start w:val="3"/>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upperLetter"/>
      <w:start w:val="6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lowerRoman"/>
      <w:start w:val="3"/>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2"/>
    </w:lvl>
  </w:abstractNum>
  <w:abstractNum w:abstractNumId="20">
    <w:nsid w:val="721DA317"/>
    <w:multiLevelType w:val="hybridMultilevel"/>
    <w:lvl w:ilvl="0">
      <w:lvlJc w:val="left"/>
      <w:lvlText w:val="%1."/>
      <w:numFmt w:val="decimal"/>
      <w:start w:val="7"/>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2020-06-09T16:25:00Z</dcterms:created>
  <dcterms:modified xsi:type="dcterms:W3CDTF">2020-06-09T16:25:00Z</dcterms:modified>
</cp:coreProperties>
</file>