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giii-20240731x10q.htm"/>
        <w:bookmarkStart w:id="1" w:name="ksgiii202407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0"/>
        <w:ind w:left="0" w:right="0" w:hanging="0"/>
        <w:jc w:val="center"/>
        <w:rPr/>
      </w:pPr>
      <w:r>
        <w:rPr/>
        <w:t>​</w:t>
      </w:r>
    </w:p>
    <w:p>
      <w:pPr>
        <w:pStyle w:val="TextBody"/>
        <w:bidi w:val="0"/>
        <w:spacing w:lineRule="atLeast" w:line="142"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2"/>
        </w:rPr>
      </w:pPr>
      <w:bookmarkStart w:id="2" w:name="_7aae92b2_fef0_47aa_93e8_b173f55832dd"/>
      <w:bookmarkEnd w:id="2"/>
      <w:r>
        <w:rPr>
          <w:rFonts w:ascii="Times New Roman;Times;serif" w:hAnsi="Times New Roman;Times;serif"/>
          <w:b/>
          <w:sz w:val="22"/>
        </w:rPr>
        <w:t>UNITED STATES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lineRule="atLeast" w:line="142"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FORM 10-Q</w:t>
      </w:r>
    </w:p>
    <w:p>
      <w:pPr>
        <w:pStyle w:val="TextBody"/>
        <w:bidi w:val="0"/>
        <w:spacing w:lineRule="atLeast" w:line="142"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(Mark One)</w:t>
      </w:r>
    </w:p>
    <w:p>
      <w:pPr>
        <w:pStyle w:val="Normal"/>
        <w:bidi w:val="0"/>
        <w:spacing w:before="0" w:after="0"/>
        <w:jc w:val="left"/>
        <w:rPr>
          <w:sz w:val="4"/>
          <w:szCs w:val="4"/>
        </w:rPr>
      </w:pPr>
      <w:r>
        <w:rPr>
          <w:sz w:val="4"/>
          <w:szCs w:val="4"/>
        </w:rPr>
      </w:r>
      <w:bookmarkStart w:id="3" w:name="Tc_Krg5US_pLEqyijtrqOA84A_1_1"/>
      <w:bookmarkStart w:id="4" w:name="_67cce160_03ae_4838_aa3c_6a5691c43eca"/>
      <w:bookmarkStart w:id="5" w:name="Tc_Krg5US_pLEqyijtrqOA84A_1_1"/>
      <w:bookmarkStart w:id="6" w:name="_67cce160_03ae_4838_aa3c_6a5691c43eca"/>
      <w:bookmarkEnd w:id="5"/>
      <w:bookmarkEnd w:id="6"/>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421"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42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quarterly period ended July 31, 2024</w:t>
      </w:r>
    </w:p>
    <w:p>
      <w:pPr>
        <w:pStyle w:val="TextBody"/>
        <w:bidi w:val="0"/>
        <w:spacing w:lineRule="atLeast" w:line="142"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TextBody"/>
        <w:bidi w:val="0"/>
        <w:spacing w:lineRule="atLeast" w:line="142" w:before="0" w:after="0"/>
        <w:ind w:left="0" w:right="0" w:hanging="0"/>
        <w:jc w:val="center"/>
        <w:rPr/>
      </w:pPr>
      <w:r>
        <w:rPr/>
        <w:t>​</w:t>
      </w:r>
    </w:p>
    <w:p>
      <w:pPr>
        <w:pStyle w:val="Normal"/>
        <w:bidi w:val="0"/>
        <w:spacing w:before="0" w:after="0"/>
        <w:jc w:val="left"/>
        <w:rPr>
          <w:sz w:val="4"/>
          <w:szCs w:val="4"/>
        </w:rPr>
      </w:pPr>
      <w:r>
        <w:rPr>
          <w:sz w:val="4"/>
          <w:szCs w:val="4"/>
        </w:rPr>
      </w:r>
      <w:bookmarkStart w:id="7" w:name="Tc_FslSHR6mqkGvcZpnmZgEQQ_1_1"/>
      <w:bookmarkStart w:id="8" w:name="_48436b49_d26e_4082_874d_b993b378e2b0"/>
      <w:bookmarkStart w:id="9" w:name="Tc_FslSHR6mqkGvcZpnmZgEQQ_1_1"/>
      <w:bookmarkStart w:id="10" w:name="_48436b49_d26e_4082_874d_b993b378e2b0"/>
      <w:bookmarkEnd w:id="9"/>
      <w:bookmarkEnd w:id="10"/>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421"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42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b/>
          <w:sz w:val="18"/>
        </w:rPr>
        <w:t xml:space="preserve">For the transition period from </w:t>
      </w:r>
      <w:r>
        <w:rPr>
          <w:rFonts w:ascii="Times New Roman;Times;serif" w:hAnsi="Times New Roman;Times;serif"/>
          <w:sz w:val="18"/>
        </w:rPr>
        <w:t xml:space="preserve">         </w:t>
      </w:r>
      <w:r>
        <w:rPr>
          <w:rFonts w:ascii="Times New Roman;Times;serif" w:hAnsi="Times New Roman;Times;serif"/>
          <w:b/>
          <w:sz w:val="18"/>
        </w:rPr>
        <w:t xml:space="preserve">to </w:t>
      </w:r>
      <w:r>
        <w:rPr>
          <w:rFonts w:ascii="Times New Roman;Times;serif" w:hAnsi="Times New Roman;Times;serif"/>
          <w:sz w:val="18"/>
        </w:rPr>
        <w:t>      </w:t>
      </w:r>
    </w:p>
    <w:p>
      <w:pPr>
        <w:pStyle w:val="TextBody"/>
        <w:bidi w:val="0"/>
        <w:spacing w:lineRule="atLeast" w:line="142"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0-18183</w:t>
      </w:r>
    </w:p>
    <w:p>
      <w:pPr>
        <w:pStyle w:val="TextBody"/>
        <w:bidi w:val="0"/>
        <w:spacing w:before="0" w:after="0"/>
        <w:ind w:left="0" w:right="0" w:hanging="0"/>
        <w:jc w:val="center"/>
        <w:rPr/>
      </w:pPr>
      <w:r>
        <w:rPr/>
        <w:t> </w:t>
      </w:r>
      <w:r>
        <w:rPr>
          <w:rFonts w:ascii="Times New Roman;Times;serif" w:hAnsi="Times New Roman;Times;serif"/>
          <w:b/>
          <w:i w:val="false"/>
          <w:caps w:val="false"/>
          <w:smallCaps w:val="false"/>
          <w:sz w:val="40"/>
        </w:rPr>
        <w:t>G-III APPAREL GROUP, LTD</w:t>
      </w:r>
      <w:r>
        <w:rPr>
          <w:rFonts w:ascii="Times New Roman;Times;serif" w:hAnsi="Times New Roman;Times;serif"/>
          <w:b/>
          <w:sz w:val="40"/>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(Exact name of registrant as specified in its charter) </w:t>
      </w:r>
    </w:p>
    <w:p>
      <w:pPr>
        <w:pStyle w:val="TextBody"/>
        <w:bidi w:val="0"/>
        <w:spacing w:lineRule="atLeast" w:line="142" w:before="0" w:after="0"/>
        <w:ind w:left="0" w:right="0" w:hanging="0"/>
        <w:jc w:val="center"/>
        <w:rPr/>
      </w:pPr>
      <w:r>
        <w:rPr/>
        <w:t> </w:t>
      </w:r>
    </w:p>
    <w:p>
      <w:pPr>
        <w:pStyle w:val="Normal"/>
        <w:bidi w:val="0"/>
        <w:spacing w:before="0" w:after="0"/>
        <w:jc w:val="left"/>
        <w:rPr>
          <w:sz w:val="4"/>
          <w:szCs w:val="4"/>
        </w:rPr>
      </w:pPr>
      <w:r>
        <w:rPr>
          <w:sz w:val="4"/>
          <w:szCs w:val="4"/>
        </w:rPr>
      </w:r>
      <w:bookmarkStart w:id="11" w:name="Tc_7s2oHTgSYEqS3GmgzUXyww_6_2"/>
      <w:bookmarkStart w:id="12" w:name="Tc_Zk_XbdHLlUW6L3_bNPik-Q_6_0"/>
      <w:bookmarkStart w:id="13" w:name="Tc_oTj95OdgAUa5zel3WVFfuA_5_0"/>
      <w:bookmarkStart w:id="14" w:name="Tc_dCHmePBHNEygRagQoCW7aw_3_2"/>
      <w:bookmarkStart w:id="15" w:name="Tc_Xl4qfxG3RU6dysF1aiVTHA_3_0"/>
      <w:bookmarkStart w:id="16" w:name="Tc_ho1zP49sIU2YVoCHwLcKCg_2_2"/>
      <w:bookmarkStart w:id="17" w:name="Tc_7D8grtoulkWYwbjnGJJGfA_2_0"/>
      <w:bookmarkStart w:id="18" w:name="_bdf98a77_3046_446a_8415_191d22e3bbd2"/>
      <w:bookmarkStart w:id="19" w:name="Tc_7s2oHTgSYEqS3GmgzUXyww_6_2"/>
      <w:bookmarkStart w:id="20" w:name="Tc_Zk_XbdHLlUW6L3_bNPik-Q_6_0"/>
      <w:bookmarkStart w:id="21" w:name="Tc_oTj95OdgAUa5zel3WVFfuA_5_0"/>
      <w:bookmarkStart w:id="22" w:name="Tc_dCHmePBHNEygRagQoCW7aw_3_2"/>
      <w:bookmarkStart w:id="23" w:name="Tc_Xl4qfxG3RU6dysF1aiVTHA_3_0"/>
      <w:bookmarkStart w:id="24" w:name="Tc_ho1zP49sIU2YVoCHwLcKCg_2_2"/>
      <w:bookmarkStart w:id="25" w:name="Tc_7D8grtoulkWYwbjnGJJGfA_2_0"/>
      <w:bookmarkStart w:id="26" w:name="_bdf98a77_3046_446a_8415_191d22e3bbd2"/>
      <w:bookmarkEnd w:id="19"/>
      <w:bookmarkEnd w:id="20"/>
      <w:bookmarkEnd w:id="21"/>
      <w:bookmarkEnd w:id="22"/>
      <w:bookmarkEnd w:id="23"/>
      <w:bookmarkEnd w:id="24"/>
      <w:bookmarkEnd w:id="25"/>
      <w:bookmarkEnd w:id="26"/>
    </w:p>
    <w:tbl>
      <w:tblPr>
        <w:tblW w:w="5338" w:type="dxa"/>
        <w:jc w:val="left"/>
        <w:tblInd w:w="0" w:type="dxa"/>
        <w:tblLayout w:type="fixed"/>
        <w:tblCellMar>
          <w:top w:w="0" w:type="dxa"/>
          <w:left w:w="0" w:type="dxa"/>
          <w:bottom w:w="0" w:type="dxa"/>
          <w:right w:w="0" w:type="dxa"/>
        </w:tblCellMar>
      </w:tblPr>
      <w:tblGrid>
        <w:gridCol w:w="3451"/>
        <w:gridCol w:w="326"/>
        <w:gridCol w:w="1561"/>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561" w:type="dxa"/>
            <w:tcBorders/>
            <w:vAlign w:val="center"/>
          </w:tcPr>
          <w:p>
            <w:pPr>
              <w:pStyle w:val="TableContents"/>
              <w:bidi w:val="0"/>
              <w:spacing w:before="0" w:after="283"/>
              <w:ind w:left="0" w:right="0" w:hanging="0"/>
              <w:jc w:val="left"/>
              <w:rPr>
                <w:sz w:val="4"/>
                <w:szCs w:val="4"/>
              </w:rPr>
            </w:pPr>
            <w:r>
              <w:rPr>
                <w:sz w:val="4"/>
                <w:szCs w:val="4"/>
              </w:rPr>
            </w:r>
          </w:p>
        </w:tc>
      </w:tr>
      <w:tr>
        <w:trPr/>
        <w:tc>
          <w:tcPr>
            <w:tcW w:w="345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326" w:type="dxa"/>
            <w:tcBorders/>
            <w:vAlign w:val="center"/>
          </w:tcPr>
          <w:p>
            <w:pPr>
              <w:pStyle w:val="TableContents"/>
              <w:bidi w:val="0"/>
              <w:spacing w:before="0" w:after="0"/>
              <w:ind w:left="0" w:right="0" w:hanging="0"/>
              <w:jc w:val="left"/>
              <w:rPr/>
            </w:pPr>
            <w:r>
              <w:rPr/>
              <w:t>    </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41-1590959</w:t>
            </w:r>
          </w:p>
        </w:tc>
      </w:tr>
      <w:tr>
        <w:trPr/>
        <w:tc>
          <w:tcPr>
            <w:tcW w:w="345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(State or other jurisdiction of</w:t>
            </w:r>
          </w:p>
        </w:tc>
        <w:tc>
          <w:tcPr>
            <w:tcW w:w="326" w:type="dxa"/>
            <w:tcBorders/>
            <w:vAlign w:val="center"/>
          </w:tcPr>
          <w:p>
            <w:pPr>
              <w:pStyle w:val="TableContents"/>
              <w:bidi w:val="0"/>
              <w:spacing w:before="0" w:after="0"/>
              <w:ind w:left="0" w:right="0" w:hanging="0"/>
              <w:jc w:val="left"/>
              <w:rPr/>
            </w:pPr>
            <w:r>
              <w:rPr/>
              <w:t> </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(I.R.S. Employer</w:t>
            </w:r>
          </w:p>
        </w:tc>
      </w:tr>
      <w:tr>
        <w:trPr/>
        <w:tc>
          <w:tcPr>
            <w:tcW w:w="345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incorporation or organization)</w:t>
            </w:r>
          </w:p>
        </w:tc>
        <w:tc>
          <w:tcPr>
            <w:tcW w:w="326" w:type="dxa"/>
            <w:tcBorders/>
            <w:vAlign w:val="center"/>
          </w:tcPr>
          <w:p>
            <w:pPr>
              <w:pStyle w:val="TableContents"/>
              <w:bidi w:val="0"/>
              <w:spacing w:before="0" w:after="0"/>
              <w:ind w:left="0" w:right="0" w:hanging="0"/>
              <w:jc w:val="left"/>
              <w:rPr/>
            </w:pPr>
            <w:r>
              <w:rPr/>
              <w:t> </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Identification No.)</w:t>
            </w:r>
          </w:p>
        </w:tc>
      </w:tr>
      <w:tr>
        <w:trPr/>
        <w:tc>
          <w:tcPr>
            <w:tcW w:w="3451" w:type="dxa"/>
            <w:tcBorders/>
            <w:vAlign w:val="center"/>
          </w:tcPr>
          <w:p>
            <w:pPr>
              <w:pStyle w:val="TableContents"/>
              <w:bidi w:val="0"/>
              <w:spacing w:lineRule="atLeast" w:line="142" w:before="0" w:after="0"/>
              <w:ind w:left="0" w:right="0" w:hanging="0"/>
              <w:jc w:val="center"/>
              <w:rPr/>
            </w:pPr>
            <w:r>
              <w:rPr/>
              <w:t> </w:t>
            </w:r>
          </w:p>
        </w:tc>
        <w:tc>
          <w:tcPr>
            <w:tcW w:w="326" w:type="dxa"/>
            <w:tcBorders/>
            <w:vAlign w:val="center"/>
          </w:tcPr>
          <w:p>
            <w:pPr>
              <w:pStyle w:val="TableContents"/>
              <w:bidi w:val="0"/>
              <w:spacing w:lineRule="atLeast" w:line="142" w:before="0" w:after="0"/>
              <w:ind w:left="0" w:right="0" w:hanging="0"/>
              <w:jc w:val="left"/>
              <w:rPr/>
            </w:pPr>
            <w:r>
              <w:rPr/>
              <w:t> </w:t>
            </w:r>
          </w:p>
        </w:tc>
        <w:tc>
          <w:tcPr>
            <w:tcW w:w="1561" w:type="dxa"/>
            <w:tcBorders/>
            <w:vAlign w:val="center"/>
          </w:tcPr>
          <w:p>
            <w:pPr>
              <w:pStyle w:val="TableContents"/>
              <w:bidi w:val="0"/>
              <w:spacing w:lineRule="atLeast" w:line="142"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512 Seventh Avenue, New York, New York</w:t>
            </w:r>
          </w:p>
        </w:tc>
        <w:tc>
          <w:tcPr>
            <w:tcW w:w="326" w:type="dxa"/>
            <w:tcBorders/>
            <w:vAlign w:val="center"/>
          </w:tcPr>
          <w:p>
            <w:pPr>
              <w:pStyle w:val="TableContents"/>
              <w:bidi w:val="0"/>
              <w:spacing w:before="0" w:after="0"/>
              <w:ind w:left="0" w:right="0" w:hanging="0"/>
              <w:jc w:val="left"/>
              <w:rPr/>
            </w:pPr>
            <w:r>
              <w:rPr/>
              <w:t> </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10018</w:t>
            </w:r>
          </w:p>
        </w:tc>
      </w:tr>
      <w:tr>
        <w:trPr/>
        <w:tc>
          <w:tcPr>
            <w:tcW w:w="345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(Address of principal executive offices)</w:t>
            </w:r>
          </w:p>
        </w:tc>
        <w:tc>
          <w:tcPr>
            <w:tcW w:w="326" w:type="dxa"/>
            <w:tcBorders/>
            <w:vAlign w:val="center"/>
          </w:tcPr>
          <w:p>
            <w:pPr>
              <w:pStyle w:val="TableContents"/>
              <w:bidi w:val="0"/>
              <w:spacing w:before="0" w:after="0"/>
              <w:ind w:left="0" w:right="0" w:hanging="0"/>
              <w:jc w:val="left"/>
              <w:rPr/>
            </w:pPr>
            <w:r>
              <w:rPr/>
              <w:t> </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(212) 403-0500</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(Registrant’s telephone number, including area code)</w:t>
      </w:r>
    </w:p>
    <w:p>
      <w:pPr>
        <w:pStyle w:val="TextBody"/>
        <w:bidi w:val="0"/>
        <w:spacing w:lineRule="atLeast" w:line="142"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(Former name, former address and former fiscal year, if changed since last report)</w:t>
      </w:r>
    </w:p>
    <w:p>
      <w:pPr>
        <w:pStyle w:val="TextBody"/>
        <w:bidi w:val="0"/>
        <w:spacing w:lineRule="atLeast" w:line="142"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Normal"/>
        <w:bidi w:val="0"/>
        <w:spacing w:before="0" w:after="0"/>
        <w:jc w:val="left"/>
        <w:rPr>
          <w:sz w:val="4"/>
          <w:szCs w:val="4"/>
        </w:rPr>
      </w:pPr>
      <w:r>
        <w:rPr>
          <w:sz w:val="4"/>
          <w:szCs w:val="4"/>
        </w:rPr>
      </w:r>
      <w:bookmarkStart w:id="27" w:name="Tc_ea2SGAhevUG8Ju_fcLCpqw_2_0"/>
      <w:bookmarkStart w:id="28" w:name="Tc_p88cyhIEwkC0LT-D-R43Hw_1_2"/>
      <w:bookmarkStart w:id="29" w:name="Tc_tfAid5qb0UCqHoQyHPC8wQ_1_1"/>
      <w:bookmarkStart w:id="30" w:name="Tc_ZKDW8oRx-U-10cpBWSM0TA_1_0"/>
      <w:bookmarkStart w:id="31" w:name="_d433f0cd_c7c5_4d94_a9bf_30e46fd249fa"/>
      <w:bookmarkStart w:id="32" w:name="Tc_ea2SGAhevUG8Ju_fcLCpqw_2_0"/>
      <w:bookmarkStart w:id="33" w:name="Tc_p88cyhIEwkC0LT-D-R43Hw_1_2"/>
      <w:bookmarkStart w:id="34" w:name="Tc_tfAid5qb0UCqHoQyHPC8wQ_1_1"/>
      <w:bookmarkStart w:id="35" w:name="Tc_ZKDW8oRx-U-10cpBWSM0TA_1_0"/>
      <w:bookmarkStart w:id="36" w:name="_d433f0cd_c7c5_4d94_a9bf_30e46fd249fa"/>
      <w:bookmarkEnd w:id="32"/>
      <w:bookmarkEnd w:id="33"/>
      <w:bookmarkEnd w:id="34"/>
      <w:bookmarkEnd w:id="35"/>
      <w:bookmarkEnd w:id="36"/>
    </w:p>
    <w:tbl>
      <w:tblPr>
        <w:tblW w:w="7713" w:type="dxa"/>
        <w:jc w:val="left"/>
        <w:tblInd w:w="0" w:type="dxa"/>
        <w:tblLayout w:type="fixed"/>
        <w:tblCellMar>
          <w:top w:w="0" w:type="dxa"/>
          <w:left w:w="0" w:type="dxa"/>
          <w:bottom w:w="0" w:type="dxa"/>
          <w:right w:w="0" w:type="dxa"/>
        </w:tblCellMar>
      </w:tblPr>
      <w:tblGrid>
        <w:gridCol w:w="3061"/>
        <w:gridCol w:w="1426"/>
        <w:gridCol w:w="3226"/>
      </w:tblGrid>
      <w:tr>
        <w:trPr/>
        <w:tc>
          <w:tcPr>
            <w:tcW w:w="3061" w:type="dxa"/>
            <w:tcBorders/>
            <w:vAlign w:val="center"/>
          </w:tcPr>
          <w:p>
            <w:pPr>
              <w:pStyle w:val="TableContents"/>
              <w:bidi w:val="0"/>
              <w:spacing w:before="0" w:after="0"/>
              <w:ind w:left="0" w:right="0" w:hanging="0"/>
              <w:jc w:val="left"/>
              <w:rPr/>
            </w:pPr>
            <w:r>
              <w:rPr/>
              <w:t>​</w:t>
            </w:r>
          </w:p>
        </w:tc>
        <w:tc>
          <w:tcPr>
            <w:tcW w:w="1426" w:type="dxa"/>
            <w:tcBorders/>
            <w:vAlign w:val="center"/>
          </w:tcPr>
          <w:p>
            <w:pPr>
              <w:pStyle w:val="TableContents"/>
              <w:bidi w:val="0"/>
              <w:spacing w:before="0" w:after="0"/>
              <w:ind w:left="0" w:right="0" w:hanging="0"/>
              <w:jc w:val="left"/>
              <w:rPr/>
            </w:pPr>
            <w:r>
              <w:rPr/>
              <w:t>​</w:t>
            </w:r>
          </w:p>
        </w:tc>
        <w:tc>
          <w:tcPr>
            <w:tcW w:w="3226" w:type="dxa"/>
            <w:tcBorders/>
            <w:vAlign w:val="center"/>
          </w:tcPr>
          <w:p>
            <w:pPr>
              <w:pStyle w:val="TableContents"/>
              <w:bidi w:val="0"/>
              <w:spacing w:before="0" w:after="0"/>
              <w:ind w:left="0" w:right="0" w:hanging="0"/>
              <w:jc w:val="left"/>
              <w:rPr/>
            </w:pPr>
            <w:r>
              <w:rPr/>
              <w:t>​</w:t>
            </w:r>
          </w:p>
        </w:tc>
      </w:tr>
      <w:tr>
        <w:trPr/>
        <w:tc>
          <w:tcPr>
            <w:tcW w:w="306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Title of each class</w:t>
            </w:r>
          </w:p>
        </w:tc>
        <w:tc>
          <w:tcPr>
            <w:tcW w:w="14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Trading Symbol(s)</w:t>
            </w:r>
          </w:p>
        </w:tc>
        <w:tc>
          <w:tcPr>
            <w:tcW w:w="32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Name of each exchange on which registered</w:t>
            </w:r>
          </w:p>
        </w:tc>
      </w:tr>
      <w:tr>
        <w:trPr/>
        <w:tc>
          <w:tcPr>
            <w:tcW w:w="306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Common Stock, $0.01 par value per share</w:t>
            </w:r>
          </w:p>
        </w:tc>
        <w:tc>
          <w:tcPr>
            <w:tcW w:w="14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GIII</w:t>
            </w:r>
          </w:p>
        </w:tc>
        <w:tc>
          <w:tcPr>
            <w:tcW w:w="32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Nasdaq Stock Market</w:t>
            </w:r>
          </w:p>
        </w:tc>
      </w:tr>
    </w:tbl>
    <w:p>
      <w:pPr>
        <w:pStyle w:val="TextBody"/>
        <w:bidi w:val="0"/>
        <w:spacing w:lineRule="atLeast" w:line="142"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lineRule="atLeast" w:line="142"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lineRule="atLeast" w:line="142"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lineRule="atLeast" w:line="142" w:before="0" w:after="0"/>
        <w:ind w:left="0" w:right="0" w:hanging="0"/>
        <w:jc w:val="both"/>
        <w:rPr/>
      </w:pPr>
      <w:r>
        <w:rPr/>
        <w:t>​</w:t>
      </w:r>
    </w:p>
    <w:p>
      <w:pPr>
        <w:pStyle w:val="Normal"/>
        <w:bidi w:val="0"/>
        <w:spacing w:before="0" w:after="0"/>
        <w:jc w:val="left"/>
        <w:rPr>
          <w:sz w:val="4"/>
          <w:szCs w:val="4"/>
        </w:rPr>
      </w:pPr>
      <w:r>
        <w:rPr>
          <w:sz w:val="4"/>
          <w:szCs w:val="4"/>
        </w:rPr>
      </w:r>
      <w:bookmarkStart w:id="37" w:name="Tc_7x8SyZ5Fu0-CKaxBSq5o4A_3_0"/>
      <w:bookmarkStart w:id="38" w:name="Tc_JZsvBx1HTUuKtYcVJWmB6Q_2_2"/>
      <w:bookmarkStart w:id="39" w:name="Tc_mGbFRr_89ECWWYyRF82H-w_2_1"/>
      <w:bookmarkStart w:id="40" w:name="Tc_4InkLRF4UU6bWuC-WnMrOw_2_0"/>
      <w:bookmarkStart w:id="41" w:name="Tc_J_GgBMw0_EmhIAfCY9qaNw_1_3"/>
      <w:bookmarkStart w:id="42" w:name="Tc_j7EtebKtHEeru-S6gQgiTA_1_2"/>
      <w:bookmarkStart w:id="43" w:name="Tc_rAEOoaY4zke5mPWmj-a5bA_1_1"/>
      <w:bookmarkStart w:id="44" w:name="_0d100095_6f82_4197_9134_342390c8ed5f"/>
      <w:bookmarkStart w:id="45" w:name="Tc_7x8SyZ5Fu0-CKaxBSq5o4A_3_0"/>
      <w:bookmarkStart w:id="46" w:name="Tc_JZsvBx1HTUuKtYcVJWmB6Q_2_2"/>
      <w:bookmarkStart w:id="47" w:name="Tc_mGbFRr_89ECWWYyRF82H-w_2_1"/>
      <w:bookmarkStart w:id="48" w:name="Tc_4InkLRF4UU6bWuC-WnMrOw_2_0"/>
      <w:bookmarkStart w:id="49" w:name="Tc_J_GgBMw0_EmhIAfCY9qaNw_1_3"/>
      <w:bookmarkStart w:id="50" w:name="Tc_j7EtebKtHEeru-S6gQgiTA_1_2"/>
      <w:bookmarkStart w:id="51" w:name="Tc_rAEOoaY4zke5mPWmj-a5bA_1_1"/>
      <w:bookmarkStart w:id="52" w:name="_0d100095_6f82_4197_9134_342390c8ed5f"/>
      <w:bookmarkEnd w:id="45"/>
      <w:bookmarkEnd w:id="46"/>
      <w:bookmarkEnd w:id="47"/>
      <w:bookmarkEnd w:id="48"/>
      <w:bookmarkEnd w:id="49"/>
      <w:bookmarkEnd w:id="50"/>
      <w:bookmarkEnd w:id="51"/>
      <w:bookmarkEnd w:id="52"/>
    </w:p>
    <w:tbl>
      <w:tblPr>
        <w:tblW w:w="4759" w:type="dxa"/>
        <w:jc w:val="left"/>
        <w:tblInd w:w="0" w:type="dxa"/>
        <w:tblLayout w:type="fixed"/>
        <w:tblCellMar>
          <w:top w:w="0" w:type="dxa"/>
          <w:left w:w="0" w:type="dxa"/>
          <w:bottom w:w="0" w:type="dxa"/>
          <w:right w:w="0" w:type="dxa"/>
        </w:tblCellMar>
      </w:tblPr>
      <w:tblGrid>
        <w:gridCol w:w="2056"/>
        <w:gridCol w:w="316"/>
        <w:gridCol w:w="2026"/>
        <w:gridCol w:w="361"/>
      </w:tblGrid>
      <w:tr>
        <w:trPr/>
        <w:tc>
          <w:tcPr>
            <w:tcW w:w="2056"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2026"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283"/>
              <w:ind w:left="0" w:right="0" w:hanging="0"/>
              <w:jc w:val="left"/>
              <w:rPr>
                <w:sz w:val="4"/>
                <w:szCs w:val="4"/>
              </w:rPr>
            </w:pPr>
            <w:r>
              <w:rPr>
                <w:sz w:val="4"/>
                <w:szCs w:val="4"/>
              </w:rPr>
            </w:r>
          </w:p>
        </w:tc>
      </w:tr>
      <w:tr>
        <w:trPr/>
        <w:tc>
          <w:tcPr>
            <w:tcW w:w="2056"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Large accelerated filer</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Accelerated filer</w:t>
            </w:r>
          </w:p>
        </w:tc>
        <w:tc>
          <w:tcPr>
            <w:tcW w:w="361" w:type="dxa"/>
            <w:tcBorders/>
            <w:vAlign w:val="center"/>
          </w:tcPr>
          <w:p>
            <w:pPr>
              <w:pStyle w:val="TableContents"/>
              <w:bidi w:val="0"/>
              <w:spacing w:before="0" w:after="0"/>
              <w:ind w:left="0" w:right="0" w:hanging="0"/>
              <w:jc w:val="righ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Non-accelerated filer</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Smaller reporting company</w:t>
            </w:r>
          </w:p>
        </w:tc>
        <w:tc>
          <w:tcPr>
            <w:tcW w:w="361" w:type="dxa"/>
            <w:tcBorders/>
            <w:vAlign w:val="center"/>
          </w:tcPr>
          <w:p>
            <w:pPr>
              <w:pStyle w:val="TableContents"/>
              <w:bidi w:val="0"/>
              <w:spacing w:before="0" w:after="0"/>
              <w:ind w:left="0" w:right="0" w:hanging="0"/>
              <w:jc w:val="righ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Emerging growth company</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pPr>
            <w:r>
              <w:rPr/>
              <w:t> </w:t>
            </w:r>
          </w:p>
        </w:tc>
      </w:tr>
    </w:tbl>
    <w:p>
      <w:pPr>
        <w:pStyle w:val="TextBody"/>
        <w:bidi w:val="0"/>
        <w:spacing w:lineRule="atLeast" w:line="142"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tLeast" w:line="142"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bidi w:val="0"/>
        <w:spacing w:lineRule="atLeast" w:line="142"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As of September 3, 2024, there were 43,884,544 shares of issuer’s common stock, par value $0.1 per share, outstanding.</w:t>
      </w:r>
    </w:p>
    <w:p>
      <w:pPr>
        <w:pStyle w:val="TextBody"/>
        <w:bidi w:val="0"/>
        <w:spacing w:lineRule="atLeast" w:line="142" w:before="0" w:after="0"/>
        <w:ind w:left="0" w:right="0" w:hanging="0"/>
        <w:jc w:val="both"/>
        <w:rPr/>
      </w:pPr>
      <w:r>
        <w:rPr/>
        <w:t>​</w:t>
      </w:r>
    </w:p>
    <w:p>
      <w:pPr>
        <w:pStyle w:val="TextBody"/>
        <w:pBdr>
          <w:top w:val="single" w:sz="2" w:space="1" w:color="000000"/>
          <w:bottom w:val="single" w:sz="24" w:space="1" w:color="000000"/>
        </w:pBdr>
        <w:bidi w:val="0"/>
        <w:spacing w:before="0" w:after="24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3" w:name="TOC"/>
      <w:bookmarkStart w:id="54" w:name="_1f7f10df_24be_4c95_9632_71b5ea96b7ec"/>
      <w:bookmarkEnd w:id="53"/>
      <w:bookmarkEnd w:id="54"/>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811"/>
        <w:gridCol w:w="8257"/>
        <w:gridCol w:w="326"/>
        <w:gridCol w:w="811"/>
      </w:tblGrid>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8257"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 No.</w:t>
            </w:r>
          </w:p>
        </w:tc>
      </w:tr>
      <w:tr>
        <w:trPr/>
        <w:tc>
          <w:tcPr>
            <w:tcW w:w="811" w:type="dxa"/>
            <w:tcBorders/>
            <w:vAlign w:val="center"/>
          </w:tcPr>
          <w:p>
            <w:pPr>
              <w:pStyle w:val="TableContents"/>
              <w:bidi w:val="0"/>
              <w:spacing w:before="0" w:after="0"/>
              <w:ind w:left="0" w:right="0" w:hanging="0"/>
              <w:jc w:val="left"/>
              <w:rPr/>
            </w:pPr>
            <w:hyperlink w:anchor="PARTIFINANCIALINFORMATION_626175">
              <w:r>
                <w:rPr>
                  <w:rStyle w:val="InternetLink"/>
                  <w:rFonts w:ascii="Times New Roman;Times;serif" w:hAnsi="Times New Roman;Times;serif"/>
                  <w:b w:val="false"/>
                  <w:i w:val="false"/>
                  <w:caps w:val="false"/>
                  <w:smallCaps w:val="false"/>
                  <w:sz w:val="20"/>
                </w:rPr>
                <w:t>Part I</w:t>
              </w:r>
            </w:hyperlink>
          </w:p>
        </w:tc>
        <w:tc>
          <w:tcPr>
            <w:tcW w:w="8257" w:type="dxa"/>
            <w:tcBorders/>
            <w:vAlign w:val="center"/>
          </w:tcPr>
          <w:p>
            <w:pPr>
              <w:pStyle w:val="TableContents"/>
              <w:bidi w:val="0"/>
              <w:spacing w:before="0" w:after="0"/>
              <w:ind w:left="0" w:right="0" w:hanging="0"/>
              <w:jc w:val="left"/>
              <w:rPr/>
            </w:pPr>
            <w:hyperlink w:anchor="PARTIFINANCIALINFORMATION_626175">
              <w:r>
                <w:rPr>
                  <w:rStyle w:val="InternetLink"/>
                  <w:rFonts w:ascii="Times New Roman;Times;serif" w:hAnsi="Times New Roman;Times;serif"/>
                  <w:b w:val="false"/>
                  <w:i w:val="false"/>
                  <w:caps w:val="false"/>
                  <w:smallCaps w:val="false"/>
                  <w:sz w:val="20"/>
                </w:rPr>
                <w:t>FINANCIAL INFORMATION</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1FinancialStatements_584850">
              <w:r>
                <w:rPr>
                  <w:rStyle w:val="InternetLink"/>
                  <w:rFonts w:ascii="Times New Roman;Times;serif" w:hAnsi="Times New Roman;Times;serif"/>
                  <w:b w:val="false"/>
                  <w:i w:val="false"/>
                  <w:caps w:val="false"/>
                  <w:smallCaps w:val="false"/>
                  <w:sz w:val="20"/>
                </w:rPr>
                <w:t>Item 1.</w:t>
              </w:r>
            </w:hyperlink>
          </w:p>
        </w:tc>
        <w:tc>
          <w:tcPr>
            <w:tcW w:w="8257" w:type="dxa"/>
            <w:tcBorders/>
            <w:vAlign w:val="center"/>
          </w:tcPr>
          <w:p>
            <w:pPr>
              <w:pStyle w:val="TableContents"/>
              <w:bidi w:val="0"/>
              <w:spacing w:before="0" w:after="0"/>
              <w:ind w:left="0" w:right="0" w:hanging="0"/>
              <w:jc w:val="left"/>
              <w:rPr/>
            </w:pPr>
            <w:hyperlink w:anchor="Item1FinancialStatements_584850">
              <w:r>
                <w:rPr>
                  <w:rStyle w:val="InternetLink"/>
                  <w:rFonts w:ascii="Times New Roman;Times;serif" w:hAnsi="Times New Roman;Times;serif"/>
                  <w:b w:val="false"/>
                  <w:i w:val="false"/>
                  <w:caps w:val="false"/>
                  <w:smallCaps w:val="false"/>
                  <w:sz w:val="20"/>
                </w:rPr>
                <w:t>Financial Statements</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8257" w:type="dxa"/>
            <w:tcBorders/>
            <w:vAlign w:val="center"/>
          </w:tcPr>
          <w:p>
            <w:pPr>
              <w:pStyle w:val="TableContents"/>
              <w:bidi w:val="0"/>
              <w:spacing w:before="0" w:after="0"/>
              <w:ind w:left="0" w:right="0" w:hanging="0"/>
              <w:jc w:val="left"/>
              <w:rPr/>
            </w:pPr>
            <w:hyperlink w:anchor="BALANCESHEETS_158698">
              <w:r>
                <w:rPr>
                  <w:rStyle w:val="InternetLink"/>
                  <w:rFonts w:ascii="Times New Roman;Times;serif" w:hAnsi="Times New Roman;Times;serif"/>
                  <w:b w:val="false"/>
                  <w:i w:val="false"/>
                  <w:caps w:val="false"/>
                  <w:smallCaps w:val="false"/>
                  <w:sz w:val="20"/>
                </w:rPr>
                <w:t>Condensed Consolidated Balance Sheets – July 31, 2024 (Unaudited), July 31, 2023 (Unaudited) and January 31, 2024</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8257" w:type="dxa"/>
            <w:tcBorders/>
            <w:vAlign w:val="center"/>
          </w:tcPr>
          <w:p>
            <w:pPr>
              <w:pStyle w:val="TableContents"/>
              <w:bidi w:val="0"/>
              <w:spacing w:before="0" w:after="0"/>
              <w:ind w:left="0" w:right="0" w:hanging="0"/>
              <w:jc w:val="left"/>
              <w:rPr/>
            </w:pPr>
            <w:hyperlink w:anchor="Comp_Income">
              <w:r>
                <w:rPr>
                  <w:rStyle w:val="InternetLink"/>
                  <w:rFonts w:ascii="Times New Roman;Times;serif" w:hAnsi="Times New Roman;Times;serif"/>
                  <w:b w:val="false"/>
                  <w:i w:val="false"/>
                  <w:caps w:val="false"/>
                  <w:smallCaps w:val="false"/>
                  <w:sz w:val="20"/>
                </w:rPr>
                <w:t>Condensed Consolidated Statements of Income and Comprehensive Income – For the Three and Six Months Ended July 31, 2024 and 2023 (Unaudited)</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11" w:type="dxa"/>
            <w:tcBorders/>
            <w:vAlign w:val="center"/>
          </w:tcPr>
          <w:p>
            <w:pPr>
              <w:pStyle w:val="TableContents"/>
              <w:bidi w:val="0"/>
              <w:spacing w:before="0" w:after="0"/>
              <w:ind w:left="0" w:right="0" w:hanging="0"/>
              <w:jc w:val="left"/>
              <w:rPr/>
            </w:pPr>
            <w:r>
              <w:rPr/>
              <w:t>​</w:t>
            </w:r>
          </w:p>
        </w:tc>
        <w:tc>
          <w:tcPr>
            <w:tcW w:w="8257" w:type="dxa"/>
            <w:tcBorders/>
            <w:vAlign w:val="center"/>
          </w:tcPr>
          <w:p>
            <w:pPr>
              <w:pStyle w:val="TableContents"/>
              <w:bidi w:val="0"/>
              <w:spacing w:before="0" w:after="0"/>
              <w:ind w:left="0" w:right="0" w:hanging="0"/>
              <w:jc w:val="left"/>
              <w:rPr/>
            </w:pPr>
            <w:hyperlink w:anchor="equity">
              <w:r>
                <w:rPr>
                  <w:rStyle w:val="InternetLink"/>
                  <w:rFonts w:ascii="Times New Roman;Times;serif" w:hAnsi="Times New Roman;Times;serif"/>
                  <w:b w:val="false"/>
                  <w:i w:val="false"/>
                  <w:caps w:val="false"/>
                  <w:smallCaps w:val="false"/>
                  <w:sz w:val="20"/>
                </w:rPr>
                <w:t>Condensed Consolidated Statements of Stockholders’ Equity – July 31, 2024 and July 31, 2023 (Unaudited)</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8257" w:type="dxa"/>
            <w:tcBorders/>
            <w:vAlign w:val="center"/>
          </w:tcPr>
          <w:p>
            <w:pPr>
              <w:pStyle w:val="TableContents"/>
              <w:bidi w:val="0"/>
              <w:spacing w:before="0" w:after="0"/>
              <w:ind w:left="0" w:right="0" w:hanging="0"/>
              <w:jc w:val="left"/>
              <w:rPr/>
            </w:pPr>
            <w:hyperlink w:anchor="CASHFLOWS_572760">
              <w:r>
                <w:rPr>
                  <w:rStyle w:val="InternetLink"/>
                  <w:rFonts w:ascii="Times New Roman;Times;serif" w:hAnsi="Times New Roman;Times;serif"/>
                  <w:b w:val="false"/>
                  <w:i w:val="false"/>
                  <w:caps w:val="false"/>
                  <w:smallCaps w:val="false"/>
                  <w:sz w:val="20"/>
                </w:rPr>
                <w:t>Condensed Consolidated Statements of Cash Flows – For the Six Months Ended July 31, 2024 and 2023 (Unaudited)</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8257" w:type="dxa"/>
            <w:tcBorders/>
            <w:vAlign w:val="center"/>
          </w:tcPr>
          <w:p>
            <w:pPr>
              <w:pStyle w:val="TableContents"/>
              <w:bidi w:val="0"/>
              <w:spacing w:before="0" w:after="0"/>
              <w:ind w:left="0" w:right="0" w:hanging="0"/>
              <w:jc w:val="left"/>
              <w:rPr/>
            </w:pPr>
            <w:hyperlink w:anchor="NOTESTOCONDENSEDCONSOLIDATED_476308">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11" w:type="dxa"/>
            <w:tcBorders/>
            <w:vAlign w:val="center"/>
          </w:tcPr>
          <w:p>
            <w:pPr>
              <w:pStyle w:val="TableContents"/>
              <w:bidi w:val="0"/>
              <w:spacing w:before="0" w:after="0"/>
              <w:ind w:left="0" w:right="0" w:hanging="0"/>
              <w:jc w:val="left"/>
              <w:rPr/>
            </w:pPr>
            <w:hyperlink w:anchor="Item2ManagementsDiscussion_401041">
              <w:r>
                <w:rPr>
                  <w:rStyle w:val="InternetLink"/>
                  <w:rFonts w:ascii="Times New Roman;Times;serif" w:hAnsi="Times New Roman;Times;serif"/>
                  <w:b w:val="false"/>
                  <w:i w:val="false"/>
                  <w:caps w:val="false"/>
                  <w:smallCaps w:val="false"/>
                  <w:sz w:val="20"/>
                </w:rPr>
                <w:t>Item 2.</w:t>
              </w:r>
            </w:hyperlink>
          </w:p>
        </w:tc>
        <w:tc>
          <w:tcPr>
            <w:tcW w:w="8257" w:type="dxa"/>
            <w:tcBorders/>
            <w:vAlign w:val="center"/>
          </w:tcPr>
          <w:p>
            <w:pPr>
              <w:pStyle w:val="TableContents"/>
              <w:bidi w:val="0"/>
              <w:spacing w:before="0" w:after="0"/>
              <w:ind w:left="0" w:right="0" w:hanging="0"/>
              <w:jc w:val="left"/>
              <w:rPr/>
            </w:pPr>
            <w:hyperlink w:anchor="Item2ManagementsDiscussion_401041">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811" w:type="dxa"/>
            <w:tcBorders/>
            <w:vAlign w:val="center"/>
          </w:tcPr>
          <w:p>
            <w:pPr>
              <w:pStyle w:val="TableContents"/>
              <w:bidi w:val="0"/>
              <w:spacing w:before="0" w:after="0"/>
              <w:ind w:left="0" w:right="0" w:hanging="0"/>
              <w:jc w:val="left"/>
              <w:rPr/>
            </w:pPr>
            <w:hyperlink w:anchor="Item3Quantitative_475780">
              <w:r>
                <w:rPr>
                  <w:rStyle w:val="InternetLink"/>
                  <w:rFonts w:ascii="Times New Roman;Times;serif" w:hAnsi="Times New Roman;Times;serif"/>
                  <w:b w:val="false"/>
                  <w:i w:val="false"/>
                  <w:caps w:val="false"/>
                  <w:smallCaps w:val="false"/>
                  <w:sz w:val="20"/>
                </w:rPr>
                <w:t>Item 3.</w:t>
              </w:r>
            </w:hyperlink>
          </w:p>
        </w:tc>
        <w:tc>
          <w:tcPr>
            <w:tcW w:w="8257" w:type="dxa"/>
            <w:tcBorders/>
            <w:vAlign w:val="center"/>
          </w:tcPr>
          <w:p>
            <w:pPr>
              <w:pStyle w:val="TableContents"/>
              <w:bidi w:val="0"/>
              <w:spacing w:before="0" w:after="0"/>
              <w:ind w:left="0" w:right="0" w:hanging="0"/>
              <w:jc w:val="left"/>
              <w:rPr/>
            </w:pPr>
            <w:hyperlink w:anchor="Item3Quantitative_475780">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811" w:type="dxa"/>
            <w:tcBorders/>
            <w:vAlign w:val="center"/>
          </w:tcPr>
          <w:p>
            <w:pPr>
              <w:pStyle w:val="TableContents"/>
              <w:bidi w:val="0"/>
              <w:spacing w:before="0" w:after="0"/>
              <w:ind w:left="0" w:right="0" w:hanging="0"/>
              <w:jc w:val="left"/>
              <w:rPr/>
            </w:pPr>
            <w:hyperlink w:anchor="Item4ControlsandProcedures_978659">
              <w:r>
                <w:rPr>
                  <w:rStyle w:val="InternetLink"/>
                  <w:rFonts w:ascii="Times New Roman;Times;serif" w:hAnsi="Times New Roman;Times;serif"/>
                  <w:b w:val="false"/>
                  <w:i w:val="false"/>
                  <w:caps w:val="false"/>
                  <w:smallCaps w:val="false"/>
                  <w:sz w:val="20"/>
                </w:rPr>
                <w:t>Item 4.</w:t>
              </w:r>
            </w:hyperlink>
          </w:p>
        </w:tc>
        <w:tc>
          <w:tcPr>
            <w:tcW w:w="8257" w:type="dxa"/>
            <w:tcBorders/>
            <w:vAlign w:val="center"/>
          </w:tcPr>
          <w:p>
            <w:pPr>
              <w:pStyle w:val="TableContents"/>
              <w:bidi w:val="0"/>
              <w:spacing w:before="0" w:after="0"/>
              <w:ind w:left="0" w:right="0" w:hanging="0"/>
              <w:jc w:val="left"/>
              <w:rPr/>
            </w:pPr>
            <w:hyperlink w:anchor="Item4ControlsandProcedures_978659">
              <w:r>
                <w:rPr>
                  <w:rStyle w:val="InternetLink"/>
                  <w:rFonts w:ascii="Times New Roman;Times;serif" w:hAnsi="Times New Roman;Times;serif"/>
                  <w:b w:val="false"/>
                  <w:i w:val="false"/>
                  <w:caps w:val="false"/>
                  <w:smallCaps w:val="false"/>
                  <w:sz w:val="20"/>
                </w:rPr>
                <w:t>Controls and Procedures</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811" w:type="dxa"/>
            <w:tcBorders/>
            <w:vAlign w:val="center"/>
          </w:tcPr>
          <w:p>
            <w:pPr>
              <w:pStyle w:val="TableContents"/>
              <w:bidi w:val="0"/>
              <w:spacing w:before="0" w:after="0"/>
              <w:ind w:left="0" w:right="0" w:hanging="0"/>
              <w:jc w:val="left"/>
              <w:rPr/>
            </w:pPr>
            <w:r>
              <w:rPr/>
              <w:t>​</w:t>
            </w:r>
          </w:p>
        </w:tc>
        <w:tc>
          <w:tcPr>
            <w:tcW w:w="82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PARTIIOTHERINFORMATION_14841">
              <w:r>
                <w:rPr>
                  <w:rStyle w:val="InternetLink"/>
                  <w:rFonts w:ascii="Times New Roman;Times;serif" w:hAnsi="Times New Roman;Times;serif"/>
                  <w:b w:val="false"/>
                  <w:i w:val="false"/>
                  <w:caps w:val="false"/>
                  <w:smallCaps w:val="false"/>
                  <w:sz w:val="20"/>
                </w:rPr>
                <w:t>Part II</w:t>
              </w:r>
            </w:hyperlink>
          </w:p>
        </w:tc>
        <w:tc>
          <w:tcPr>
            <w:tcW w:w="8257" w:type="dxa"/>
            <w:tcBorders/>
            <w:vAlign w:val="center"/>
          </w:tcPr>
          <w:p>
            <w:pPr>
              <w:pStyle w:val="TableContents"/>
              <w:bidi w:val="0"/>
              <w:spacing w:before="0" w:after="0"/>
              <w:ind w:left="0" w:right="0" w:hanging="0"/>
              <w:jc w:val="left"/>
              <w:rPr/>
            </w:pPr>
            <w:hyperlink w:anchor="PARTIIOTHERINFORMATION_14841">
              <w:r>
                <w:rPr>
                  <w:rStyle w:val="InternetLink"/>
                  <w:rFonts w:ascii="Times New Roman;Times;serif" w:hAnsi="Times New Roman;Times;serif"/>
                  <w:b w:val="false"/>
                  <w:i w:val="false"/>
                  <w:caps w:val="false"/>
                  <w:smallCaps w:val="false"/>
                  <w:sz w:val="20"/>
                </w:rPr>
                <w:t>OTHER INFORMATION</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1ARiskFactors_273079">
              <w:r>
                <w:rPr>
                  <w:rStyle w:val="InternetLink"/>
                  <w:rFonts w:ascii="Times New Roman;Times;serif" w:hAnsi="Times New Roman;Times;serif"/>
                  <w:b w:val="false"/>
                  <w:i w:val="false"/>
                  <w:caps w:val="false"/>
                  <w:smallCaps w:val="false"/>
                  <w:sz w:val="20"/>
                </w:rPr>
                <w:t>Item 1A.</w:t>
              </w:r>
            </w:hyperlink>
          </w:p>
        </w:tc>
        <w:tc>
          <w:tcPr>
            <w:tcW w:w="8257" w:type="dxa"/>
            <w:tcBorders/>
            <w:vAlign w:val="center"/>
          </w:tcPr>
          <w:p>
            <w:pPr>
              <w:pStyle w:val="TableContents"/>
              <w:bidi w:val="0"/>
              <w:spacing w:before="0" w:after="0"/>
              <w:ind w:left="0" w:right="0" w:hanging="0"/>
              <w:jc w:val="left"/>
              <w:rPr/>
            </w:pPr>
            <w:hyperlink w:anchor="Item1ARiskFactors_273079">
              <w:r>
                <w:rPr>
                  <w:rStyle w:val="InternetLink"/>
                  <w:rFonts w:ascii="Times New Roman;Times;serif" w:hAnsi="Times New Roman;Times;serif"/>
                  <w:b w:val="false"/>
                  <w:i w:val="false"/>
                  <w:caps w:val="false"/>
                  <w:smallCaps w:val="false"/>
                  <w:sz w:val="20"/>
                </w:rPr>
                <w:t>Risk Factors</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811"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8257"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811" w:type="dxa"/>
            <w:tcBorders/>
            <w:vAlign w:val="center"/>
          </w:tcPr>
          <w:p>
            <w:pPr>
              <w:pStyle w:val="TableContents"/>
              <w:bidi w:val="0"/>
              <w:spacing w:before="0" w:after="0"/>
              <w:ind w:left="0" w:right="0" w:hanging="0"/>
              <w:jc w:val="left"/>
              <w:rPr/>
            </w:pPr>
            <w:hyperlink w:anchor="Item5OtherInformation_516384">
              <w:r>
                <w:rPr>
                  <w:rStyle w:val="InternetLink"/>
                  <w:rFonts w:ascii="Times New Roman;Times;serif" w:hAnsi="Times New Roman;Times;serif"/>
                  <w:b w:val="false"/>
                  <w:i w:val="false"/>
                  <w:caps w:val="false"/>
                  <w:smallCaps w:val="false"/>
                  <w:sz w:val="20"/>
                </w:rPr>
                <w:t>Item 5.</w:t>
              </w:r>
            </w:hyperlink>
          </w:p>
        </w:tc>
        <w:tc>
          <w:tcPr>
            <w:tcW w:w="8257" w:type="dxa"/>
            <w:tcBorders/>
            <w:vAlign w:val="center"/>
          </w:tcPr>
          <w:p>
            <w:pPr>
              <w:pStyle w:val="TableContents"/>
              <w:bidi w:val="0"/>
              <w:spacing w:before="0" w:after="0"/>
              <w:ind w:left="0" w:right="0" w:hanging="0"/>
              <w:jc w:val="left"/>
              <w:rPr/>
            </w:pPr>
            <w:hyperlink w:anchor="Item5OtherInformation_516384">
              <w:r>
                <w:rPr>
                  <w:rStyle w:val="InternetLink"/>
                  <w:rFonts w:ascii="Times New Roman;Times;serif" w:hAnsi="Times New Roman;Times;serif"/>
                  <w:b w:val="false"/>
                  <w:i w:val="false"/>
                  <w:caps w:val="false"/>
                  <w:smallCaps w:val="false"/>
                  <w:sz w:val="20"/>
                </w:rPr>
                <w:t>Other Information</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811" w:type="dxa"/>
            <w:tcBorders/>
            <w:vAlign w:val="center"/>
          </w:tcPr>
          <w:p>
            <w:pPr>
              <w:pStyle w:val="TableContents"/>
              <w:bidi w:val="0"/>
              <w:spacing w:before="0" w:after="0"/>
              <w:ind w:left="0" w:right="0" w:hanging="0"/>
              <w:jc w:val="left"/>
              <w:rPr/>
            </w:pPr>
            <w:hyperlink w:anchor="Exhibits">
              <w:r>
                <w:rPr>
                  <w:rStyle w:val="InternetLink"/>
                  <w:rFonts w:ascii="Times New Roman;Times;serif" w:hAnsi="Times New Roman;Times;serif"/>
                  <w:b w:val="false"/>
                  <w:i w:val="false"/>
                  <w:caps w:val="false"/>
                  <w:smallCaps w:val="false"/>
                  <w:sz w:val="20"/>
                </w:rPr>
                <w:t>Item 6.</w:t>
              </w:r>
            </w:hyperlink>
          </w:p>
        </w:tc>
        <w:tc>
          <w:tcPr>
            <w:tcW w:w="8257" w:type="dxa"/>
            <w:tcBorders/>
            <w:vAlign w:val="center"/>
          </w:tcPr>
          <w:p>
            <w:pPr>
              <w:pStyle w:val="TableContents"/>
              <w:bidi w:val="0"/>
              <w:spacing w:before="0" w:after="0"/>
              <w:ind w:left="0" w:right="0" w:hanging="0"/>
              <w:jc w:val="left"/>
              <w:rPr/>
            </w:pPr>
            <w:hyperlink w:anchor="Exhibits">
              <w:r>
                <w:rPr>
                  <w:rStyle w:val="InternetLink"/>
                  <w:rFonts w:ascii="Times New Roman;Times;serif" w:hAnsi="Times New Roman;Times;serif"/>
                  <w:b w:val="false"/>
                  <w:i w:val="false"/>
                  <w:caps w:val="false"/>
                  <w:smallCaps w:val="false"/>
                  <w:sz w:val="20"/>
                </w:rPr>
                <w:t>Exhibits</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bl>
    <w:p>
      <w:pPr>
        <w:pStyle w:val="TextBody"/>
        <w:bidi w:val="0"/>
        <w:spacing w:before="0" w:after="0"/>
        <w:ind w:left="0" w:right="0" w:hanging="0"/>
        <w:jc w:val="left"/>
        <w:rPr>
          <w:rFonts w:ascii="Times New Roman;Times;serif" w:hAnsi="Times New Roman;Times;serif"/>
          <w:sz w:val="2"/>
        </w:rPr>
      </w:pPr>
      <w:r>
        <w:rPr>
          <w:rFonts w:ascii="Times New Roman;Times;serif" w:hAnsi="Times New Roman;Times;serif"/>
          <w:sz w:val="2"/>
        </w:rPr>
        <w:t>7</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bookmarkStart w:id="55" w:name="PARTIFINANCIALINFORMATION_626175"/>
      <w:bookmarkEnd w:id="55"/>
      <w:r>
        <w:rPr>
          <w:rFonts w:ascii="Times New Roman;Times;serif" w:hAnsi="Times New Roman;Times;serif"/>
          <w:b/>
          <w:sz w:val="20"/>
        </w:rPr>
        <w:t>PART I – FINANCIAL INFORMATION</w:t>
      </w:r>
    </w:p>
    <w:p>
      <w:pPr>
        <w:pStyle w:val="TextBody"/>
        <w:bidi w:val="0"/>
        <w:spacing w:before="0" w:after="60"/>
        <w:ind w:left="0" w:right="0" w:hanging="0"/>
        <w:jc w:val="left"/>
        <w:rPr>
          <w:rFonts w:ascii="Times New Roman;Times;serif" w:hAnsi="Times New Roman;Times;serif"/>
          <w:b/>
          <w:sz w:val="20"/>
        </w:rPr>
      </w:pPr>
      <w:bookmarkStart w:id="56" w:name="Item1FinancialStatements_584850"/>
      <w:bookmarkEnd w:id="56"/>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bookmarkStart w:id="57" w:name="_4615e0a2_baa9_404f_a460_86f93c1b62b0"/>
      <w:bookmarkEnd w:id="57"/>
      <w:r>
        <w:rPr>
          <w:rFonts w:ascii="Times New Roman;Times;serif" w:hAnsi="Times New Roman;Times;serif"/>
          <w:b/>
          <w:sz w:val="20"/>
        </w:rPr>
        <w:t>G-III APPAREL GROUP, LTD. AND SUBSIDIARIES</w:t>
      </w:r>
    </w:p>
    <w:p>
      <w:pPr>
        <w:pStyle w:val="TextBody"/>
        <w:bidi w:val="0"/>
        <w:spacing w:before="0" w:after="60"/>
        <w:ind w:left="0" w:right="0" w:hanging="0"/>
        <w:jc w:val="center"/>
        <w:rPr>
          <w:rFonts w:ascii="Times New Roman;Times;serif" w:hAnsi="Times New Roman;Times;serif"/>
          <w:b/>
          <w:sz w:val="20"/>
        </w:rPr>
      </w:pPr>
      <w:bookmarkStart w:id="58" w:name="BALANCESHEETS_158698"/>
      <w:bookmarkEnd w:id="58"/>
      <w:r>
        <w:rPr>
          <w:rFonts w:ascii="Times New Roman;Times;serif" w:hAnsi="Times New Roman;Times;serif"/>
          <w:b/>
          <w:sz w:val="20"/>
        </w:rPr>
        <w:t>CONDENSED CONSOLIDATED BALANCE SHEETS</w:t>
      </w:r>
    </w:p>
    <w:p>
      <w:pPr>
        <w:pStyle w:val="Normal"/>
        <w:bidi w:val="0"/>
        <w:spacing w:before="0" w:after="0"/>
        <w:jc w:val="left"/>
        <w:rPr>
          <w:sz w:val="4"/>
          <w:szCs w:val="4"/>
        </w:rPr>
      </w:pPr>
      <w:r>
        <w:rPr>
          <w:sz w:val="4"/>
          <w:szCs w:val="4"/>
        </w:rPr>
      </w:r>
      <w:bookmarkStart w:id="59" w:name="Tc_5lSd3LH5qUWHVaVBnzUQOw_47_8"/>
      <w:bookmarkStart w:id="60" w:name="Tc_V35zAIb6O0i6e642U8NLCQ_47_5"/>
      <w:bookmarkStart w:id="61" w:name="Tc_g1RTu59vO0mwVlRBN_qSlg_47_2"/>
      <w:bookmarkStart w:id="62" w:name="Tc_Tk9l81L580eRUAe0vbA7Xw_47_0"/>
      <w:bookmarkStart w:id="63" w:name="Tc_OeoqQ7nrCkOnYffw1FzIGQ_46_0"/>
      <w:bookmarkStart w:id="64" w:name="Tc_JfhYNEH8N0Gv_BhD6eNxnw_45_0"/>
      <w:bookmarkStart w:id="65" w:name="Tc_ADcIgy_930ibnvHtxb6itQ_44_0"/>
      <w:bookmarkStart w:id="66" w:name="Tc_a-4lRg8ziUuCIt5D4FhqOw_43_0"/>
      <w:bookmarkStart w:id="67" w:name="Tc_D9pXOeYn8UuETJp0KyYXYw_42_0"/>
      <w:bookmarkStart w:id="68" w:name="Tc_O7Uz8cZkM06vwzgSfXYFQg_41_0"/>
      <w:bookmarkStart w:id="69" w:name="Tc_uMN7Xnl8WkCemP7D9Ogpyg_40_0"/>
      <w:bookmarkStart w:id="70" w:name="Tc_PnAd_NgZpEOUe1f-k6GpfQ_39_0"/>
      <w:bookmarkStart w:id="71" w:name="Tc_KdW3tCo8ckeaHVP3qXSd0g_37_3"/>
      <w:bookmarkStart w:id="72" w:name="Tc_UcMXdALDHkq_gyyS-7ThZw_37_0"/>
      <w:bookmarkStart w:id="73" w:name="Tc_eG1gqdOjkUSj4uVTxwj9xA_35_0"/>
      <w:bookmarkStart w:id="74" w:name="Tc_bcpsiYtHoEeVYrfaDTSnxw_34_0"/>
      <w:bookmarkStart w:id="75" w:name="Tc_IBFrNsZlckyFaCVF1PHq3Q_33_0"/>
      <w:bookmarkStart w:id="76" w:name="Tc_BaWXtPgg0Uy-iZaL4mDkgQ_32_0"/>
      <w:bookmarkStart w:id="77" w:name="Tc_urr1GLptsUCeGgEji4iEOg_31_0"/>
      <w:bookmarkStart w:id="78" w:name="Tc_g6T2OjKWDUWZqIsJD0F1zg_30_0"/>
      <w:bookmarkStart w:id="79" w:name="Tc_8ijhfIQx7k-zF_sxXrVkFw_29_0"/>
      <w:bookmarkStart w:id="80" w:name="Tc_OPxv11LpikS4e3PP7xQcMw_28_0"/>
      <w:bookmarkStart w:id="81" w:name="Tc_7kfNV26slkiwM4jvqL4bxw_27_0"/>
      <w:bookmarkStart w:id="82" w:name="Tc_HlD1CGuBDUC14JC3ACoj2w_26_0"/>
      <w:bookmarkStart w:id="83" w:name="Tc_rM6ftKN-m0WsILdTzqc0nQ_25_0"/>
      <w:bookmarkStart w:id="84" w:name="Tc_UBSbSzIOF0-AdDJk0kgGCg_24_0"/>
      <w:bookmarkStart w:id="85" w:name="Tc_ZDf1nsNb6EiA28JH-YcXWA_23_8"/>
      <w:bookmarkStart w:id="86" w:name="Tc_B0Pzr3DpmUKPOTsaY8lbdQ_23_5"/>
      <w:bookmarkStart w:id="87" w:name="Tc_5xdwvNZW7Uy7v7X0HmmpdA_23_2"/>
      <w:bookmarkStart w:id="88" w:name="Tc_YIQe3_Lff0ClRmh8x1Fr1g_23_0"/>
      <w:bookmarkStart w:id="89" w:name="Tc_LG71LGIkVkuJT5-OxdEkfw_22_0"/>
      <w:bookmarkStart w:id="90" w:name="Tc_cROl4116P02l0vbYpb1gtg_21_0"/>
      <w:bookmarkStart w:id="91" w:name="Tc_2ut9K2x0hkGWJeD55lzTgw_20_8"/>
      <w:bookmarkStart w:id="92" w:name="Tc_8Z4H9Au7UUeO04eHMMTLXw_20_5"/>
      <w:bookmarkStart w:id="93" w:name="Tc_OalaJqwOvUKdy7Tg0ANiNw_20_2"/>
      <w:bookmarkStart w:id="94" w:name="Tc_d9IasPCa80u6x_vzuolQ-A_20_0"/>
      <w:bookmarkStart w:id="95" w:name="Tc_PuihhBt7lkydX16IVLAbIA_19_0"/>
      <w:bookmarkStart w:id="96" w:name="Tc_prOy2QBbTUCuDaC1YHEbsQ_18_0"/>
      <w:bookmarkStart w:id="97" w:name="Tc_mdCqnb0_MkWSKH8L1GKjIw_17_0"/>
      <w:bookmarkStart w:id="98" w:name="Tc_zeA1QDY5IEOPpf3p0VjcYw_16_0"/>
      <w:bookmarkStart w:id="99" w:name="Tc_V01ThuU_vkmqSuY-7PBhyQ_15_0"/>
      <w:bookmarkStart w:id="100" w:name="Tc_Sjm4sbqQgEmqzHSSEyAi4A_14_0"/>
      <w:bookmarkStart w:id="101" w:name="Tc_S81XjxXmNUeHe6b6nZhaYw_13_0"/>
      <w:bookmarkStart w:id="102" w:name="Tc_EdPelDcs7UqjdrVL3pxL7A_12_0"/>
      <w:bookmarkStart w:id="103" w:name="Tc__kObTNPcaUSPOM9nosOv_g_11_0"/>
      <w:bookmarkStart w:id="104" w:name="Tc_mdXRDBVJNkquZAqEmZKeoA_10_0"/>
      <w:bookmarkStart w:id="105" w:name="Tc_IikZR-B_tUqtXJEViMuDlg_9_0"/>
      <w:bookmarkStart w:id="106" w:name="Tc_wsti9bzjNkGv3XgMPlwR1Q_8_0"/>
      <w:bookmarkStart w:id="107" w:name="Tc_Qe39ZCCV5U2an9QtXGy2IQ_7_8"/>
      <w:bookmarkStart w:id="108" w:name="Tc_ZoRw2lUovU-nGAF68SXltA_7_5"/>
      <w:bookmarkStart w:id="109" w:name="Tc_apTfMv6AeE2rSdZf2uwJIQ_7_2"/>
      <w:bookmarkStart w:id="110" w:name="Tc_kReTeePAYEyzIgu12amlgg_7_0"/>
      <w:bookmarkStart w:id="111" w:name="Tc_UwR9_uJzv0uLAmo_7wagxA_6_0"/>
      <w:bookmarkStart w:id="112" w:name="Tc_0oBdQJnzWUGQH880Asig8Q_5_0"/>
      <w:bookmarkStart w:id="113" w:name="Tc_9oEpXW_SUk6QgEGZPB2i6A_4_2"/>
      <w:bookmarkStart w:id="114" w:name="Tc_cc9IJ_2U40qQnDVHqDp30w_3_5"/>
      <w:bookmarkStart w:id="115" w:name="Tc_E-uvNH7QjEONHbjJ10mmBg_3_2"/>
      <w:bookmarkStart w:id="116" w:name="Tc_LEGCMkd8P0W8XA0CcatUIg_2_8"/>
      <w:bookmarkStart w:id="117" w:name="Tc_e2zFE75YpEKRa0tR-PftNA_2_5"/>
      <w:bookmarkStart w:id="118" w:name="Tc_iXM3xNesg0KldqTAd2uNJw_2_2"/>
      <w:bookmarkStart w:id="119" w:name="Tc_LnXht7UVykSZ37Bge9SzGg_1_8"/>
      <w:bookmarkStart w:id="120" w:name="Tc_ectfMRUo20Kl_dQhjH2sng_1_5"/>
      <w:bookmarkStart w:id="121" w:name="Tc_Sin6JU3btEy7iAS1GUxyEg_1_2"/>
      <w:bookmarkStart w:id="122" w:name="_75933c3a_a737_49d3_b87b_fe535410b0f6"/>
      <w:bookmarkStart w:id="123" w:name="Tc_5lSd3LH5qUWHVaVBnzUQOw_47_8"/>
      <w:bookmarkStart w:id="124" w:name="Tc_V35zAIb6O0i6e642U8NLCQ_47_5"/>
      <w:bookmarkStart w:id="125" w:name="Tc_g1RTu59vO0mwVlRBN_qSlg_47_2"/>
      <w:bookmarkStart w:id="126" w:name="Tc_Tk9l81L580eRUAe0vbA7Xw_47_0"/>
      <w:bookmarkStart w:id="127" w:name="Tc_OeoqQ7nrCkOnYffw1FzIGQ_46_0"/>
      <w:bookmarkStart w:id="128" w:name="Tc_JfhYNEH8N0Gv_BhD6eNxnw_45_0"/>
      <w:bookmarkStart w:id="129" w:name="Tc_ADcIgy_930ibnvHtxb6itQ_44_0"/>
      <w:bookmarkStart w:id="130" w:name="Tc_a-4lRg8ziUuCIt5D4FhqOw_43_0"/>
      <w:bookmarkStart w:id="131" w:name="Tc_D9pXOeYn8UuETJp0KyYXYw_42_0"/>
      <w:bookmarkStart w:id="132" w:name="Tc_O7Uz8cZkM06vwzgSfXYFQg_41_0"/>
      <w:bookmarkStart w:id="133" w:name="Tc_uMN7Xnl8WkCemP7D9Ogpyg_40_0"/>
      <w:bookmarkStart w:id="134" w:name="Tc_PnAd_NgZpEOUe1f-k6GpfQ_39_0"/>
      <w:bookmarkStart w:id="135" w:name="Tc_KdW3tCo8ckeaHVP3qXSd0g_37_3"/>
      <w:bookmarkStart w:id="136" w:name="Tc_UcMXdALDHkq_gyyS-7ThZw_37_0"/>
      <w:bookmarkStart w:id="137" w:name="Tc_eG1gqdOjkUSj4uVTxwj9xA_35_0"/>
      <w:bookmarkStart w:id="138" w:name="Tc_bcpsiYtHoEeVYrfaDTSnxw_34_0"/>
      <w:bookmarkStart w:id="139" w:name="Tc_IBFrNsZlckyFaCVF1PHq3Q_33_0"/>
      <w:bookmarkStart w:id="140" w:name="Tc_BaWXtPgg0Uy-iZaL4mDkgQ_32_0"/>
      <w:bookmarkStart w:id="141" w:name="Tc_urr1GLptsUCeGgEji4iEOg_31_0"/>
      <w:bookmarkStart w:id="142" w:name="Tc_g6T2OjKWDUWZqIsJD0F1zg_30_0"/>
      <w:bookmarkStart w:id="143" w:name="Tc_8ijhfIQx7k-zF_sxXrVkFw_29_0"/>
      <w:bookmarkStart w:id="144" w:name="Tc_OPxv11LpikS4e3PP7xQcMw_28_0"/>
      <w:bookmarkStart w:id="145" w:name="Tc_7kfNV26slkiwM4jvqL4bxw_27_0"/>
      <w:bookmarkStart w:id="146" w:name="Tc_HlD1CGuBDUC14JC3ACoj2w_26_0"/>
      <w:bookmarkStart w:id="147" w:name="Tc_rM6ftKN-m0WsILdTzqc0nQ_25_0"/>
      <w:bookmarkStart w:id="148" w:name="Tc_UBSbSzIOF0-AdDJk0kgGCg_24_0"/>
      <w:bookmarkStart w:id="149" w:name="Tc_ZDf1nsNb6EiA28JH-YcXWA_23_8"/>
      <w:bookmarkStart w:id="150" w:name="Tc_B0Pzr3DpmUKPOTsaY8lbdQ_23_5"/>
      <w:bookmarkStart w:id="151" w:name="Tc_5xdwvNZW7Uy7v7X0HmmpdA_23_2"/>
      <w:bookmarkStart w:id="152" w:name="Tc_YIQe3_Lff0ClRmh8x1Fr1g_23_0"/>
      <w:bookmarkStart w:id="153" w:name="Tc_LG71LGIkVkuJT5-OxdEkfw_22_0"/>
      <w:bookmarkStart w:id="154" w:name="Tc_cROl4116P02l0vbYpb1gtg_21_0"/>
      <w:bookmarkStart w:id="155" w:name="Tc_2ut9K2x0hkGWJeD55lzTgw_20_8"/>
      <w:bookmarkStart w:id="156" w:name="Tc_8Z4H9Au7UUeO04eHMMTLXw_20_5"/>
      <w:bookmarkStart w:id="157" w:name="Tc_OalaJqwOvUKdy7Tg0ANiNw_20_2"/>
      <w:bookmarkStart w:id="158" w:name="Tc_d9IasPCa80u6x_vzuolQ-A_20_0"/>
      <w:bookmarkStart w:id="159" w:name="Tc_PuihhBt7lkydX16IVLAbIA_19_0"/>
      <w:bookmarkStart w:id="160" w:name="Tc_prOy2QBbTUCuDaC1YHEbsQ_18_0"/>
      <w:bookmarkStart w:id="161" w:name="Tc_mdCqnb0_MkWSKH8L1GKjIw_17_0"/>
      <w:bookmarkStart w:id="162" w:name="Tc_zeA1QDY5IEOPpf3p0VjcYw_16_0"/>
      <w:bookmarkStart w:id="163" w:name="Tc_V01ThuU_vkmqSuY-7PBhyQ_15_0"/>
      <w:bookmarkStart w:id="164" w:name="Tc_Sjm4sbqQgEmqzHSSEyAi4A_14_0"/>
      <w:bookmarkStart w:id="165" w:name="Tc_S81XjxXmNUeHe6b6nZhaYw_13_0"/>
      <w:bookmarkStart w:id="166" w:name="Tc_EdPelDcs7UqjdrVL3pxL7A_12_0"/>
      <w:bookmarkStart w:id="167" w:name="Tc__kObTNPcaUSPOM9nosOv_g_11_0"/>
      <w:bookmarkStart w:id="168" w:name="Tc_mdXRDBVJNkquZAqEmZKeoA_10_0"/>
      <w:bookmarkStart w:id="169" w:name="Tc_IikZR-B_tUqtXJEViMuDlg_9_0"/>
      <w:bookmarkStart w:id="170" w:name="Tc_wsti9bzjNkGv3XgMPlwR1Q_8_0"/>
      <w:bookmarkStart w:id="171" w:name="Tc_Qe39ZCCV5U2an9QtXGy2IQ_7_8"/>
      <w:bookmarkStart w:id="172" w:name="Tc_ZoRw2lUovU-nGAF68SXltA_7_5"/>
      <w:bookmarkStart w:id="173" w:name="Tc_apTfMv6AeE2rSdZf2uwJIQ_7_2"/>
      <w:bookmarkStart w:id="174" w:name="Tc_kReTeePAYEyzIgu12amlgg_7_0"/>
      <w:bookmarkStart w:id="175" w:name="Tc_UwR9_uJzv0uLAmo_7wagxA_6_0"/>
      <w:bookmarkStart w:id="176" w:name="Tc_0oBdQJnzWUGQH880Asig8Q_5_0"/>
      <w:bookmarkStart w:id="177" w:name="Tc_9oEpXW_SUk6QgEGZPB2i6A_4_2"/>
      <w:bookmarkStart w:id="178" w:name="Tc_cc9IJ_2U40qQnDVHqDp30w_3_5"/>
      <w:bookmarkStart w:id="179" w:name="Tc_E-uvNH7QjEONHbjJ10mmBg_3_2"/>
      <w:bookmarkStart w:id="180" w:name="Tc_LEGCMkd8P0W8XA0CcatUIg_2_8"/>
      <w:bookmarkStart w:id="181" w:name="Tc_e2zFE75YpEKRa0tR-PftNA_2_5"/>
      <w:bookmarkStart w:id="182" w:name="Tc_iXM3xNesg0KldqTAd2uNJw_2_2"/>
      <w:bookmarkStart w:id="183" w:name="Tc_LnXht7UVykSZ37Bge9SzGg_1_8"/>
      <w:bookmarkStart w:id="184" w:name="Tc_ectfMRUo20Kl_dQhjH2sng_1_5"/>
      <w:bookmarkStart w:id="185" w:name="Tc_Sin6JU3btEy7iAS1GUxyEg_1_2"/>
      <w:bookmarkStart w:id="186" w:name="_75933c3a_a737_49d3_b87b_fe535410b0f6"/>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tbl>
      <w:tblPr>
        <w:tblW w:w="10205" w:type="dxa"/>
        <w:jc w:val="left"/>
        <w:tblInd w:w="0" w:type="dxa"/>
        <w:tblLayout w:type="fixed"/>
        <w:tblCellMar>
          <w:top w:w="0" w:type="dxa"/>
          <w:left w:w="0" w:type="dxa"/>
          <w:bottom w:w="0" w:type="dxa"/>
          <w:right w:w="0" w:type="dxa"/>
        </w:tblCellMar>
      </w:tblPr>
      <w:tblGrid>
        <w:gridCol w:w="5696"/>
        <w:gridCol w:w="326"/>
        <w:gridCol w:w="211"/>
        <w:gridCol w:w="931"/>
        <w:gridCol w:w="326"/>
        <w:gridCol w:w="211"/>
        <w:gridCol w:w="931"/>
        <w:gridCol w:w="326"/>
        <w:gridCol w:w="211"/>
        <w:gridCol w:w="1036"/>
      </w:tblGrid>
      <w:tr>
        <w:trPr/>
        <w:tc>
          <w:tcPr>
            <w:tcW w:w="5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3616960" cy="175260"/>
                      <wp:effectExtent l="0" t="0" r="0" b="0"/>
                      <wp:wrapNone/>
                      <wp:docPr id="1" name="Frame1"/>
                      <a:graphic xmlns:a="http://schemas.openxmlformats.org/drawingml/2006/main">
                        <a:graphicData uri="http://schemas.microsoft.com/office/word/2010/wordprocessingShape">
                          <wps:wsp>
                            <wps:cNvSpPr txBox="1"/>
                            <wps:spPr>
                              <a:xfrm>
                                <a:off x="0" y="0"/>
                                <a:ext cx="3616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7010" cy="175260"/>
                      <wp:effectExtent l="0" t="0" r="0" b="0"/>
                      <wp:wrapNone/>
                      <wp:docPr id="2" name="Frame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33985" cy="175260"/>
                      <wp:effectExtent l="0" t="0" r="0" b="0"/>
                      <wp:wrapNone/>
                      <wp:docPr id="3" name="Frame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591185" cy="175260"/>
                      <wp:effectExtent l="0" t="0" r="0" b="0"/>
                      <wp:wrapNone/>
                      <wp:docPr id="4" name="Frame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33985" cy="175260"/>
                      <wp:effectExtent l="0" t="0" r="0" b="0"/>
                      <wp:wrapNone/>
                      <wp:docPr id="6"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91185" cy="175260"/>
                      <wp:effectExtent l="0" t="0" r="0" b="0"/>
                      <wp:wrapNone/>
                      <wp:docPr id="7" name="Frame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8" name="Frame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33985" cy="175260"/>
                      <wp:effectExtent l="0" t="0" r="0" b="0"/>
                      <wp:wrapNone/>
                      <wp:docPr id="9" name="Frame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57860" cy="175260"/>
                      <wp:effectExtent l="0" t="0" r="0" b="0"/>
                      <wp:wrapNone/>
                      <wp:docPr id="10" name="Frame1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6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July 31, </w:t>
            </w:r>
          </w:p>
        </w:tc>
        <w:tc>
          <w:tcPr>
            <w:tcW w:w="326"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July 31, </w:t>
            </w:r>
          </w:p>
        </w:tc>
        <w:tc>
          <w:tcPr>
            <w:tcW w:w="326" w:type="dxa"/>
            <w:tcBorders/>
            <w:vAlign w:val="center"/>
          </w:tcPr>
          <w:p>
            <w:pPr>
              <w:pStyle w:val="TableContents"/>
              <w:bidi w:val="0"/>
              <w:spacing w:before="0" w:after="1"/>
              <w:ind w:left="0" w:right="0" w:hanging="0"/>
              <w:jc w:val="left"/>
              <w:rPr/>
            </w:pPr>
            <w:r>
              <w:rPr/>
              <w:t>​</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January 31, </w:t>
            </w:r>
          </w:p>
        </w:tc>
      </w:tr>
      <w:tr>
        <w:trPr/>
        <w:tc>
          <w:tcPr>
            <w:tcW w:w="56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6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vAlign w:val="center"/>
          </w:tcPr>
          <w:p>
            <w:pPr>
              <w:pStyle w:val="TableContents"/>
              <w:bidi w:val="0"/>
              <w:spacing w:before="0" w:after="1"/>
              <w:ind w:left="0" w:right="0" w:hanging="0"/>
              <w:jc w:val="left"/>
              <w:rPr/>
            </w:pPr>
            <w:r>
              <w:rPr/>
              <w:t>    </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pPr>
            <w:r>
              <w:rPr/>
              <w:t>​</w:t>
            </w:r>
          </w:p>
        </w:tc>
      </w:tr>
      <w:tr>
        <w:trPr/>
        <w:tc>
          <w:tcPr>
            <w:tcW w:w="56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183"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 except per share amounts)</w:t>
            </w:r>
          </w:p>
        </w:tc>
      </w:tr>
      <w:tr>
        <w:trPr/>
        <w:tc>
          <w:tcPr>
            <w:tcW w:w="5696"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r>
      <w:tr>
        <w:trPr/>
        <w:tc>
          <w:tcPr>
            <w:tcW w:w="569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Current assets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r>
      <w:tr>
        <w:trPr/>
        <w:tc>
          <w:tcPr>
            <w:tcW w:w="569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414,791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197,735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507,829</w:t>
            </w:r>
          </w:p>
        </w:tc>
      </w:tr>
      <w:tr>
        <w:trPr/>
        <w:tc>
          <w:tcPr>
            <w:tcW w:w="56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9"/>
              </w:rPr>
              <w:t>Accounts receivable, net of allowance for doubtful accounts of $1,260, $18,491</w:t>
            </w:r>
            <w:r>
              <w:rPr>
                <w:rFonts w:ascii="Times New Roman;Times;serif" w:hAnsi="Times New Roman;Times;serif"/>
                <w:sz w:val="18"/>
              </w:rPr>
              <w:t xml:space="preserve"> </w:t>
            </w:r>
            <w:r>
              <w:rPr>
                <w:rFonts w:ascii="Times New Roman;Times;serif" w:hAnsi="Times New Roman;Times;serif"/>
                <w:sz w:val="19"/>
              </w:rPr>
              <w:t>and $1,471, respectively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477,465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519,361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562,363</w:t>
            </w:r>
          </w:p>
        </w:tc>
      </w:tr>
      <w:tr>
        <w:trPr/>
        <w:tc>
          <w:tcPr>
            <w:tcW w:w="569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Inventories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610,492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804,858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520,426</w:t>
            </w:r>
          </w:p>
        </w:tc>
      </w:tr>
      <w:tr>
        <w:trPr/>
        <w:tc>
          <w:tcPr>
            <w:tcW w:w="569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Prepaid income taxes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11,729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8,588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1,356</w:t>
            </w:r>
          </w:p>
        </w:tc>
      </w:tr>
      <w:tr>
        <w:trPr/>
        <w:tc>
          <w:tcPr>
            <w:tcW w:w="569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xml:space="preserve">Prepaid expenses and other current assets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79,581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72,143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68,344</w:t>
            </w:r>
          </w:p>
        </w:tc>
      </w:tr>
      <w:tr>
        <w:trPr/>
        <w:tc>
          <w:tcPr>
            <w:tcW w:w="569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xml:space="preserve">Total current assets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1,594,058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1,602,685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1,660,318</w:t>
            </w:r>
          </w:p>
        </w:tc>
      </w:tr>
      <w:tr>
        <w:trPr/>
        <w:tc>
          <w:tcPr>
            <w:tcW w:w="569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Investments in unconsolidated affiliates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21,676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27,089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22,472</w:t>
            </w:r>
          </w:p>
        </w:tc>
      </w:tr>
      <w:tr>
        <w:trPr/>
        <w:tc>
          <w:tcPr>
            <w:tcW w:w="569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Property and equipment,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66,608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53,791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55,084</w:t>
            </w:r>
          </w:p>
        </w:tc>
      </w:tr>
      <w:tr>
        <w:trPr/>
        <w:tc>
          <w:tcPr>
            <w:tcW w:w="569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Operating lease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204,008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229,723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216,886</w:t>
            </w:r>
          </w:p>
        </w:tc>
      </w:tr>
      <w:tr>
        <w:trPr/>
        <w:tc>
          <w:tcPr>
            <w:tcW w:w="569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Other assets,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131,564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56,051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45,147</w:t>
            </w:r>
          </w:p>
        </w:tc>
      </w:tr>
      <w:tr>
        <w:trPr/>
        <w:tc>
          <w:tcPr>
            <w:tcW w:w="569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Other intangibles,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28,664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33,613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31,676</w:t>
            </w:r>
          </w:p>
        </w:tc>
      </w:tr>
      <w:tr>
        <w:trPr/>
        <w:tc>
          <w:tcPr>
            <w:tcW w:w="569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Deferred income tax assets,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26,185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26,432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19,248</w:t>
            </w:r>
          </w:p>
        </w:tc>
      </w:tr>
      <w:tr>
        <w:trPr/>
        <w:tc>
          <w:tcPr>
            <w:tcW w:w="569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Trademarks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623,524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632,669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630,333</w:t>
            </w:r>
          </w:p>
        </w:tc>
      </w:tr>
      <w:tr>
        <w:trPr/>
        <w:tc>
          <w:tcPr>
            <w:tcW w:w="569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Total assets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2,696,287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2,662,053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2,681,164</w:t>
            </w:r>
          </w:p>
        </w:tc>
      </w:tr>
      <w:tr>
        <w:trPr/>
        <w:tc>
          <w:tcPr>
            <w:tcW w:w="5696"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LIABILITIES AND 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r>
      <w:tr>
        <w:trPr/>
        <w:tc>
          <w:tcPr>
            <w:tcW w:w="569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Current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r>
      <w:tr>
        <w:trPr/>
        <w:tc>
          <w:tcPr>
            <w:tcW w:w="569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Current portion of notes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11,427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62,732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15,026</w:t>
            </w:r>
          </w:p>
        </w:tc>
      </w:tr>
      <w:tr>
        <w:trPr/>
        <w:tc>
          <w:tcPr>
            <w:tcW w:w="569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Accounts payable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289,771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294,287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182,531</w:t>
            </w:r>
          </w:p>
        </w:tc>
      </w:tr>
      <w:tr>
        <w:trPr/>
        <w:tc>
          <w:tcPr>
            <w:tcW w:w="569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Accrued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132,523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146,933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140,535</w:t>
            </w:r>
          </w:p>
        </w:tc>
      </w:tr>
      <w:tr>
        <w:trPr/>
        <w:tc>
          <w:tcPr>
            <w:tcW w:w="569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Customer refund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52,489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56,223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84,054</w:t>
            </w:r>
          </w:p>
        </w:tc>
      </w:tr>
      <w:tr>
        <w:trPr/>
        <w:tc>
          <w:tcPr>
            <w:tcW w:w="569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Current operating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54,983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54,563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56,587</w:t>
            </w:r>
          </w:p>
        </w:tc>
      </w:tr>
      <w:tr>
        <w:trPr/>
        <w:tc>
          <w:tcPr>
            <w:tcW w:w="569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Income tax payable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4,478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8,844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14,676</w:t>
            </w:r>
          </w:p>
        </w:tc>
      </w:tr>
      <w:tr>
        <w:trPr/>
        <w:tc>
          <w:tcPr>
            <w:tcW w:w="569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Other 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734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430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219</w:t>
            </w:r>
          </w:p>
        </w:tc>
      </w:tr>
      <w:tr>
        <w:trPr/>
        <w:tc>
          <w:tcPr>
            <w:tcW w:w="569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xml:space="preserve">Total current liabilities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546,405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624,012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493,628</w:t>
            </w:r>
          </w:p>
        </w:tc>
      </w:tr>
      <w:tr>
        <w:trPr/>
        <w:tc>
          <w:tcPr>
            <w:tcW w:w="569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Notes payable, net of discount and unamortized issuance costs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402,541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403,304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402,807</w:t>
            </w:r>
          </w:p>
        </w:tc>
      </w:tr>
      <w:tr>
        <w:trPr/>
        <w:tc>
          <w:tcPr>
            <w:tcW w:w="569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Deferred income tax liabilities,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48,327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45,858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42,736</w:t>
            </w:r>
          </w:p>
        </w:tc>
      </w:tr>
      <w:tr>
        <w:trPr/>
        <w:tc>
          <w:tcPr>
            <w:tcW w:w="569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Noncurrent operating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163,750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192,981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178,247</w:t>
            </w:r>
          </w:p>
        </w:tc>
      </w:tr>
      <w:tr>
        <w:trPr/>
        <w:tc>
          <w:tcPr>
            <w:tcW w:w="569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Other noncurrent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22,629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14,929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15,764</w:t>
            </w:r>
          </w:p>
        </w:tc>
      </w:tr>
      <w:tr>
        <w:trPr/>
        <w:tc>
          <w:tcPr>
            <w:tcW w:w="569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Total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1,183,652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1,281,084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1,133,182</w:t>
            </w:r>
          </w:p>
        </w:tc>
      </w:tr>
      <w:tr>
        <w:trPr/>
        <w:tc>
          <w:tcPr>
            <w:tcW w:w="56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r>
      <w:tr>
        <w:trPr/>
        <w:tc>
          <w:tcPr>
            <w:tcW w:w="569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Redeemable noncontrolling interests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(1,146)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(2,278)</w:t>
            </w:r>
          </w:p>
        </w:tc>
      </w:tr>
      <w:tr>
        <w:trPr/>
        <w:tc>
          <w:tcPr>
            <w:tcW w:w="56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r>
      <w:tr>
        <w:trPr/>
        <w:tc>
          <w:tcPr>
            <w:tcW w:w="569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r>
      <w:tr>
        <w:trPr/>
        <w:tc>
          <w:tcPr>
            <w:tcW w:w="56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9"/>
              </w:rPr>
              <w:t>Preferred stock; 1,000</w:t>
            </w:r>
            <w:r>
              <w:rPr>
                <w:rFonts w:ascii="Times New Roman;Times;serif" w:hAnsi="Times New Roman;Times;serif"/>
                <w:sz w:val="18"/>
              </w:rPr>
              <w:t xml:space="preserve"> </w:t>
            </w:r>
            <w:r>
              <w:rPr>
                <w:rFonts w:ascii="Times New Roman;Times;serif" w:hAnsi="Times New Roman;Times;serif"/>
                <w:sz w:val="19"/>
              </w:rPr>
              <w:t>shares authorized; no</w:t>
            </w:r>
            <w:r>
              <w:rPr>
                <w:rFonts w:ascii="Times New Roman;Times;serif" w:hAnsi="Times New Roman;Times;serif"/>
                <w:sz w:val="18"/>
              </w:rPr>
              <w:t xml:space="preserve"> </w:t>
            </w:r>
            <w:r>
              <w:rPr>
                <w:rFonts w:ascii="Times New Roman;Times;serif" w:hAnsi="Times New Roman;Times;serif"/>
                <w:sz w:val="19"/>
              </w:rPr>
              <w:t>shares issued</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56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9"/>
              </w:rPr>
              <w:t>Common stock - $0.01</w:t>
            </w:r>
            <w:r>
              <w:rPr>
                <w:rFonts w:ascii="Times New Roman;Times;serif" w:hAnsi="Times New Roman;Times;serif"/>
                <w:sz w:val="18"/>
              </w:rPr>
              <w:t xml:space="preserve"> </w:t>
            </w:r>
            <w:r>
              <w:rPr>
                <w:rFonts w:ascii="Times New Roman;Times;serif" w:hAnsi="Times New Roman;Times;serif"/>
                <w:sz w:val="19"/>
              </w:rPr>
              <w:t>par value; 120,000</w:t>
            </w:r>
            <w:r>
              <w:rPr>
                <w:rFonts w:ascii="Times New Roman;Times;serif" w:hAnsi="Times New Roman;Times;serif"/>
                <w:sz w:val="18"/>
              </w:rPr>
              <w:t xml:space="preserve"> </w:t>
            </w:r>
            <w:r>
              <w:rPr>
                <w:rFonts w:ascii="Times New Roman;Times;serif" w:hAnsi="Times New Roman;Times;serif"/>
                <w:sz w:val="19"/>
              </w:rPr>
              <w:t>shares authorized; 49,396, 49,396</w:t>
            </w:r>
            <w:r>
              <w:rPr>
                <w:rFonts w:ascii="Times New Roman;Times;serif" w:hAnsi="Times New Roman;Times;serif"/>
                <w:sz w:val="18"/>
              </w:rPr>
              <w:t xml:space="preserve"> </w:t>
            </w:r>
            <w:r>
              <w:rPr>
                <w:rFonts w:ascii="Times New Roman;Times;serif" w:hAnsi="Times New Roman;Times;serif"/>
                <w:sz w:val="19"/>
              </w:rPr>
              <w:t>and 49,396</w:t>
            </w:r>
            <w:r>
              <w:rPr>
                <w:rFonts w:ascii="Times New Roman;Times;serif" w:hAnsi="Times New Roman;Times;serif"/>
                <w:sz w:val="18"/>
              </w:rPr>
              <w:t xml:space="preserve"> </w:t>
            </w:r>
            <w:r>
              <w:rPr>
                <w:rFonts w:ascii="Times New Roman;Times;serif" w:hAnsi="Times New Roman;Times;serif"/>
                <w:sz w:val="19"/>
              </w:rPr>
              <w:t>shares issued, respectively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264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264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264</w:t>
            </w:r>
          </w:p>
        </w:tc>
      </w:tr>
      <w:tr>
        <w:trPr/>
        <w:tc>
          <w:tcPr>
            <w:tcW w:w="569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xml:space="preserve">Additional paid-in capital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451,005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448,762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458,841</w:t>
            </w:r>
          </w:p>
        </w:tc>
      </w:tr>
      <w:tr>
        <w:trPr/>
        <w:tc>
          <w:tcPr>
            <w:tcW w:w="569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Accumulated other comprehensive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(12,069)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(4,603)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(3,207)</w:t>
            </w:r>
          </w:p>
        </w:tc>
      </w:tr>
      <w:tr>
        <w:trPr/>
        <w:tc>
          <w:tcPr>
            <w:tcW w:w="569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Retained earnings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1,190,126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1,003,618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1,160,112</w:t>
            </w:r>
          </w:p>
        </w:tc>
      </w:tr>
      <w:tr>
        <w:trPr/>
        <w:tc>
          <w:tcPr>
            <w:tcW w:w="56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9"/>
              </w:rPr>
              <w:t>Common stock held in treasury, at cost - 5,511, 3,675</w:t>
            </w:r>
            <w:r>
              <w:rPr>
                <w:rFonts w:ascii="Times New Roman;Times;serif" w:hAnsi="Times New Roman;Times;serif"/>
                <w:sz w:val="18"/>
              </w:rPr>
              <w:t xml:space="preserve"> </w:t>
            </w:r>
            <w:r>
              <w:rPr>
                <w:rFonts w:ascii="Times New Roman;Times;serif" w:hAnsi="Times New Roman;Times;serif"/>
                <w:sz w:val="19"/>
              </w:rPr>
              <w:t>and 3,668</w:t>
            </w:r>
            <w:r>
              <w:rPr>
                <w:rFonts w:ascii="Times New Roman;Times;serif" w:hAnsi="Times New Roman;Times;serif"/>
                <w:sz w:val="18"/>
              </w:rPr>
              <w:t xml:space="preserve"> </w:t>
            </w:r>
            <w:r>
              <w:rPr>
                <w:rFonts w:ascii="Times New Roman;Times;serif" w:hAnsi="Times New Roman;Times;serif"/>
                <w:sz w:val="19"/>
              </w:rPr>
              <w:t>shares, respectively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(116,691)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(65,926)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(65,750)</w:t>
            </w:r>
          </w:p>
        </w:tc>
      </w:tr>
      <w:tr>
        <w:trPr/>
        <w:tc>
          <w:tcPr>
            <w:tcW w:w="569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Total stockholders' equity</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1,512,635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1,382,115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1,550,260</w:t>
            </w:r>
          </w:p>
        </w:tc>
      </w:tr>
      <w:tr>
        <w:trPr/>
        <w:tc>
          <w:tcPr>
            <w:tcW w:w="569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Total liabilities, redeemable noncontrolling interests and 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2,696,287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2,662,053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9"/>
              </w:rPr>
            </w:pPr>
            <w:r>
              <w:rPr>
                <w:rFonts w:ascii="Times New Roman;Times;serif" w:hAnsi="Times New Roman;Times;serif"/>
                <w:sz w:val="19"/>
              </w:rPr>
              <w:t>2,681,164</w:t>
            </w:r>
          </w:p>
        </w:tc>
      </w:tr>
    </w:tbl>
    <w:p>
      <w:pPr>
        <w:pStyle w:val="TextBody"/>
        <w:bidi w:val="0"/>
        <w:spacing w:before="60" w:after="0"/>
        <w:ind w:left="0" w:right="0" w:hanging="0"/>
        <w:jc w:val="center"/>
        <w:rPr>
          <w:rFonts w:ascii="Times New Roman;Times;serif" w:hAnsi="Times New Roman;Times;serif"/>
          <w:sz w:val="18"/>
        </w:rPr>
      </w:pPr>
      <w:r>
        <w:rPr>
          <w:rFonts w:ascii="Times New Roman;Times;serif" w:hAnsi="Times New Roman;Times;serif"/>
          <w:i/>
          <w:sz w:val="18"/>
        </w:rPr>
        <w:t>The accompanying notes are an integral part of these statements</w:t>
      </w:r>
      <w:r>
        <w:rPr>
          <w:rFonts w:ascii="Times New Roman;Times;serif" w:hAnsi="Times New Roman;Times;serif"/>
          <w:i/>
          <w:sz w:val="20"/>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87" w:name="Comp_Income"/>
      <w:bookmarkStart w:id="188" w:name="_76cd4c0d_ae73_45cd_b2a8_501c2b72959e"/>
      <w:bookmarkEnd w:id="187"/>
      <w:bookmarkEnd w:id="188"/>
      <w:r>
        <w:rPr>
          <w:rFonts w:ascii="Times New Roman;Times;serif" w:hAnsi="Times New Roman;Times;serif"/>
          <w:b/>
          <w:sz w:val="20"/>
        </w:rPr>
        <w:t>G-III APPAREL GROUP, LTD. AND SUBSIDIARIES</w:t>
      </w:r>
    </w:p>
    <w:p>
      <w:pPr>
        <w:pStyle w:val="TextBody"/>
        <w:bidi w:val="0"/>
        <w:spacing w:before="0" w:after="240"/>
        <w:ind w:left="0" w:right="0" w:hanging="0"/>
        <w:jc w:val="center"/>
        <w:rPr>
          <w:rFonts w:ascii="Times New Roman;Times;serif" w:hAnsi="Times New Roman;Times;serif"/>
          <w:b/>
          <w:sz w:val="20"/>
        </w:rPr>
      </w:pPr>
      <w:bookmarkStart w:id="189" w:name="COMPREHENSIVELOSS_858937"/>
      <w:bookmarkEnd w:id="189"/>
      <w:r>
        <w:rPr>
          <w:rFonts w:ascii="Times New Roman;Times;serif" w:hAnsi="Times New Roman;Times;serif"/>
          <w:b/>
          <w:sz w:val="20"/>
        </w:rPr>
        <w:t>CONDENSED CONSOLIDATED STATEMENTS OF INCOME AND COMPREHENSIVE INCOME</w:t>
      </w:r>
    </w:p>
    <w:p>
      <w:pPr>
        <w:pStyle w:val="Normal"/>
        <w:bidi w:val="0"/>
        <w:spacing w:before="0" w:after="0"/>
        <w:jc w:val="left"/>
        <w:rPr>
          <w:sz w:val="4"/>
          <w:szCs w:val="4"/>
        </w:rPr>
      </w:pPr>
      <w:r>
        <w:rPr>
          <w:sz w:val="4"/>
          <w:szCs w:val="4"/>
        </w:rPr>
      </w:r>
      <w:bookmarkStart w:id="190" w:name="Tc_8yZBOGXNfE6u3fwoYbcYmA_38_11"/>
      <w:bookmarkStart w:id="191" w:name="Tc_ToUc__AQVEyn334CH6bSOg_38_8"/>
      <w:bookmarkStart w:id="192" w:name="Tc_aBwDgyMs0U-6SzBUKivz4w_38_5"/>
      <w:bookmarkStart w:id="193" w:name="Tc_zxwsAu3eGUSXVWVwfWe33A_38_2"/>
      <w:bookmarkStart w:id="194" w:name="Tc_CNfzKOC7BUCwilGXph5PXA_38_0"/>
      <w:bookmarkStart w:id="195" w:name="Tc_LdZsQWoSAEO9C9vcbmbm1g_37_0"/>
      <w:bookmarkStart w:id="196" w:name="Tc_m6_GqBLKcEamz8E1QXSN7A_36_0"/>
      <w:bookmarkStart w:id="197" w:name="Tc_RmFc4PX5REWukhKCWv_w7A_35_0"/>
      <w:bookmarkStart w:id="198" w:name="Tc_wITwzBCNTUi38jJVWSaAdg_34_0"/>
      <w:bookmarkStart w:id="199" w:name="Tc_v4Xucr6ERkeSdRaR7WS0ig_33_11"/>
      <w:bookmarkStart w:id="200" w:name="Tc_7wKRwXRsMkyTGS2Y4C9GJA_33_8"/>
      <w:bookmarkStart w:id="201" w:name="Tc_rxiZ-MUpbkavW5gP6Sb3Qw_33_5"/>
      <w:bookmarkStart w:id="202" w:name="Tc_ZQDXmTNZ-0SDlZbHJpETpA_33_2"/>
      <w:bookmarkStart w:id="203" w:name="Tc_D8_wE0qRiEKj97sz0-QVEQ_33_0"/>
      <w:bookmarkStart w:id="204" w:name="Tc_96O9Zqef10aymr6DxBmWKQ_32_0"/>
      <w:bookmarkStart w:id="205" w:name="Tc_1C69zUAlTEaDORmGc5kqww_31_0"/>
      <w:bookmarkStart w:id="206" w:name="Tc_XgY5xapDlUuNjp6QtzO7pA_30_0"/>
      <w:bookmarkStart w:id="207" w:name="Tc_DjWe4-nyn0qkpbOAcfxNgg_29_11"/>
      <w:bookmarkStart w:id="208" w:name="Tc_MDa5-s1_MEqLAAJpGvcF9w_29_8"/>
      <w:bookmarkStart w:id="209" w:name="Tc_ciFbfP6i0k2J16hrcpwHFw_29_5"/>
      <w:bookmarkStart w:id="210" w:name="Tc_NMlRHl9hbkWPpGBbRQNpkQ_29_2"/>
      <w:bookmarkStart w:id="211" w:name="Tc_BOMvjRqmEUS7VG5GlXDIXA_29_0"/>
      <w:bookmarkStart w:id="212" w:name="Tc_QmlMHwGkOk2YXjOqHcSY4g_27_0"/>
      <w:bookmarkStart w:id="213" w:name="Tc_Bc2ARUN3KU6ZX82M_HOsWw_26_11"/>
      <w:bookmarkStart w:id="214" w:name="Tc_dOxkPySkKUSsyb5pE2ooKQ_26_8"/>
      <w:bookmarkStart w:id="215" w:name="Tc_27UeQA2L_kmWwWK40_zrzQ_26_5"/>
      <w:bookmarkStart w:id="216" w:name="Tc_Uy3KRwuEfEuoV8hDBrcfzQ_26_2"/>
      <w:bookmarkStart w:id="217" w:name="Tc_vuXS-qfO_U-CqiqDbcMrtw_26_0"/>
      <w:bookmarkStart w:id="218" w:name="Tc_UQuAl6StckOa-d5gSjiqbg_25_0"/>
      <w:bookmarkStart w:id="219" w:name="Tc_BfOz-SUQfk6edmUmBO8CwQ_23_0"/>
      <w:bookmarkStart w:id="220" w:name="Tc_sxQ3ajlqtUiIvBm8umdjew_22_11"/>
      <w:bookmarkStart w:id="221" w:name="Tc_K0jSt8B4UUmXbQjd-kS89Q_22_8"/>
      <w:bookmarkStart w:id="222" w:name="Tc_F1bBHvNGaUG0-Shq4AWZzQ_22_5"/>
      <w:bookmarkStart w:id="223" w:name="Tc_HG1uMBX0Ok6GWbO6t_EugQ_22_2"/>
      <w:bookmarkStart w:id="224" w:name="Tc_uMNE9LBHYEisXuAMHElLWQ_22_0"/>
      <w:bookmarkStart w:id="225" w:name="Tc_ANdJazsPJ0aQlOuZMlEwMQ_21_0"/>
      <w:bookmarkStart w:id="226" w:name="Tc_Zzmo-_SvyUuvIvcjKili3g_20_0"/>
      <w:bookmarkStart w:id="227" w:name="Tc_9vbVfVtih0SmF9PiNUzB1w_17_11"/>
      <w:bookmarkStart w:id="228" w:name="Tc_jcg-lGcEY02QTNzFKx5FAg_17_8"/>
      <w:bookmarkStart w:id="229" w:name="Tc_IZCne0dte0eND3JrROKfTA_17_5"/>
      <w:bookmarkStart w:id="230" w:name="Tc_AhCSlEsjyEOi6Ve4ScqzbQ_17_2"/>
      <w:bookmarkStart w:id="231" w:name="Tc__2ZlYv4VCUiEVLXSnp3c7w_17_0"/>
      <w:bookmarkStart w:id="232" w:name="Tc_LnR6vayr4E68Ctj3Xb4SiQ_16_0"/>
      <w:bookmarkStart w:id="233" w:name="Tc_qIH35S1iRkiuL6M60p16vw_15_0"/>
      <w:bookmarkStart w:id="234" w:name="Tc_hGrv-c2JDE2GVfdYP7muMw_14_0"/>
      <w:bookmarkStart w:id="235" w:name="Tc_2WclvZIt6UaTeBIzXyrhqw_13_0"/>
      <w:bookmarkStart w:id="236" w:name="Tc_X7mxkJGfV0Wox9tICzezQA_12_0"/>
      <w:bookmarkStart w:id="237" w:name="Tc_GJ1iW-w0W0C1paguC9EcVA_11_0"/>
      <w:bookmarkStart w:id="238" w:name="Tc_nEuNUrEYsUOfysMhGh39JQ_10_0"/>
      <w:bookmarkStart w:id="239" w:name="Tc_D1Ekc4L-AUimi5216Hypiw_9_0"/>
      <w:bookmarkStart w:id="240" w:name="Tc_PvbgThSTXUixNUkmSmvYjw_8_0"/>
      <w:bookmarkStart w:id="241" w:name="Tc_mLsXhlWcvkGrnsbcR6dqRQ_7_0"/>
      <w:bookmarkStart w:id="242" w:name="Tc_ge25lF7QskipMUwijr4e_Q_6_0"/>
      <w:bookmarkStart w:id="243" w:name="Tc_zxKTNQG1bUSIKatvr_Os8w_5_11"/>
      <w:bookmarkStart w:id="244" w:name="Tc_kYPj5YrG9UOCRXRhspiwKA_5_8"/>
      <w:bookmarkStart w:id="245" w:name="Tc_h-Ic3T1a10K-bjLK7B8l5Q_5_5"/>
      <w:bookmarkStart w:id="246" w:name="Tc_HAtM986MW0SEbiyVF3oJCA_5_2"/>
      <w:bookmarkStart w:id="247" w:name="Tc_YFVs4TtNVkSihUU1R8fm8w_5_0"/>
      <w:bookmarkStart w:id="248" w:name="Tc_1P7rLmhanEu3WbnbR4VO1g_4_2"/>
      <w:bookmarkStart w:id="249" w:name="Tc_b8p7IsHJAUmXDgNk3aD42w_3_2"/>
      <w:bookmarkStart w:id="250" w:name="Tc_5D_m-DfhFEuI9utHghfJKw_2_11"/>
      <w:bookmarkStart w:id="251" w:name="Tc_44bi1mfIukOI494U5G52sA_2_8"/>
      <w:bookmarkStart w:id="252" w:name="Tc_218PSB74XEKpCIJSFSrz8A_2_5"/>
      <w:bookmarkStart w:id="253" w:name="Tc_CtB8vLmK60aKNjnS-1fA0w_2_2"/>
      <w:bookmarkStart w:id="254" w:name="Tc_YWfvlDIdgEea10sTCKIAEw_1_8"/>
      <w:bookmarkStart w:id="255" w:name="Tc_mZORVFBQ80iK4hJisWh2Ew_1_2"/>
      <w:bookmarkStart w:id="256" w:name="_6c539662_6db4_4445_af8f_c0abfa4b34a3"/>
      <w:bookmarkStart w:id="257" w:name="Tc_8yZBOGXNfE6u3fwoYbcYmA_38_11"/>
      <w:bookmarkStart w:id="258" w:name="Tc_ToUc__AQVEyn334CH6bSOg_38_8"/>
      <w:bookmarkStart w:id="259" w:name="Tc_aBwDgyMs0U-6SzBUKivz4w_38_5"/>
      <w:bookmarkStart w:id="260" w:name="Tc_zxwsAu3eGUSXVWVwfWe33A_38_2"/>
      <w:bookmarkStart w:id="261" w:name="Tc_CNfzKOC7BUCwilGXph5PXA_38_0"/>
      <w:bookmarkStart w:id="262" w:name="Tc_LdZsQWoSAEO9C9vcbmbm1g_37_0"/>
      <w:bookmarkStart w:id="263" w:name="Tc_m6_GqBLKcEamz8E1QXSN7A_36_0"/>
      <w:bookmarkStart w:id="264" w:name="Tc_RmFc4PX5REWukhKCWv_w7A_35_0"/>
      <w:bookmarkStart w:id="265" w:name="Tc_wITwzBCNTUi38jJVWSaAdg_34_0"/>
      <w:bookmarkStart w:id="266" w:name="Tc_v4Xucr6ERkeSdRaR7WS0ig_33_11"/>
      <w:bookmarkStart w:id="267" w:name="Tc_7wKRwXRsMkyTGS2Y4C9GJA_33_8"/>
      <w:bookmarkStart w:id="268" w:name="Tc_rxiZ-MUpbkavW5gP6Sb3Qw_33_5"/>
      <w:bookmarkStart w:id="269" w:name="Tc_ZQDXmTNZ-0SDlZbHJpETpA_33_2"/>
      <w:bookmarkStart w:id="270" w:name="Tc_D8_wE0qRiEKj97sz0-QVEQ_33_0"/>
      <w:bookmarkStart w:id="271" w:name="Tc_96O9Zqef10aymr6DxBmWKQ_32_0"/>
      <w:bookmarkStart w:id="272" w:name="Tc_1C69zUAlTEaDORmGc5kqww_31_0"/>
      <w:bookmarkStart w:id="273" w:name="Tc_XgY5xapDlUuNjp6QtzO7pA_30_0"/>
      <w:bookmarkStart w:id="274" w:name="Tc_DjWe4-nyn0qkpbOAcfxNgg_29_11"/>
      <w:bookmarkStart w:id="275" w:name="Tc_MDa5-s1_MEqLAAJpGvcF9w_29_8"/>
      <w:bookmarkStart w:id="276" w:name="Tc_ciFbfP6i0k2J16hrcpwHFw_29_5"/>
      <w:bookmarkStart w:id="277" w:name="Tc_NMlRHl9hbkWPpGBbRQNpkQ_29_2"/>
      <w:bookmarkStart w:id="278" w:name="Tc_BOMvjRqmEUS7VG5GlXDIXA_29_0"/>
      <w:bookmarkStart w:id="279" w:name="Tc_QmlMHwGkOk2YXjOqHcSY4g_27_0"/>
      <w:bookmarkStart w:id="280" w:name="Tc_Bc2ARUN3KU6ZX82M_HOsWw_26_11"/>
      <w:bookmarkStart w:id="281" w:name="Tc_dOxkPySkKUSsyb5pE2ooKQ_26_8"/>
      <w:bookmarkStart w:id="282" w:name="Tc_27UeQA2L_kmWwWK40_zrzQ_26_5"/>
      <w:bookmarkStart w:id="283" w:name="Tc_Uy3KRwuEfEuoV8hDBrcfzQ_26_2"/>
      <w:bookmarkStart w:id="284" w:name="Tc_vuXS-qfO_U-CqiqDbcMrtw_26_0"/>
      <w:bookmarkStart w:id="285" w:name="Tc_UQuAl6StckOa-d5gSjiqbg_25_0"/>
      <w:bookmarkStart w:id="286" w:name="Tc_BfOz-SUQfk6edmUmBO8CwQ_23_0"/>
      <w:bookmarkStart w:id="287" w:name="Tc_sxQ3ajlqtUiIvBm8umdjew_22_11"/>
      <w:bookmarkStart w:id="288" w:name="Tc_K0jSt8B4UUmXbQjd-kS89Q_22_8"/>
      <w:bookmarkStart w:id="289" w:name="Tc_F1bBHvNGaUG0-Shq4AWZzQ_22_5"/>
      <w:bookmarkStart w:id="290" w:name="Tc_HG1uMBX0Ok6GWbO6t_EugQ_22_2"/>
      <w:bookmarkStart w:id="291" w:name="Tc_uMNE9LBHYEisXuAMHElLWQ_22_0"/>
      <w:bookmarkStart w:id="292" w:name="Tc_ANdJazsPJ0aQlOuZMlEwMQ_21_0"/>
      <w:bookmarkStart w:id="293" w:name="Tc_Zzmo-_SvyUuvIvcjKili3g_20_0"/>
      <w:bookmarkStart w:id="294" w:name="Tc_9vbVfVtih0SmF9PiNUzB1w_17_11"/>
      <w:bookmarkStart w:id="295" w:name="Tc_jcg-lGcEY02QTNzFKx5FAg_17_8"/>
      <w:bookmarkStart w:id="296" w:name="Tc_IZCne0dte0eND3JrROKfTA_17_5"/>
      <w:bookmarkStart w:id="297" w:name="Tc_AhCSlEsjyEOi6Ve4ScqzbQ_17_2"/>
      <w:bookmarkStart w:id="298" w:name="Tc__2ZlYv4VCUiEVLXSnp3c7w_17_0"/>
      <w:bookmarkStart w:id="299" w:name="Tc_LnR6vayr4E68Ctj3Xb4SiQ_16_0"/>
      <w:bookmarkStart w:id="300" w:name="Tc_qIH35S1iRkiuL6M60p16vw_15_0"/>
      <w:bookmarkStart w:id="301" w:name="Tc_hGrv-c2JDE2GVfdYP7muMw_14_0"/>
      <w:bookmarkStart w:id="302" w:name="Tc_2WclvZIt6UaTeBIzXyrhqw_13_0"/>
      <w:bookmarkStart w:id="303" w:name="Tc_X7mxkJGfV0Wox9tICzezQA_12_0"/>
      <w:bookmarkStart w:id="304" w:name="Tc_GJ1iW-w0W0C1paguC9EcVA_11_0"/>
      <w:bookmarkStart w:id="305" w:name="Tc_nEuNUrEYsUOfysMhGh39JQ_10_0"/>
      <w:bookmarkStart w:id="306" w:name="Tc_D1Ekc4L-AUimi5216Hypiw_9_0"/>
      <w:bookmarkStart w:id="307" w:name="Tc_PvbgThSTXUixNUkmSmvYjw_8_0"/>
      <w:bookmarkStart w:id="308" w:name="Tc_mLsXhlWcvkGrnsbcR6dqRQ_7_0"/>
      <w:bookmarkStart w:id="309" w:name="Tc_ge25lF7QskipMUwijr4e_Q_6_0"/>
      <w:bookmarkStart w:id="310" w:name="Tc_zxKTNQG1bUSIKatvr_Os8w_5_11"/>
      <w:bookmarkStart w:id="311" w:name="Tc_kYPj5YrG9UOCRXRhspiwKA_5_8"/>
      <w:bookmarkStart w:id="312" w:name="Tc_h-Ic3T1a10K-bjLK7B8l5Q_5_5"/>
      <w:bookmarkStart w:id="313" w:name="Tc_HAtM986MW0SEbiyVF3oJCA_5_2"/>
      <w:bookmarkStart w:id="314" w:name="Tc_YFVs4TtNVkSihUU1R8fm8w_5_0"/>
      <w:bookmarkStart w:id="315" w:name="Tc_1P7rLmhanEu3WbnbR4VO1g_4_2"/>
      <w:bookmarkStart w:id="316" w:name="Tc_b8p7IsHJAUmXDgNk3aD42w_3_2"/>
      <w:bookmarkStart w:id="317" w:name="Tc_5D_m-DfhFEuI9utHghfJKw_2_11"/>
      <w:bookmarkStart w:id="318" w:name="Tc_44bi1mfIukOI494U5G52sA_2_8"/>
      <w:bookmarkStart w:id="319" w:name="Tc_218PSB74XEKpCIJSFSrz8A_2_5"/>
      <w:bookmarkStart w:id="320" w:name="Tc_CtB8vLmK60aKNjnS-1fA0w_2_2"/>
      <w:bookmarkStart w:id="321" w:name="Tc_YWfvlDIdgEea10sTCKIAEw_1_8"/>
      <w:bookmarkStart w:id="322" w:name="Tc_mZORVFBQ80iK4hJisWh2Ew_1_2"/>
      <w:bookmarkStart w:id="323" w:name="_6c539662_6db4_4445_af8f_c0abfa4b34a3"/>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p>
    <w:tbl>
      <w:tblPr>
        <w:tblW w:w="10205" w:type="dxa"/>
        <w:jc w:val="left"/>
        <w:tblInd w:w="0" w:type="dxa"/>
        <w:tblLayout w:type="fixed"/>
        <w:tblCellMar>
          <w:top w:w="0" w:type="dxa"/>
          <w:left w:w="0" w:type="dxa"/>
          <w:bottom w:w="0" w:type="dxa"/>
          <w:right w:w="0" w:type="dxa"/>
        </w:tblCellMar>
      </w:tblPr>
      <w:tblGrid>
        <w:gridCol w:w="4805"/>
        <w:gridCol w:w="109"/>
        <w:gridCol w:w="211"/>
        <w:gridCol w:w="781"/>
        <w:gridCol w:w="326"/>
        <w:gridCol w:w="211"/>
        <w:gridCol w:w="781"/>
        <w:gridCol w:w="326"/>
        <w:gridCol w:w="211"/>
        <w:gridCol w:w="931"/>
        <w:gridCol w:w="326"/>
        <w:gridCol w:w="211"/>
        <w:gridCol w:w="976"/>
      </w:tblGrid>
      <w:tr>
        <w:trPr/>
        <w:tc>
          <w:tcPr>
            <w:tcW w:w="48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3051175" cy="175260"/>
                      <wp:effectExtent l="0" t="0" r="0" b="0"/>
                      <wp:wrapNone/>
                      <wp:docPr id="11" name="Frame11"/>
                      <a:graphic xmlns:a="http://schemas.openxmlformats.org/drawingml/2006/main">
                        <a:graphicData uri="http://schemas.microsoft.com/office/word/2010/wordprocessingShape">
                          <wps:wsp>
                            <wps:cNvSpPr txBox="1"/>
                            <wps:spPr>
                              <a:xfrm>
                                <a:off x="0" y="0"/>
                                <a:ext cx="3051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9215" cy="175260"/>
                      <wp:effectExtent l="0" t="0" r="0" b="0"/>
                      <wp:wrapNone/>
                      <wp:docPr id="12" name="Frame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495935" cy="175260"/>
                      <wp:effectExtent l="0" t="0" r="0" b="0"/>
                      <wp:wrapNone/>
                      <wp:docPr id="14" name="Frame1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495935" cy="175260"/>
                      <wp:effectExtent l="0" t="0" r="0" b="0"/>
                      <wp:wrapNone/>
                      <wp:docPr id="17" name="Frame1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3985" cy="175260"/>
                      <wp:effectExtent l="0" t="0" r="0" b="0"/>
                      <wp:wrapNone/>
                      <wp:docPr id="18" name="Frame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591185" cy="175260"/>
                      <wp:effectExtent l="0" t="0" r="0" b="0"/>
                      <wp:wrapNone/>
                      <wp:docPr id="19" name="Frame1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260"/>
                      <wp:effectExtent l="0" t="0" r="0" b="0"/>
                      <wp:wrapNone/>
                      <wp:docPr id="20" name="Frame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3985" cy="175260"/>
                      <wp:effectExtent l="0" t="0" r="0" b="0"/>
                      <wp:wrapNone/>
                      <wp:docPr id="21" name="Frame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19760" cy="175260"/>
                      <wp:effectExtent l="0" t="0" r="0" b="0"/>
                      <wp:wrapNone/>
                      <wp:docPr id="22" name="Frame22"/>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0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July 31, </w:t>
            </w:r>
          </w:p>
        </w:tc>
        <w:tc>
          <w:tcPr>
            <w:tcW w:w="326" w:type="dxa"/>
            <w:tcBorders/>
            <w:vAlign w:val="center"/>
          </w:tcPr>
          <w:p>
            <w:pPr>
              <w:pStyle w:val="TableContents"/>
              <w:bidi w:val="0"/>
              <w:spacing w:before="0" w:after="0"/>
              <w:ind w:left="0" w:right="0" w:hanging="0"/>
              <w:jc w:val="left"/>
              <w:rPr/>
            </w:pPr>
            <w:r>
              <w:rPr/>
              <w:t>​</w:t>
            </w:r>
          </w:p>
        </w:tc>
        <w:tc>
          <w:tcPr>
            <w:tcW w:w="26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July 31, </w:t>
            </w:r>
          </w:p>
        </w:tc>
      </w:tr>
      <w:tr>
        <w:trPr/>
        <w:tc>
          <w:tcPr>
            <w:tcW w:w="480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80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291"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480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291"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per share amounts)</w:t>
            </w:r>
          </w:p>
        </w:tc>
      </w:tr>
      <w:tr>
        <w:trPr/>
        <w:tc>
          <w:tcPr>
            <w:tcW w:w="480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sales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644,755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659,761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1,254,502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1,266,350</w:t>
            </w:r>
          </w:p>
        </w:tc>
      </w:tr>
      <w:tr>
        <w:trPr/>
        <w:tc>
          <w:tcPr>
            <w:tcW w:w="480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Cost of goods sold</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368,881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383,108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719,735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739,897</w:t>
            </w:r>
          </w:p>
        </w:tc>
      </w:tr>
      <w:tr>
        <w:trPr/>
        <w:tc>
          <w:tcPr>
            <w:tcW w:w="480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Gross profit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275,874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276,653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534,767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526,453</w:t>
            </w:r>
          </w:p>
        </w:tc>
      </w:tr>
      <w:tr>
        <w:trPr/>
        <w:tc>
          <w:tcPr>
            <w:tcW w:w="480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Selling, general and administrative expenses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229,030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239,207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465,651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467,168</w:t>
            </w:r>
          </w:p>
        </w:tc>
      </w:tr>
      <w:tr>
        <w:trPr/>
        <w:tc>
          <w:tcPr>
            <w:tcW w:w="480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Depreciation and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5,380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5,959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14,148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12,535</w:t>
            </w:r>
          </w:p>
        </w:tc>
      </w:tr>
      <w:tr>
        <w:trPr/>
        <w:tc>
          <w:tcPr>
            <w:tcW w:w="480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Operating profit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41,464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31,487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54,968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46,750</w:t>
            </w:r>
          </w:p>
        </w:tc>
      </w:tr>
      <w:tr>
        <w:trPr/>
        <w:tc>
          <w:tcPr>
            <w:tcW w:w="480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(loss) income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1,165</w:t>
            </w:r>
          </w:p>
        </w:tc>
      </w:tr>
      <w:tr>
        <w:trPr/>
        <w:tc>
          <w:tcPr>
            <w:tcW w:w="480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Interest and financing charges, net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(4,876)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(9,492)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(10,300)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(21,642)</w:t>
            </w:r>
          </w:p>
        </w:tc>
      </w:tr>
      <w:tr>
        <w:trPr/>
        <w:tc>
          <w:tcPr>
            <w:tcW w:w="480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 xml:space="preserve">Income before income taxes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33,636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22,187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41,493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26,273</w:t>
            </w:r>
          </w:p>
        </w:tc>
      </w:tr>
      <w:tr>
        <w:trPr/>
        <w:tc>
          <w:tcPr>
            <w:tcW w:w="480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Income tax expense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9,447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5,951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11,752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6,896</w:t>
            </w:r>
          </w:p>
        </w:tc>
      </w:tr>
      <w:tr>
        <w:trPr/>
        <w:tc>
          <w:tcPr>
            <w:tcW w:w="480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24,189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16,236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29,741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19,377</w:t>
            </w:r>
          </w:p>
        </w:tc>
      </w:tr>
      <w:tr>
        <w:trPr/>
        <w:tc>
          <w:tcPr>
            <w:tcW w:w="480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Less: Loss attributable to noncontrolling interests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(297)</w:t>
            </w:r>
          </w:p>
        </w:tc>
      </w:tr>
      <w:tr>
        <w:trPr/>
        <w:tc>
          <w:tcPr>
            <w:tcW w:w="480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 attributable to G-III Apparel Group, Ltd.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24,212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16,438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30,014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19,674</w:t>
            </w:r>
          </w:p>
        </w:tc>
      </w:tr>
      <w:tr>
        <w:trPr/>
        <w:tc>
          <w:tcPr>
            <w:tcW w:w="480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480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4805"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NET INCOME PER COMMON SHARE ATTRIBUTABLE TO G-III APPAREL GROUP, LTD.:</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480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Basic:</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r>
      <w:tr>
        <w:trPr/>
        <w:tc>
          <w:tcPr>
            <w:tcW w:w="480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 per common share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0.54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0.36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0.67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0.43</w:t>
            </w:r>
          </w:p>
        </w:tc>
      </w:tr>
      <w:tr>
        <w:trPr/>
        <w:tc>
          <w:tcPr>
            <w:tcW w:w="480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Weighted average number of shares outstanding</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44,569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45,714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45,022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45,996</w:t>
            </w:r>
          </w:p>
        </w:tc>
      </w:tr>
      <w:tr>
        <w:trPr/>
        <w:tc>
          <w:tcPr>
            <w:tcW w:w="480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480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Diluted: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r>
      <w:tr>
        <w:trPr/>
        <w:tc>
          <w:tcPr>
            <w:tcW w:w="480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 per common share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0.53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0.35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0.65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0.42</w:t>
            </w:r>
          </w:p>
        </w:tc>
      </w:tr>
      <w:tr>
        <w:trPr/>
        <w:tc>
          <w:tcPr>
            <w:tcW w:w="480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Weighted average number of shares outstanding</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45,483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46,570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46,105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46,992</w:t>
            </w:r>
          </w:p>
        </w:tc>
      </w:tr>
      <w:tr>
        <w:trPr/>
        <w:tc>
          <w:tcPr>
            <w:tcW w:w="480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480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24,189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16,236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29,741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19,377</w:t>
            </w:r>
          </w:p>
        </w:tc>
      </w:tr>
      <w:tr>
        <w:trPr/>
        <w:tc>
          <w:tcPr>
            <w:tcW w:w="480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comprehensive (loss) income: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480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Foreign currency translation adjustments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2,359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(8,900)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7,074</w:t>
            </w:r>
          </w:p>
        </w:tc>
      </w:tr>
      <w:tr>
        <w:trPr/>
        <w:tc>
          <w:tcPr>
            <w:tcW w:w="480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comprehensive (loss) income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(2,017)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2,359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(8,900)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7,074</w:t>
            </w:r>
          </w:p>
        </w:tc>
      </w:tr>
      <w:tr>
        <w:trPr/>
        <w:tc>
          <w:tcPr>
            <w:tcW w:w="480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Comprehensive income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22,172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18,595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20,841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26,451</w:t>
            </w:r>
          </w:p>
        </w:tc>
      </w:tr>
      <w:tr>
        <w:trPr/>
        <w:tc>
          <w:tcPr>
            <w:tcW w:w="480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Comprehensive loss attributable to noncontrolling interests: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480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loss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(297)</w:t>
            </w:r>
          </w:p>
        </w:tc>
      </w:tr>
      <w:tr>
        <w:trPr/>
        <w:tc>
          <w:tcPr>
            <w:tcW w:w="480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Foreign currency translation adjustments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w:t>
            </w:r>
          </w:p>
        </w:tc>
      </w:tr>
      <w:tr>
        <w:trPr/>
        <w:tc>
          <w:tcPr>
            <w:tcW w:w="480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Comprehensive income (loss) attributable to noncontrolling interests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(321)</w:t>
            </w:r>
          </w:p>
        </w:tc>
      </w:tr>
      <w:tr>
        <w:trPr/>
        <w:tc>
          <w:tcPr>
            <w:tcW w:w="480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Comprehensive income attributable to G-III Apparel Group, Ltd.</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22,187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18,367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20,606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26,130</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statements.</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24" w:name="_52cfa5ea_79d0_40c9_ab35_1646661f78f0"/>
      <w:bookmarkEnd w:id="324"/>
      <w:r>
        <w:rPr>
          <w:rFonts w:ascii="Times New Roman;Times;serif" w:hAnsi="Times New Roman;Times;serif"/>
          <w:b/>
          <w:sz w:val="20"/>
        </w:rPr>
        <w:t>G-III APPAREL GROUP, LTD. AND SUBSIDIARIES</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325" w:name="equity"/>
      <w:bookmarkEnd w:id="325"/>
      <w:r>
        <w:rPr>
          <w:rFonts w:ascii="Times New Roman;Times;serif" w:hAnsi="Times New Roman;Times;serif"/>
          <w:b/>
          <w:sz w:val="20"/>
        </w:rPr>
        <w:t>CONDENSED CONSOLIDATED STATEMENTS OF STOCKHOLDERS’ EQUITY</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26" w:name="Tc_bGDmqKRbdk6ZVz_BPUu9cg_44_17"/>
      <w:bookmarkStart w:id="327" w:name="Tc_pS2UJT1gsEqVAZkb7e9LBQ_44_14"/>
      <w:bookmarkStart w:id="328" w:name="Tc_QdLr_YyIiES5VLHGZjdgNg_44_11"/>
      <w:bookmarkStart w:id="329" w:name="Tc_6GsRfFU_PEObMdNCSlR3VA_44_8"/>
      <w:bookmarkStart w:id="330" w:name="Tc_qbitI50FLUewyw8yBc-04w_44_5"/>
      <w:bookmarkStart w:id="331" w:name="Tc_crWTQKsH1EK78R-k1RGYjw_44_2"/>
      <w:bookmarkStart w:id="332" w:name="Tc_2UeFdbVaSU2gt20Jx6eBow_44_0"/>
      <w:bookmarkStart w:id="333" w:name="Tc_30l5xqI8SkC7XcfvRwHRGg_43_15"/>
      <w:bookmarkStart w:id="334" w:name="Tc_JJrnlathyUq66_MJ9Dm6ow_43_9"/>
      <w:bookmarkStart w:id="335" w:name="Tc_38BJbZ0hfUGIYPgMuOiaTg_43_6"/>
      <w:bookmarkStart w:id="336" w:name="Tc_T2rzC_OIIkiqOxVBevTo9Q_43_3"/>
      <w:bookmarkStart w:id="337" w:name="Tc_A3yxG6NaQUmitp7074PmhA_43_0"/>
      <w:bookmarkStart w:id="338" w:name="Tc_hu6jJpgxi0-oNUwJj8R_LQ_42_12"/>
      <w:bookmarkStart w:id="339" w:name="Tc_hV4EZ2fYkECqp5J4283LSg_42_9"/>
      <w:bookmarkStart w:id="340" w:name="Tc_t_avVJuf4k-J3SCIMoS-5Q_42_6"/>
      <w:bookmarkStart w:id="341" w:name="Tc_asCsZAmo_kSmmZqQxBKMJg_42_3"/>
      <w:bookmarkStart w:id="342" w:name="Tc_3qm8qEfd1Emhb1HP5VMttQ_42_0"/>
      <w:bookmarkStart w:id="343" w:name="Tc_fI48jEMfMkCUtOpa1DsaLQ_41_15"/>
      <w:bookmarkStart w:id="344" w:name="Tc_3VbDm-YnVESfaNY7Eox9Zw_41_12"/>
      <w:bookmarkStart w:id="345" w:name="Tc_R2v3ezr50UuG2sCS2hQ2_g_41_6"/>
      <w:bookmarkStart w:id="346" w:name="Tc_JGiQxGN4zkCMfLuqUvTVyg_41_3"/>
      <w:bookmarkStart w:id="347" w:name="Tc_NmoMAZMYoE69blIA0NVhyA_41_0"/>
      <w:bookmarkStart w:id="348" w:name="Tc_JSdKG6seJk-_KX64zvx7Aw_40_15"/>
      <w:bookmarkStart w:id="349" w:name="Tc_QUUp1Fltg0mrxQwC-aNoow_40_12"/>
      <w:bookmarkStart w:id="350" w:name="Tc_ER_oXNZv5k6RrEbmBpYK7g_40_9"/>
      <w:bookmarkStart w:id="351" w:name="Tc_j39KRHfCMUqNHt1PiVkcAw_40_3"/>
      <w:bookmarkStart w:id="352" w:name="Tc_hgYAdb067Uq0Rtk1DLE5XQ_40_0"/>
      <w:bookmarkStart w:id="353" w:name="Tc_igCbOwX7fkqeZuHJBnM6hQ_39_15"/>
      <w:bookmarkStart w:id="354" w:name="Tc_3u-nB6yuBkC_37rdSjv7Ag_39_12"/>
      <w:bookmarkStart w:id="355" w:name="Tc_ZnyNQcc1aU6sVrLuwlwKMg_39_9"/>
      <w:bookmarkStart w:id="356" w:name="Tc_-LjSCs5izkav_EzOujgjMA_39_3"/>
      <w:bookmarkStart w:id="357" w:name="Tc_nowN-8jYrUmIUNsUlmqzUQ_39_0"/>
      <w:bookmarkStart w:id="358" w:name="Tc_NzAGCfmzG0mh_ZU0gbFZtA_38_18"/>
      <w:bookmarkStart w:id="359" w:name="Tc_uN2e6B8AnEK4dRYtTIAE6w_38_12"/>
      <w:bookmarkStart w:id="360" w:name="Tc_V_PbfeMbJ0mkwRCX-OezNQ_38_9"/>
      <w:bookmarkStart w:id="361" w:name="Tc_ywN4G8u53k-s9JCkjrCSaA_38_3"/>
      <w:bookmarkStart w:id="362" w:name="Tc_6egfxORdyEuD6Qyia_GpyA_38_0"/>
      <w:bookmarkStart w:id="363" w:name="Tc_huw4gaVqVE2-eUMCLkPS5Q_37_17"/>
      <w:bookmarkStart w:id="364" w:name="Tc_pgpwfWbfvkOsvGDYOYd_QA_37_14"/>
      <w:bookmarkStart w:id="365" w:name="Tc_eXwmx-aa1kmV6xXPd4iR5A_37_11"/>
      <w:bookmarkStart w:id="366" w:name="Tc_0gMlOKwAbEmQOj9AgQPizQ_37_8"/>
      <w:bookmarkStart w:id="367" w:name="Tc_qPKHOPqtx0-2VRzVHgJm2g_37_5"/>
      <w:bookmarkStart w:id="368" w:name="Tc_9H_-0WNC-E-jzH8bbTGGHw_37_2"/>
      <w:bookmarkStart w:id="369" w:name="Tc_umThmJIOfkiRUxEHqcGPfA_37_0"/>
      <w:bookmarkStart w:id="370" w:name="Tc_V5jeDYd5mE2qCSkjQvEItw_35_17"/>
      <w:bookmarkStart w:id="371" w:name="Tc_pLZIy0WODk-1VP8Z0nzmHw_35_14"/>
      <w:bookmarkStart w:id="372" w:name="Tc_QhaselnOHUKEa4yNo1ZDCQ_35_11"/>
      <w:bookmarkStart w:id="373" w:name="Tc_3A5uo20jekOSP-Ag3eEz5g_35_8"/>
      <w:bookmarkStart w:id="374" w:name="Tc_Y4qGBSNOFka6YrthAI96Iw_35_5"/>
      <w:bookmarkStart w:id="375" w:name="Tc_NNR8j6scWE-gWFPW3PzIOg_35_2"/>
      <w:bookmarkStart w:id="376" w:name="Tc_ej168os840GKV98e87ilmQ_35_0"/>
      <w:bookmarkStart w:id="377" w:name="Tc_WsyHIukLHE-baGbTSkde0g_34_15"/>
      <w:bookmarkStart w:id="378" w:name="Tc_HE8oY-YeJkChRG3fEkbkUQ_34_9"/>
      <w:bookmarkStart w:id="379" w:name="Tc_4qly9J3ylkCfZvpguayJ3w_34_6"/>
      <w:bookmarkStart w:id="380" w:name="Tc__6VUnzAyDEWPkT0CWqk8jg_34_3"/>
      <w:bookmarkStart w:id="381" w:name="Tc__IPJ1yWz6kaEvK_Jww2UaA_34_0"/>
      <w:bookmarkStart w:id="382" w:name="Tc_gd4sqSSLZ0GAoxsbYNny9g_33_15"/>
      <w:bookmarkStart w:id="383" w:name="Tc_bXaa3tkv6UWFIiouZshNFQ_33_12"/>
      <w:bookmarkStart w:id="384" w:name="Tc_R73zr7GMzkSZX0Lp7j8Qhw_33_9"/>
      <w:bookmarkStart w:id="385" w:name="Tc_QpPTLHNuvkGZ1fjKlCMKeA_33_3"/>
      <w:bookmarkStart w:id="386" w:name="Tc_vDTPgeIuXUe1z8D6SkKwUQ_33_0"/>
      <w:bookmarkStart w:id="387" w:name="Tc_vkCtcfzqRkCAILTr9BZcAQ_32_12"/>
      <w:bookmarkStart w:id="388" w:name="Tc_7l1tSjmvBkKTc67EMHUvKA_32_9"/>
      <w:bookmarkStart w:id="389" w:name="Tc_IYECMLf8dUuHnO2grZpNUg_32_6"/>
      <w:bookmarkStart w:id="390" w:name="Tc_LmaNMcmG40KcED10PHA0Cg_32_3"/>
      <w:bookmarkStart w:id="391" w:name="Tc_FGJ2EfxNkk210ByH_MNwtA_32_0"/>
      <w:bookmarkStart w:id="392" w:name="Tc_SBMkK7wfz0exKJts0Lch1w_31_12"/>
      <w:bookmarkStart w:id="393" w:name="Tc_QGouwS4AO0mNRwPBVzJWRA_31_9"/>
      <w:bookmarkStart w:id="394" w:name="Tc_TrWBNR9d5kyBfbG4scxSEQ_31_6"/>
      <w:bookmarkStart w:id="395" w:name="Tc_KoWf0Gj0a0C63T72qwGx4Q_31_3"/>
      <w:bookmarkStart w:id="396" w:name="Tc_uU-M3Y5NMUSYQa7GiHKYmQ_31_0"/>
      <w:bookmarkStart w:id="397" w:name="Tc_q_9ggt4j-0CmowfW3dHfVg_30_15"/>
      <w:bookmarkStart w:id="398" w:name="Tc_sozMOFuLKk-yXPNZR8KyKw_30_12"/>
      <w:bookmarkStart w:id="399" w:name="Tc_vi26GWUc00meNmslOYOO2Q_30_6"/>
      <w:bookmarkStart w:id="400" w:name="Tc_eW57js66dUy2IB_XS9oz_w_30_3"/>
      <w:bookmarkStart w:id="401" w:name="Tc_vL9yzVyaG0aLJsYXw1r14g_30_0"/>
      <w:bookmarkStart w:id="402" w:name="Tc_u_OUvW9fYEK9ksdgP2aFhA_29_15"/>
      <w:bookmarkStart w:id="403" w:name="Tc_GU6kVRcRwkuZJUdtTvwMxw_29_12"/>
      <w:bookmarkStart w:id="404" w:name="Tc_gtFJrB_y-Uy9GTUav5kSqg_29_9"/>
      <w:bookmarkStart w:id="405" w:name="Tc_RQOe77mkKUuXkUH7lag-Vw_29_3"/>
      <w:bookmarkStart w:id="406" w:name="Tc_zhMlGTMsHkW9EWeANFN2VQ_29_0"/>
      <w:bookmarkStart w:id="407" w:name="Tc_F454d7gmikGEpXLvSZjRtw_28_15"/>
      <w:bookmarkStart w:id="408" w:name="Tc_LCzFjO3NH0-C3FD9Zjq5Fg_28_12"/>
      <w:bookmarkStart w:id="409" w:name="Tc_3Jc16GoZl0Of8QBoRWkhsQ_28_9"/>
      <w:bookmarkStart w:id="410" w:name="Tc_klvA4lh8DEO1MC069Tw3rw_28_3"/>
      <w:bookmarkStart w:id="411" w:name="Tc_6JQ-nU-2UkqULuZZXi2rVw_28_0"/>
      <w:bookmarkStart w:id="412" w:name="Tc_s8AkDPaueEe-Uc17wdv77A_27_18"/>
      <w:bookmarkStart w:id="413" w:name="Tc_3uchvsBhZUOyANcnAsLRnA_27_12"/>
      <w:bookmarkStart w:id="414" w:name="Tc_ap9yw2cKbkiiZK-okE6HRg_27_9"/>
      <w:bookmarkStart w:id="415" w:name="Tc_sWhNGu7XR02pa6K73A_uJg_27_3"/>
      <w:bookmarkStart w:id="416" w:name="Tc_lCn0CVAoBUWqteCuGasKkg_27_0"/>
      <w:bookmarkStart w:id="417" w:name="Tc_A1lBEnTT1kWkI3j4ecZWvA_26_17"/>
      <w:bookmarkStart w:id="418" w:name="Tc_ucgEAJpGJE2pfXlsZhbiPQ_26_14"/>
      <w:bookmarkStart w:id="419" w:name="Tc_tv4SdvzVokqHdFzvHdnLFA_26_11"/>
      <w:bookmarkStart w:id="420" w:name="Tc_c4S9tRt1UU-2VQSPmwknCg_26_8"/>
      <w:bookmarkStart w:id="421" w:name="Tc_Ck2I61GvSUOBstT9aeIi5A_26_5"/>
      <w:bookmarkStart w:id="422" w:name="Tc_hGHwQIl15k6PSFocow4jww_26_2"/>
      <w:bookmarkStart w:id="423" w:name="Tc_weJu35F5MEmcMLt6v4HEdw_26_0"/>
      <w:bookmarkStart w:id="424" w:name="Tc_tOTCYp8NL0-UFzySB0qxKg_24_17"/>
      <w:bookmarkStart w:id="425" w:name="Tc_DMr4Cx7qTUKCmV6GT4wSEA_24_14"/>
      <w:bookmarkStart w:id="426" w:name="Tc_M6pxBkmVtkSG3_22PLESUQ_24_11"/>
      <w:bookmarkStart w:id="427" w:name="Tc_inbLV7FBl0G8r-e85yxiAA_24_8"/>
      <w:bookmarkStart w:id="428" w:name="Tc_s-H3EMBczUahFx-l88uuBQ_24_5"/>
      <w:bookmarkStart w:id="429" w:name="Tc_HwOHdoBtJ0-g9NZ8udWFDA_24_2"/>
      <w:bookmarkStart w:id="430" w:name="Tc_uqBExXNrp0qA3plMTgA3qg_24_0"/>
      <w:bookmarkStart w:id="431" w:name="Tc_tCdbcA2j80CyOKltojdlBQ_23_15"/>
      <w:bookmarkStart w:id="432" w:name="Tc_j7oiHBiCEEq_Sx0d6qEtKg_23_9"/>
      <w:bookmarkStart w:id="433" w:name="Tc_5zW1PcXjfUachi_13QCIZg_23_6"/>
      <w:bookmarkStart w:id="434" w:name="Tc_Kwl9iACSoEaxaRS7zqZzYA_23_3"/>
      <w:bookmarkStart w:id="435" w:name="Tc_UBEET8ev5EinvFIPRSKWBQ_23_0"/>
      <w:bookmarkStart w:id="436" w:name="Tc_Uj7RKPLTkkamQsZbBQa7Lg_22_12"/>
      <w:bookmarkStart w:id="437" w:name="Tc_fSE_8n9LXEG3qe4FETQQXA_22_9"/>
      <w:bookmarkStart w:id="438" w:name="Tc_UWDUgEiGCEaLOu2yn304nw_22_6"/>
      <w:bookmarkStart w:id="439" w:name="Tc_MiBGNh_GsEe6jpboTsHiqA_22_3"/>
      <w:bookmarkStart w:id="440" w:name="Tc_ULJtQka5yEad5ynS9v3Fsg_22_0"/>
      <w:bookmarkStart w:id="441" w:name="Tc_Wh_2VnYr-EO2R5nukdl-9Q_21_15"/>
      <w:bookmarkStart w:id="442" w:name="Tc_9QNrt2vO9k6LizWRMhHpDA_21_12"/>
      <w:bookmarkStart w:id="443" w:name="Tc_jv4ty8-5GUalqoCk670qxw_21_6"/>
      <w:bookmarkStart w:id="444" w:name="Tc_id7vRczzPEuEfzYtz6DUKA_21_3"/>
      <w:bookmarkStart w:id="445" w:name="Tc_A2IErSsjIEqLuC2o0Hrg1w_21_0"/>
      <w:bookmarkStart w:id="446" w:name="Tc_-18XWmHdhE2aUdyD6G7HLw_20_15"/>
      <w:bookmarkStart w:id="447" w:name="Tc_eOdGWjWZu0udDdefYhwDfA_20_12"/>
      <w:bookmarkStart w:id="448" w:name="Tc_CJD62DT_NkaodGhPMtl0QQ_20_9"/>
      <w:bookmarkStart w:id="449" w:name="Tc_FKmp2tvii0-T4jDHfOEtZg_20_3"/>
      <w:bookmarkStart w:id="450" w:name="Tc_nNsXnMatckWAXMBeTFSh2Q_20_0"/>
      <w:bookmarkStart w:id="451" w:name="Tc_Rp55SqfQ2ECMxUqAgJ_mXw_19_15"/>
      <w:bookmarkStart w:id="452" w:name="Tc_E2-rTHE96kmpj_ODsx6M8Q_19_12"/>
      <w:bookmarkStart w:id="453" w:name="Tc_wWs3yGQMIEGhlEt78GGj-A_19_9"/>
      <w:bookmarkStart w:id="454" w:name="Tc_20adzYKj7E6pYLxWQOnzhg_19_3"/>
      <w:bookmarkStart w:id="455" w:name="Tc_LxelmqO2MEaA5BlayVXMlw_19_0"/>
      <w:bookmarkStart w:id="456" w:name="Tc_n9y775ajgU6oymTCqmLUbA_18_18"/>
      <w:bookmarkStart w:id="457" w:name="Tc_l38OR7XmFk2FmHf3--uk_A_18_12"/>
      <w:bookmarkStart w:id="458" w:name="Tc_NDvrzFCorkG3kPKwI3nJPQ_18_9"/>
      <w:bookmarkStart w:id="459" w:name="Tc_5JguDgE2fkut8xpwskjAUA_18_3"/>
      <w:bookmarkStart w:id="460" w:name="Tc_k4I-suYkEkubGEpen6KLyQ_18_0"/>
      <w:bookmarkStart w:id="461" w:name="Tc_rWyzpVw9NkmZrnilUQPYVw_17_17"/>
      <w:bookmarkStart w:id="462" w:name="Tc_5pPt--NfFEq7xeNFJc8DRQ_17_14"/>
      <w:bookmarkStart w:id="463" w:name="Tc_p5yTRzasGU-KG4tRSkX4dg_17_11"/>
      <w:bookmarkStart w:id="464" w:name="Tc_ROxTLFLGNEycYg_jtuAVrg_17_8"/>
      <w:bookmarkStart w:id="465" w:name="Tc_lESkvHblNkaB5ZF_E6DwAw_17_5"/>
      <w:bookmarkStart w:id="466" w:name="Tc_Nj38HG5tO0W6jqRvgrTw0g_17_2"/>
      <w:bookmarkStart w:id="467" w:name="Tc_X8VYMoeHjECoK8UD8fGtug_17_0"/>
      <w:bookmarkStart w:id="468" w:name="Tc_OfwMgvIAHUOGZoo-eDeb_Q_15_17"/>
      <w:bookmarkStart w:id="469" w:name="Tc_6xD99UnRc0qJ9eCBzXyjVg_15_14"/>
      <w:bookmarkStart w:id="470" w:name="Tc_67F6lVWWpUuCrNZHfxYvjQ_15_11"/>
      <w:bookmarkStart w:id="471" w:name="Tc_MLRttffICEyLAHhNgr50PQ_15_8"/>
      <w:bookmarkStart w:id="472" w:name="Tc_bwfuj7dv5kWp423agQq0zw_15_5"/>
      <w:bookmarkStart w:id="473" w:name="Tc_exVM_7ofZUee6-JN4iE64w_15_2"/>
      <w:bookmarkStart w:id="474" w:name="Tc_CPGiG00WekeCWS_EwfdNfw_15_0"/>
      <w:bookmarkStart w:id="475" w:name="Tc_U93AGas3fEeYPOTWFEpZ9A_14_15"/>
      <w:bookmarkStart w:id="476" w:name="Tc_wGHdbhVZwUCEUmBFKWinsg_14_9"/>
      <w:bookmarkStart w:id="477" w:name="Tc_lxiZ9qkP4EagstvQZkaeSg_14_6"/>
      <w:bookmarkStart w:id="478" w:name="Tc_CjhY6d13DEyztGlRV-vNKg_14_3"/>
      <w:bookmarkStart w:id="479" w:name="Tc_CKR4YPi9n0mdFys3Ca6wSQ_14_0"/>
      <w:bookmarkStart w:id="480" w:name="Tc_UJ8FPCCTkUGWVyhHvVb9ow_13_15"/>
      <w:bookmarkStart w:id="481" w:name="Tc_4O8widP4GU-jPgJH4ZVVCg_13_12"/>
      <w:bookmarkStart w:id="482" w:name="Tc_WZaAp3P9B0Waa13R0Q3bxA_13_9"/>
      <w:bookmarkStart w:id="483" w:name="Tc_R1YSvIHrkE6mNhpAPt0reQ_13_3"/>
      <w:bookmarkStart w:id="484" w:name="Tc_lff6a1N2-ka5wC41HpnVEw_13_0"/>
      <w:bookmarkStart w:id="485" w:name="Tc_KN3gnbmJ3kmW9yAUed3aeQ_12_12"/>
      <w:bookmarkStart w:id="486" w:name="Tc_BgjJ5DeXXEK-PFq131kHQQ_12_9"/>
      <w:bookmarkStart w:id="487" w:name="Tc_44RczWW2PEmjo2QUzxxnsQ_12_6"/>
      <w:bookmarkStart w:id="488" w:name="Tc_le1gcvagdUeDFEZAzO0Chg_12_3"/>
      <w:bookmarkStart w:id="489" w:name="Tc_wrB5EJsHlE2j8mm_fERWfQ_12_0"/>
      <w:bookmarkStart w:id="490" w:name="Tc_N_yAQDZ2IUC9G9Im8S5kaw_11_12"/>
      <w:bookmarkStart w:id="491" w:name="Tc_p9_qbnDkFkuSdK2N-ySqdg_11_9"/>
      <w:bookmarkStart w:id="492" w:name="Tc_P-qcqIbdmE6yvqjzjo1EgQ_11_6"/>
      <w:bookmarkStart w:id="493" w:name="Tc_E6pSQdUDx0C5sYo0P_yu6A_11_3"/>
      <w:bookmarkStart w:id="494" w:name="Tc_PKOy3b7wXUCyqkIc1PFdhA_11_0"/>
      <w:bookmarkStart w:id="495" w:name="Tc_R8Sgr5a1zkiPaGpudLAjBw_10_15"/>
      <w:bookmarkStart w:id="496" w:name="Tc_VPeNmCDof0K7ISckISGBHw_10_12"/>
      <w:bookmarkStart w:id="497" w:name="Tc_xSWPzEemFkqtcVqseSoFvQ_10_6"/>
      <w:bookmarkStart w:id="498" w:name="Tc_FCZdJl-zTkSJgjiiXEfd_Q_10_3"/>
      <w:bookmarkStart w:id="499" w:name="Tc_PKc5qyQR5EKpSasTWWG0cA_10_0"/>
      <w:bookmarkStart w:id="500" w:name="Tc_-XD9iO48n0CCv5FksxLm7A_9_15"/>
      <w:bookmarkStart w:id="501" w:name="Tc_s8Lcgya0O0-lngDr1nMjDw_9_12"/>
      <w:bookmarkStart w:id="502" w:name="Tc_EPpPGyJzEUeEbZUkc2ozfg_9_9"/>
      <w:bookmarkStart w:id="503" w:name="Tc_YhX-h2gNLk6E7Sp82FMu6w_9_3"/>
      <w:bookmarkStart w:id="504" w:name="Tc_5GwiOnFsq0KHK6x7N5_bQg_9_0"/>
      <w:bookmarkStart w:id="505" w:name="Tc_KKXvXDhXIEyW7l36gg71CQ_8_18"/>
      <w:bookmarkStart w:id="506" w:name="Tc_A1h6QVnEI0OMMp60lWXgkQ_8_12"/>
      <w:bookmarkStart w:id="507" w:name="Tc_5wEIk4DMOE6IhVdty-5nWQ_8_9"/>
      <w:bookmarkStart w:id="508" w:name="Tc_EJ3t5NYj9k6lNVTcEJuFdg_8_3"/>
      <w:bookmarkStart w:id="509" w:name="Tc_mf0UHmRj40y-GaU1ryMGwQ_8_0"/>
      <w:bookmarkStart w:id="510" w:name="Tc_RnWtG4-BOkaYzJlIaXnY_g_7_17"/>
      <w:bookmarkStart w:id="511" w:name="Tc_9B_GcFWWuEGgkUJERfcKjA_7_14"/>
      <w:bookmarkStart w:id="512" w:name="Tc_S93yl_2x-kqQvhA9wf5h1Q_7_11"/>
      <w:bookmarkStart w:id="513" w:name="Tc_NB_t2Re51E6RXqIi47BrEQ_7_8"/>
      <w:bookmarkStart w:id="514" w:name="Tc_UeP7kPTMUkqV-SZ42dqaLw_7_5"/>
      <w:bookmarkStart w:id="515" w:name="Tc_zBedBzn5gEurN0CDbgDbyQ_7_2"/>
      <w:bookmarkStart w:id="516" w:name="Tc_t3cOIEW1Z0emFVMqgKsi7A_7_0"/>
      <w:bookmarkStart w:id="517" w:name="Tc_2hAT-jWx30-2AXNh88Xxbw_6_2"/>
      <w:bookmarkStart w:id="518" w:name="Tc_xs7cjM7kD025lMBjwa_atg_5_2"/>
      <w:bookmarkStart w:id="519" w:name="Tc_BC8Xz30NAUSZR53P-hPUjA_4_17"/>
      <w:bookmarkStart w:id="520" w:name="Tc_z24XVZRsOE2gM3_tcVxQNw_4_14"/>
      <w:bookmarkStart w:id="521" w:name="Tc_3GW5mTxbcEGEtoLZrSIxsQ_4_11"/>
      <w:bookmarkStart w:id="522" w:name="Tc_pV09L-XWnE6GS9qqu8lBNQ_4_8"/>
      <w:bookmarkStart w:id="523" w:name="Tc_is5dSuQeRECcG8u2P8nejg_4_5"/>
      <w:bookmarkStart w:id="524" w:name="Tc_JWeugedyv0iJPVbt3td4TA_4_2"/>
      <w:bookmarkStart w:id="525" w:name="Tc_Oc_bGO_luUySZOm006991A_3_14"/>
      <w:bookmarkStart w:id="526" w:name="Tc_xJWXZ2JP10KdrPVukliMZQ_3_11"/>
      <w:bookmarkStart w:id="527" w:name="Tc_KUbbpFuoKEqkk-0rMm-18A_3_8"/>
      <w:bookmarkStart w:id="528" w:name="Tc_GOfq_0Rs9Uq5qow7m_Un0Q_3_5"/>
      <w:bookmarkStart w:id="529" w:name="Tc_MUBSiHZ_VUSruDOc1WRjig_3_2"/>
      <w:bookmarkStart w:id="530" w:name="Tc_S-eMbv1XsEqfTKGJ08sEIg_2_14"/>
      <w:bookmarkStart w:id="531" w:name="Tc_ZbkZ6BSutECvFCIzzUnGHA_2_8"/>
      <w:bookmarkStart w:id="532" w:name="Tc_Z9g9q19RvUCPNq3BOeMBew_2_5"/>
      <w:bookmarkStart w:id="533" w:name="Tc_rUDGwt2jQ0O1rF4S-9Uyvw_1_14"/>
      <w:bookmarkStart w:id="534" w:name="Tc_KlYeaBUK7Uu2pUeYnkfZsw_1_8"/>
      <w:bookmarkStart w:id="535" w:name="_11f4119a_33e1_4756_b84d_a1cf16849e20"/>
      <w:bookmarkStart w:id="536" w:name="Tc_bGDmqKRbdk6ZVz_BPUu9cg_44_17"/>
      <w:bookmarkStart w:id="537" w:name="Tc_pS2UJT1gsEqVAZkb7e9LBQ_44_14"/>
      <w:bookmarkStart w:id="538" w:name="Tc_QdLr_YyIiES5VLHGZjdgNg_44_11"/>
      <w:bookmarkStart w:id="539" w:name="Tc_6GsRfFU_PEObMdNCSlR3VA_44_8"/>
      <w:bookmarkStart w:id="540" w:name="Tc_qbitI50FLUewyw8yBc-04w_44_5"/>
      <w:bookmarkStart w:id="541" w:name="Tc_crWTQKsH1EK78R-k1RGYjw_44_2"/>
      <w:bookmarkStart w:id="542" w:name="Tc_2UeFdbVaSU2gt20Jx6eBow_44_0"/>
      <w:bookmarkStart w:id="543" w:name="Tc_30l5xqI8SkC7XcfvRwHRGg_43_15"/>
      <w:bookmarkStart w:id="544" w:name="Tc_JJrnlathyUq66_MJ9Dm6ow_43_9"/>
      <w:bookmarkStart w:id="545" w:name="Tc_38BJbZ0hfUGIYPgMuOiaTg_43_6"/>
      <w:bookmarkStart w:id="546" w:name="Tc_T2rzC_OIIkiqOxVBevTo9Q_43_3"/>
      <w:bookmarkStart w:id="547" w:name="Tc_A3yxG6NaQUmitp7074PmhA_43_0"/>
      <w:bookmarkStart w:id="548" w:name="Tc_hu6jJpgxi0-oNUwJj8R_LQ_42_12"/>
      <w:bookmarkStart w:id="549" w:name="Tc_hV4EZ2fYkECqp5J4283LSg_42_9"/>
      <w:bookmarkStart w:id="550" w:name="Tc_t_avVJuf4k-J3SCIMoS-5Q_42_6"/>
      <w:bookmarkStart w:id="551" w:name="Tc_asCsZAmo_kSmmZqQxBKMJg_42_3"/>
      <w:bookmarkStart w:id="552" w:name="Tc_3qm8qEfd1Emhb1HP5VMttQ_42_0"/>
      <w:bookmarkStart w:id="553" w:name="Tc_fI48jEMfMkCUtOpa1DsaLQ_41_15"/>
      <w:bookmarkStart w:id="554" w:name="Tc_3VbDm-YnVESfaNY7Eox9Zw_41_12"/>
      <w:bookmarkStart w:id="555" w:name="Tc_R2v3ezr50UuG2sCS2hQ2_g_41_6"/>
      <w:bookmarkStart w:id="556" w:name="Tc_JGiQxGN4zkCMfLuqUvTVyg_41_3"/>
      <w:bookmarkStart w:id="557" w:name="Tc_NmoMAZMYoE69blIA0NVhyA_41_0"/>
      <w:bookmarkStart w:id="558" w:name="Tc_JSdKG6seJk-_KX64zvx7Aw_40_15"/>
      <w:bookmarkStart w:id="559" w:name="Tc_QUUp1Fltg0mrxQwC-aNoow_40_12"/>
      <w:bookmarkStart w:id="560" w:name="Tc_ER_oXNZv5k6RrEbmBpYK7g_40_9"/>
      <w:bookmarkStart w:id="561" w:name="Tc_j39KRHfCMUqNHt1PiVkcAw_40_3"/>
      <w:bookmarkStart w:id="562" w:name="Tc_hgYAdb067Uq0Rtk1DLE5XQ_40_0"/>
      <w:bookmarkStart w:id="563" w:name="Tc_igCbOwX7fkqeZuHJBnM6hQ_39_15"/>
      <w:bookmarkStart w:id="564" w:name="Tc_3u-nB6yuBkC_37rdSjv7Ag_39_12"/>
      <w:bookmarkStart w:id="565" w:name="Tc_ZnyNQcc1aU6sVrLuwlwKMg_39_9"/>
      <w:bookmarkStart w:id="566" w:name="Tc_-LjSCs5izkav_EzOujgjMA_39_3"/>
      <w:bookmarkStart w:id="567" w:name="Tc_nowN-8jYrUmIUNsUlmqzUQ_39_0"/>
      <w:bookmarkStart w:id="568" w:name="Tc_NzAGCfmzG0mh_ZU0gbFZtA_38_18"/>
      <w:bookmarkStart w:id="569" w:name="Tc_uN2e6B8AnEK4dRYtTIAE6w_38_12"/>
      <w:bookmarkStart w:id="570" w:name="Tc_V_PbfeMbJ0mkwRCX-OezNQ_38_9"/>
      <w:bookmarkStart w:id="571" w:name="Tc_ywN4G8u53k-s9JCkjrCSaA_38_3"/>
      <w:bookmarkStart w:id="572" w:name="Tc_6egfxORdyEuD6Qyia_GpyA_38_0"/>
      <w:bookmarkStart w:id="573" w:name="Tc_huw4gaVqVE2-eUMCLkPS5Q_37_17"/>
      <w:bookmarkStart w:id="574" w:name="Tc_pgpwfWbfvkOsvGDYOYd_QA_37_14"/>
      <w:bookmarkStart w:id="575" w:name="Tc_eXwmx-aa1kmV6xXPd4iR5A_37_11"/>
      <w:bookmarkStart w:id="576" w:name="Tc_0gMlOKwAbEmQOj9AgQPizQ_37_8"/>
      <w:bookmarkStart w:id="577" w:name="Tc_qPKHOPqtx0-2VRzVHgJm2g_37_5"/>
      <w:bookmarkStart w:id="578" w:name="Tc_9H_-0WNC-E-jzH8bbTGGHw_37_2"/>
      <w:bookmarkStart w:id="579" w:name="Tc_umThmJIOfkiRUxEHqcGPfA_37_0"/>
      <w:bookmarkStart w:id="580" w:name="Tc_V5jeDYd5mE2qCSkjQvEItw_35_17"/>
      <w:bookmarkStart w:id="581" w:name="Tc_pLZIy0WODk-1VP8Z0nzmHw_35_14"/>
      <w:bookmarkStart w:id="582" w:name="Tc_QhaselnOHUKEa4yNo1ZDCQ_35_11"/>
      <w:bookmarkStart w:id="583" w:name="Tc_3A5uo20jekOSP-Ag3eEz5g_35_8"/>
      <w:bookmarkStart w:id="584" w:name="Tc_Y4qGBSNOFka6YrthAI96Iw_35_5"/>
      <w:bookmarkStart w:id="585" w:name="Tc_NNR8j6scWE-gWFPW3PzIOg_35_2"/>
      <w:bookmarkStart w:id="586" w:name="Tc_ej168os840GKV98e87ilmQ_35_0"/>
      <w:bookmarkStart w:id="587" w:name="Tc_WsyHIukLHE-baGbTSkde0g_34_15"/>
      <w:bookmarkStart w:id="588" w:name="Tc_HE8oY-YeJkChRG3fEkbkUQ_34_9"/>
      <w:bookmarkStart w:id="589" w:name="Tc_4qly9J3ylkCfZvpguayJ3w_34_6"/>
      <w:bookmarkStart w:id="590" w:name="Tc__6VUnzAyDEWPkT0CWqk8jg_34_3"/>
      <w:bookmarkStart w:id="591" w:name="Tc__IPJ1yWz6kaEvK_Jww2UaA_34_0"/>
      <w:bookmarkStart w:id="592" w:name="Tc_gd4sqSSLZ0GAoxsbYNny9g_33_15"/>
      <w:bookmarkStart w:id="593" w:name="Tc_bXaa3tkv6UWFIiouZshNFQ_33_12"/>
      <w:bookmarkStart w:id="594" w:name="Tc_R73zr7GMzkSZX0Lp7j8Qhw_33_9"/>
      <w:bookmarkStart w:id="595" w:name="Tc_QpPTLHNuvkGZ1fjKlCMKeA_33_3"/>
      <w:bookmarkStart w:id="596" w:name="Tc_vDTPgeIuXUe1z8D6SkKwUQ_33_0"/>
      <w:bookmarkStart w:id="597" w:name="Tc_vkCtcfzqRkCAILTr9BZcAQ_32_12"/>
      <w:bookmarkStart w:id="598" w:name="Tc_7l1tSjmvBkKTc67EMHUvKA_32_9"/>
      <w:bookmarkStart w:id="599" w:name="Tc_IYECMLf8dUuHnO2grZpNUg_32_6"/>
      <w:bookmarkStart w:id="600" w:name="Tc_LmaNMcmG40KcED10PHA0Cg_32_3"/>
      <w:bookmarkStart w:id="601" w:name="Tc_FGJ2EfxNkk210ByH_MNwtA_32_0"/>
      <w:bookmarkStart w:id="602" w:name="Tc_SBMkK7wfz0exKJts0Lch1w_31_12"/>
      <w:bookmarkStart w:id="603" w:name="Tc_QGouwS4AO0mNRwPBVzJWRA_31_9"/>
      <w:bookmarkStart w:id="604" w:name="Tc_TrWBNR9d5kyBfbG4scxSEQ_31_6"/>
      <w:bookmarkStart w:id="605" w:name="Tc_KoWf0Gj0a0C63T72qwGx4Q_31_3"/>
      <w:bookmarkStart w:id="606" w:name="Tc_uU-M3Y5NMUSYQa7GiHKYmQ_31_0"/>
      <w:bookmarkStart w:id="607" w:name="Tc_q_9ggt4j-0CmowfW3dHfVg_30_15"/>
      <w:bookmarkStart w:id="608" w:name="Tc_sozMOFuLKk-yXPNZR8KyKw_30_12"/>
      <w:bookmarkStart w:id="609" w:name="Tc_vi26GWUc00meNmslOYOO2Q_30_6"/>
      <w:bookmarkStart w:id="610" w:name="Tc_eW57js66dUy2IB_XS9oz_w_30_3"/>
      <w:bookmarkStart w:id="611" w:name="Tc_vL9yzVyaG0aLJsYXw1r14g_30_0"/>
      <w:bookmarkStart w:id="612" w:name="Tc_u_OUvW9fYEK9ksdgP2aFhA_29_15"/>
      <w:bookmarkStart w:id="613" w:name="Tc_GU6kVRcRwkuZJUdtTvwMxw_29_12"/>
      <w:bookmarkStart w:id="614" w:name="Tc_gtFJrB_y-Uy9GTUav5kSqg_29_9"/>
      <w:bookmarkStart w:id="615" w:name="Tc_RQOe77mkKUuXkUH7lag-Vw_29_3"/>
      <w:bookmarkStart w:id="616" w:name="Tc_zhMlGTMsHkW9EWeANFN2VQ_29_0"/>
      <w:bookmarkStart w:id="617" w:name="Tc_F454d7gmikGEpXLvSZjRtw_28_15"/>
      <w:bookmarkStart w:id="618" w:name="Tc_LCzFjO3NH0-C3FD9Zjq5Fg_28_12"/>
      <w:bookmarkStart w:id="619" w:name="Tc_3Jc16GoZl0Of8QBoRWkhsQ_28_9"/>
      <w:bookmarkStart w:id="620" w:name="Tc_klvA4lh8DEO1MC069Tw3rw_28_3"/>
      <w:bookmarkStart w:id="621" w:name="Tc_6JQ-nU-2UkqULuZZXi2rVw_28_0"/>
      <w:bookmarkStart w:id="622" w:name="Tc_s8AkDPaueEe-Uc17wdv77A_27_18"/>
      <w:bookmarkStart w:id="623" w:name="Tc_3uchvsBhZUOyANcnAsLRnA_27_12"/>
      <w:bookmarkStart w:id="624" w:name="Tc_ap9yw2cKbkiiZK-okE6HRg_27_9"/>
      <w:bookmarkStart w:id="625" w:name="Tc_sWhNGu7XR02pa6K73A_uJg_27_3"/>
      <w:bookmarkStart w:id="626" w:name="Tc_lCn0CVAoBUWqteCuGasKkg_27_0"/>
      <w:bookmarkStart w:id="627" w:name="Tc_A1lBEnTT1kWkI3j4ecZWvA_26_17"/>
      <w:bookmarkStart w:id="628" w:name="Tc_ucgEAJpGJE2pfXlsZhbiPQ_26_14"/>
      <w:bookmarkStart w:id="629" w:name="Tc_tv4SdvzVokqHdFzvHdnLFA_26_11"/>
      <w:bookmarkStart w:id="630" w:name="Tc_c4S9tRt1UU-2VQSPmwknCg_26_8"/>
      <w:bookmarkStart w:id="631" w:name="Tc_Ck2I61GvSUOBstT9aeIi5A_26_5"/>
      <w:bookmarkStart w:id="632" w:name="Tc_hGHwQIl15k6PSFocow4jww_26_2"/>
      <w:bookmarkStart w:id="633" w:name="Tc_weJu35F5MEmcMLt6v4HEdw_26_0"/>
      <w:bookmarkStart w:id="634" w:name="Tc_tOTCYp8NL0-UFzySB0qxKg_24_17"/>
      <w:bookmarkStart w:id="635" w:name="Tc_DMr4Cx7qTUKCmV6GT4wSEA_24_14"/>
      <w:bookmarkStart w:id="636" w:name="Tc_M6pxBkmVtkSG3_22PLESUQ_24_11"/>
      <w:bookmarkStart w:id="637" w:name="Tc_inbLV7FBl0G8r-e85yxiAA_24_8"/>
      <w:bookmarkStart w:id="638" w:name="Tc_s-H3EMBczUahFx-l88uuBQ_24_5"/>
      <w:bookmarkStart w:id="639" w:name="Tc_HwOHdoBtJ0-g9NZ8udWFDA_24_2"/>
      <w:bookmarkStart w:id="640" w:name="Tc_uqBExXNrp0qA3plMTgA3qg_24_0"/>
      <w:bookmarkStart w:id="641" w:name="Tc_tCdbcA2j80CyOKltojdlBQ_23_15"/>
      <w:bookmarkStart w:id="642" w:name="Tc_j7oiHBiCEEq_Sx0d6qEtKg_23_9"/>
      <w:bookmarkStart w:id="643" w:name="Tc_5zW1PcXjfUachi_13QCIZg_23_6"/>
      <w:bookmarkStart w:id="644" w:name="Tc_Kwl9iACSoEaxaRS7zqZzYA_23_3"/>
      <w:bookmarkStart w:id="645" w:name="Tc_UBEET8ev5EinvFIPRSKWBQ_23_0"/>
      <w:bookmarkStart w:id="646" w:name="Tc_Uj7RKPLTkkamQsZbBQa7Lg_22_12"/>
      <w:bookmarkStart w:id="647" w:name="Tc_fSE_8n9LXEG3qe4FETQQXA_22_9"/>
      <w:bookmarkStart w:id="648" w:name="Tc_UWDUgEiGCEaLOu2yn304nw_22_6"/>
      <w:bookmarkStart w:id="649" w:name="Tc_MiBGNh_GsEe6jpboTsHiqA_22_3"/>
      <w:bookmarkStart w:id="650" w:name="Tc_ULJtQka5yEad5ynS9v3Fsg_22_0"/>
      <w:bookmarkStart w:id="651" w:name="Tc_Wh_2VnYr-EO2R5nukdl-9Q_21_15"/>
      <w:bookmarkStart w:id="652" w:name="Tc_9QNrt2vO9k6LizWRMhHpDA_21_12"/>
      <w:bookmarkStart w:id="653" w:name="Tc_jv4ty8-5GUalqoCk670qxw_21_6"/>
      <w:bookmarkStart w:id="654" w:name="Tc_id7vRczzPEuEfzYtz6DUKA_21_3"/>
      <w:bookmarkStart w:id="655" w:name="Tc_A2IErSsjIEqLuC2o0Hrg1w_21_0"/>
      <w:bookmarkStart w:id="656" w:name="Tc_-18XWmHdhE2aUdyD6G7HLw_20_15"/>
      <w:bookmarkStart w:id="657" w:name="Tc_eOdGWjWZu0udDdefYhwDfA_20_12"/>
      <w:bookmarkStart w:id="658" w:name="Tc_CJD62DT_NkaodGhPMtl0QQ_20_9"/>
      <w:bookmarkStart w:id="659" w:name="Tc_FKmp2tvii0-T4jDHfOEtZg_20_3"/>
      <w:bookmarkStart w:id="660" w:name="Tc_nNsXnMatckWAXMBeTFSh2Q_20_0"/>
      <w:bookmarkStart w:id="661" w:name="Tc_Rp55SqfQ2ECMxUqAgJ_mXw_19_15"/>
      <w:bookmarkStart w:id="662" w:name="Tc_E2-rTHE96kmpj_ODsx6M8Q_19_12"/>
      <w:bookmarkStart w:id="663" w:name="Tc_wWs3yGQMIEGhlEt78GGj-A_19_9"/>
      <w:bookmarkStart w:id="664" w:name="Tc_20adzYKj7E6pYLxWQOnzhg_19_3"/>
      <w:bookmarkStart w:id="665" w:name="Tc_LxelmqO2MEaA5BlayVXMlw_19_0"/>
      <w:bookmarkStart w:id="666" w:name="Tc_n9y775ajgU6oymTCqmLUbA_18_18"/>
      <w:bookmarkStart w:id="667" w:name="Tc_l38OR7XmFk2FmHf3--uk_A_18_12"/>
      <w:bookmarkStart w:id="668" w:name="Tc_NDvrzFCorkG3kPKwI3nJPQ_18_9"/>
      <w:bookmarkStart w:id="669" w:name="Tc_5JguDgE2fkut8xpwskjAUA_18_3"/>
      <w:bookmarkStart w:id="670" w:name="Tc_k4I-suYkEkubGEpen6KLyQ_18_0"/>
      <w:bookmarkStart w:id="671" w:name="Tc_rWyzpVw9NkmZrnilUQPYVw_17_17"/>
      <w:bookmarkStart w:id="672" w:name="Tc_5pPt--NfFEq7xeNFJc8DRQ_17_14"/>
      <w:bookmarkStart w:id="673" w:name="Tc_p5yTRzasGU-KG4tRSkX4dg_17_11"/>
      <w:bookmarkStart w:id="674" w:name="Tc_ROxTLFLGNEycYg_jtuAVrg_17_8"/>
      <w:bookmarkStart w:id="675" w:name="Tc_lESkvHblNkaB5ZF_E6DwAw_17_5"/>
      <w:bookmarkStart w:id="676" w:name="Tc_Nj38HG5tO0W6jqRvgrTw0g_17_2"/>
      <w:bookmarkStart w:id="677" w:name="Tc_X8VYMoeHjECoK8UD8fGtug_17_0"/>
      <w:bookmarkStart w:id="678" w:name="Tc_OfwMgvIAHUOGZoo-eDeb_Q_15_17"/>
      <w:bookmarkStart w:id="679" w:name="Tc_6xD99UnRc0qJ9eCBzXyjVg_15_14"/>
      <w:bookmarkStart w:id="680" w:name="Tc_67F6lVWWpUuCrNZHfxYvjQ_15_11"/>
      <w:bookmarkStart w:id="681" w:name="Tc_MLRttffICEyLAHhNgr50PQ_15_8"/>
      <w:bookmarkStart w:id="682" w:name="Tc_bwfuj7dv5kWp423agQq0zw_15_5"/>
      <w:bookmarkStart w:id="683" w:name="Tc_exVM_7ofZUee6-JN4iE64w_15_2"/>
      <w:bookmarkStart w:id="684" w:name="Tc_CPGiG00WekeCWS_EwfdNfw_15_0"/>
      <w:bookmarkStart w:id="685" w:name="Tc_U93AGas3fEeYPOTWFEpZ9A_14_15"/>
      <w:bookmarkStart w:id="686" w:name="Tc_wGHdbhVZwUCEUmBFKWinsg_14_9"/>
      <w:bookmarkStart w:id="687" w:name="Tc_lxiZ9qkP4EagstvQZkaeSg_14_6"/>
      <w:bookmarkStart w:id="688" w:name="Tc_CjhY6d13DEyztGlRV-vNKg_14_3"/>
      <w:bookmarkStart w:id="689" w:name="Tc_CKR4YPi9n0mdFys3Ca6wSQ_14_0"/>
      <w:bookmarkStart w:id="690" w:name="Tc_UJ8FPCCTkUGWVyhHvVb9ow_13_15"/>
      <w:bookmarkStart w:id="691" w:name="Tc_4O8widP4GU-jPgJH4ZVVCg_13_12"/>
      <w:bookmarkStart w:id="692" w:name="Tc_WZaAp3P9B0Waa13R0Q3bxA_13_9"/>
      <w:bookmarkStart w:id="693" w:name="Tc_R1YSvIHrkE6mNhpAPt0reQ_13_3"/>
      <w:bookmarkStart w:id="694" w:name="Tc_lff6a1N2-ka5wC41HpnVEw_13_0"/>
      <w:bookmarkStart w:id="695" w:name="Tc_KN3gnbmJ3kmW9yAUed3aeQ_12_12"/>
      <w:bookmarkStart w:id="696" w:name="Tc_BgjJ5DeXXEK-PFq131kHQQ_12_9"/>
      <w:bookmarkStart w:id="697" w:name="Tc_44RczWW2PEmjo2QUzxxnsQ_12_6"/>
      <w:bookmarkStart w:id="698" w:name="Tc_le1gcvagdUeDFEZAzO0Chg_12_3"/>
      <w:bookmarkStart w:id="699" w:name="Tc_wrB5EJsHlE2j8mm_fERWfQ_12_0"/>
      <w:bookmarkStart w:id="700" w:name="Tc_N_yAQDZ2IUC9G9Im8S5kaw_11_12"/>
      <w:bookmarkStart w:id="701" w:name="Tc_p9_qbnDkFkuSdK2N-ySqdg_11_9"/>
      <w:bookmarkStart w:id="702" w:name="Tc_P-qcqIbdmE6yvqjzjo1EgQ_11_6"/>
      <w:bookmarkStart w:id="703" w:name="Tc_E6pSQdUDx0C5sYo0P_yu6A_11_3"/>
      <w:bookmarkStart w:id="704" w:name="Tc_PKOy3b7wXUCyqkIc1PFdhA_11_0"/>
      <w:bookmarkStart w:id="705" w:name="Tc_R8Sgr5a1zkiPaGpudLAjBw_10_15"/>
      <w:bookmarkStart w:id="706" w:name="Tc_VPeNmCDof0K7ISckISGBHw_10_12"/>
      <w:bookmarkStart w:id="707" w:name="Tc_xSWPzEemFkqtcVqseSoFvQ_10_6"/>
      <w:bookmarkStart w:id="708" w:name="Tc_FCZdJl-zTkSJgjiiXEfd_Q_10_3"/>
      <w:bookmarkStart w:id="709" w:name="Tc_PKc5qyQR5EKpSasTWWG0cA_10_0"/>
      <w:bookmarkStart w:id="710" w:name="Tc_-XD9iO48n0CCv5FksxLm7A_9_15"/>
      <w:bookmarkStart w:id="711" w:name="Tc_s8Lcgya0O0-lngDr1nMjDw_9_12"/>
      <w:bookmarkStart w:id="712" w:name="Tc_EPpPGyJzEUeEbZUkc2ozfg_9_9"/>
      <w:bookmarkStart w:id="713" w:name="Tc_YhX-h2gNLk6E7Sp82FMu6w_9_3"/>
      <w:bookmarkStart w:id="714" w:name="Tc_5GwiOnFsq0KHK6x7N5_bQg_9_0"/>
      <w:bookmarkStart w:id="715" w:name="Tc_KKXvXDhXIEyW7l36gg71CQ_8_18"/>
      <w:bookmarkStart w:id="716" w:name="Tc_A1h6QVnEI0OMMp60lWXgkQ_8_12"/>
      <w:bookmarkStart w:id="717" w:name="Tc_5wEIk4DMOE6IhVdty-5nWQ_8_9"/>
      <w:bookmarkStart w:id="718" w:name="Tc_EJ3t5NYj9k6lNVTcEJuFdg_8_3"/>
      <w:bookmarkStart w:id="719" w:name="Tc_mf0UHmRj40y-GaU1ryMGwQ_8_0"/>
      <w:bookmarkStart w:id="720" w:name="Tc_RnWtG4-BOkaYzJlIaXnY_g_7_17"/>
      <w:bookmarkStart w:id="721" w:name="Tc_9B_GcFWWuEGgkUJERfcKjA_7_14"/>
      <w:bookmarkStart w:id="722" w:name="Tc_S93yl_2x-kqQvhA9wf5h1Q_7_11"/>
      <w:bookmarkStart w:id="723" w:name="Tc_NB_t2Re51E6RXqIi47BrEQ_7_8"/>
      <w:bookmarkStart w:id="724" w:name="Tc_UeP7kPTMUkqV-SZ42dqaLw_7_5"/>
      <w:bookmarkStart w:id="725" w:name="Tc_zBedBzn5gEurN0CDbgDbyQ_7_2"/>
      <w:bookmarkStart w:id="726" w:name="Tc_t3cOIEW1Z0emFVMqgKsi7A_7_0"/>
      <w:bookmarkStart w:id="727" w:name="Tc_2hAT-jWx30-2AXNh88Xxbw_6_2"/>
      <w:bookmarkStart w:id="728" w:name="Tc_xs7cjM7kD025lMBjwa_atg_5_2"/>
      <w:bookmarkStart w:id="729" w:name="Tc_BC8Xz30NAUSZR53P-hPUjA_4_17"/>
      <w:bookmarkStart w:id="730" w:name="Tc_z24XVZRsOE2gM3_tcVxQNw_4_14"/>
      <w:bookmarkStart w:id="731" w:name="Tc_3GW5mTxbcEGEtoLZrSIxsQ_4_11"/>
      <w:bookmarkStart w:id="732" w:name="Tc_pV09L-XWnE6GS9qqu8lBNQ_4_8"/>
      <w:bookmarkStart w:id="733" w:name="Tc_is5dSuQeRECcG8u2P8nejg_4_5"/>
      <w:bookmarkStart w:id="734" w:name="Tc_JWeugedyv0iJPVbt3td4TA_4_2"/>
      <w:bookmarkStart w:id="735" w:name="Tc_Oc_bGO_luUySZOm006991A_3_14"/>
      <w:bookmarkStart w:id="736" w:name="Tc_xJWXZ2JP10KdrPVukliMZQ_3_11"/>
      <w:bookmarkStart w:id="737" w:name="Tc_KUbbpFuoKEqkk-0rMm-18A_3_8"/>
      <w:bookmarkStart w:id="738" w:name="Tc_GOfq_0Rs9Uq5qow7m_Un0Q_3_5"/>
      <w:bookmarkStart w:id="739" w:name="Tc_MUBSiHZ_VUSruDOc1WRjig_3_2"/>
      <w:bookmarkStart w:id="740" w:name="Tc_S-eMbv1XsEqfTKGJ08sEIg_2_14"/>
      <w:bookmarkStart w:id="741" w:name="Tc_ZbkZ6BSutECvFCIzzUnGHA_2_8"/>
      <w:bookmarkStart w:id="742" w:name="Tc_Z9g9q19RvUCPNq3BOeMBew_2_5"/>
      <w:bookmarkStart w:id="743" w:name="Tc_rUDGwt2jQ0O1rF4S-9Uyvw_1_14"/>
      <w:bookmarkStart w:id="744" w:name="Tc_KlYeaBUK7Uu2pUeYnkfZsw_1_8"/>
      <w:bookmarkStart w:id="745" w:name="_11f4119a_33e1_4756_b84d_a1cf16849e20"/>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p>
    <w:tbl>
      <w:tblPr>
        <w:tblW w:w="10205" w:type="dxa"/>
        <w:jc w:val="left"/>
        <w:tblInd w:w="0" w:type="dxa"/>
        <w:tblLayout w:type="fixed"/>
        <w:tblCellMar>
          <w:top w:w="0" w:type="dxa"/>
          <w:left w:w="0" w:type="dxa"/>
          <w:bottom w:w="0" w:type="dxa"/>
          <w:right w:w="0" w:type="dxa"/>
        </w:tblCellMar>
      </w:tblPr>
      <w:tblGrid>
        <w:gridCol w:w="1822"/>
        <w:gridCol w:w="326"/>
        <w:gridCol w:w="255"/>
        <w:gridCol w:w="511"/>
        <w:gridCol w:w="326"/>
        <w:gridCol w:w="211"/>
        <w:gridCol w:w="783"/>
        <w:gridCol w:w="326"/>
        <w:gridCol w:w="270"/>
        <w:gridCol w:w="946"/>
        <w:gridCol w:w="326"/>
        <w:gridCol w:w="211"/>
        <w:gridCol w:w="931"/>
        <w:gridCol w:w="326"/>
        <w:gridCol w:w="211"/>
        <w:gridCol w:w="850"/>
        <w:gridCol w:w="326"/>
        <w:gridCol w:w="211"/>
        <w:gridCol w:w="1037"/>
      </w:tblGrid>
      <w:tr>
        <w:trPr/>
        <w:tc>
          <w:tcPr>
            <w:tcW w:w="1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156970" cy="175260"/>
                      <wp:effectExtent l="0" t="0" r="0" b="0"/>
                      <wp:wrapNone/>
                      <wp:docPr id="23" name="Frame23"/>
                      <a:graphic xmlns:a="http://schemas.openxmlformats.org/drawingml/2006/main">
                        <a:graphicData uri="http://schemas.microsoft.com/office/word/2010/wordprocessingShape">
                          <wps:wsp>
                            <wps:cNvSpPr txBox="1"/>
                            <wps:spPr>
                              <a:xfrm>
                                <a:off x="0" y="0"/>
                                <a:ext cx="1156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4"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324485" cy="175260"/>
                      <wp:effectExtent l="0" t="0" r="0" b="0"/>
                      <wp:wrapNone/>
                      <wp:docPr id="25" name="Frame25"/>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6" name="Frame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497205" cy="175260"/>
                      <wp:effectExtent l="0" t="0" r="0" b="0"/>
                      <wp:wrapNone/>
                      <wp:docPr id="27" name="Frame27"/>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8" name="Frame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00710" cy="175260"/>
                      <wp:effectExtent l="0" t="0" r="0" b="0"/>
                      <wp:wrapNone/>
                      <wp:docPr id="29" name="Frame29"/>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30"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591185" cy="175260"/>
                      <wp:effectExtent l="0" t="0" r="0" b="0"/>
                      <wp:wrapNone/>
                      <wp:docPr id="31" name="Frame3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2" name="Frame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1"/>
              <w:ind w:left="0" w:right="0" w:hanging="0"/>
              <w:jc w:val="left"/>
              <w:rPr/>
            </w:pPr>
            <w:r>
              <w:rPr/>
              <w:t>​</w:t>
            </w:r>
          </w:p>
        </w:tc>
        <w:tc>
          <w:tcPr>
            <w:tcW w:w="8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539750" cy="175260"/>
                      <wp:effectExtent l="0" t="0" r="0" b="0"/>
                      <wp:wrapNone/>
                      <wp:docPr id="33" name="Frame33"/>
                      <a:graphic xmlns:a="http://schemas.openxmlformats.org/drawingml/2006/main">
                        <a:graphicData uri="http://schemas.microsoft.com/office/word/2010/wordprocessingShape">
                          <wps:wsp>
                            <wps:cNvSpPr txBox="1"/>
                            <wps:spPr>
                              <a:xfrm>
                                <a:off x="0" y="0"/>
                                <a:ext cx="539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7010" cy="175260"/>
                      <wp:effectExtent l="0" t="0" r="0" b="0"/>
                      <wp:wrapNone/>
                      <wp:docPr id="34" name="Frame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1"/>
              <w:ind w:left="0" w:right="0" w:hanging="0"/>
              <w:jc w:val="left"/>
              <w:rPr/>
            </w:pPr>
            <w:r>
              <w:rPr/>
              <w:t>​</w:t>
            </w:r>
          </w:p>
        </w:tc>
        <w:tc>
          <w:tcPr>
            <w:tcW w:w="10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58495" cy="175260"/>
                      <wp:effectExtent l="0" t="0" r="0" b="0"/>
                      <wp:wrapNone/>
                      <wp:docPr id="35" name="Frame35"/>
                      <a:graphic xmlns:a="http://schemas.openxmlformats.org/drawingml/2006/main">
                        <a:graphicData uri="http://schemas.microsoft.com/office/word/2010/wordprocessingShape">
                          <wps:wsp>
                            <wps:cNvSpPr txBox="1"/>
                            <wps:spPr>
                              <a:xfrm>
                                <a:off x="0" y="0"/>
                                <a:ext cx="658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2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Accumulated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7" w:type="dxa"/>
            <w:tcBorders/>
            <w:vAlign w:val="center"/>
          </w:tcPr>
          <w:p>
            <w:pPr>
              <w:pStyle w:val="TableContents"/>
              <w:bidi w:val="0"/>
              <w:spacing w:before="0" w:after="1"/>
              <w:ind w:left="0" w:right="0" w:hanging="0"/>
              <w:jc w:val="right"/>
              <w:rPr/>
            </w:pPr>
            <w:r>
              <w:rPr/>
              <w:t>​</w:t>
            </w:r>
          </w:p>
        </w:tc>
      </w:tr>
      <w:tr>
        <w:trPr/>
        <w:tc>
          <w:tcPr>
            <w:tcW w:w="182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9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26" w:type="dxa"/>
            <w:tcBorders/>
            <w:vAlign w:val="center"/>
          </w:tcPr>
          <w:p>
            <w:pPr>
              <w:pStyle w:val="TableContents"/>
              <w:bidi w:val="0"/>
              <w:spacing w:before="0" w:after="1"/>
              <w:ind w:left="0" w:right="0" w:hanging="0"/>
              <w:jc w:val="left"/>
              <w:rPr/>
            </w:pPr>
            <w:r>
              <w:rPr/>
              <w:t>​</w:t>
            </w:r>
          </w:p>
        </w:tc>
        <w:tc>
          <w:tcPr>
            <w:tcW w:w="1248" w:type="dxa"/>
            <w:gridSpan w:val="2"/>
            <w:tcBorders/>
            <w:vAlign w:val="center"/>
          </w:tcPr>
          <w:p>
            <w:pPr>
              <w:pStyle w:val="TableContents"/>
              <w:bidi w:val="0"/>
              <w:spacing w:before="0" w:after="1"/>
              <w:ind w:left="0" w:right="0" w:hanging="0"/>
              <w:jc w:val="center"/>
              <w:rPr/>
            </w:pPr>
            <w:r>
              <w:rPr/>
              <w:t>​</w:t>
            </w:r>
          </w:p>
        </w:tc>
      </w:tr>
      <w:tr>
        <w:trPr/>
        <w:tc>
          <w:tcPr>
            <w:tcW w:w="182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26" w:type="dxa"/>
            <w:tcBorders/>
            <w:vAlign w:val="center"/>
          </w:tcPr>
          <w:p>
            <w:pPr>
              <w:pStyle w:val="TableContents"/>
              <w:bidi w:val="0"/>
              <w:spacing w:before="0" w:after="1"/>
              <w:ind w:left="0" w:right="0" w:hanging="0"/>
              <w:jc w:val="left"/>
              <w:rPr/>
            </w:pPr>
            <w:r>
              <w:rPr/>
              <w:t>​</w:t>
            </w:r>
          </w:p>
        </w:tc>
        <w:tc>
          <w:tcPr>
            <w:tcW w:w="99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vAlign w:val="center"/>
          </w:tcPr>
          <w:p>
            <w:pPr>
              <w:pStyle w:val="TableContents"/>
              <w:bidi w:val="0"/>
              <w:spacing w:before="0" w:after="1"/>
              <w:ind w:left="0" w:right="0" w:hanging="0"/>
              <w:jc w:val="left"/>
              <w:rPr/>
            </w:pPr>
            <w:r>
              <w:rPr/>
              <w:t>​</w:t>
            </w:r>
          </w:p>
        </w:tc>
        <w:tc>
          <w:tcPr>
            <w:tcW w:w="10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Held In</w:t>
            </w:r>
          </w:p>
        </w:tc>
        <w:tc>
          <w:tcPr>
            <w:tcW w:w="326" w:type="dxa"/>
            <w:tcBorders/>
            <w:vAlign w:val="center"/>
          </w:tcPr>
          <w:p>
            <w:pPr>
              <w:pStyle w:val="TableContents"/>
              <w:bidi w:val="0"/>
              <w:spacing w:before="0" w:after="1"/>
              <w:ind w:left="0" w:right="0" w:hanging="0"/>
              <w:jc w:val="left"/>
              <w:rPr/>
            </w:pPr>
            <w:r>
              <w:rPr/>
              <w:t>​</w:t>
            </w:r>
          </w:p>
        </w:tc>
        <w:tc>
          <w:tcPr>
            <w:tcW w:w="1248" w:type="dxa"/>
            <w:gridSpan w:val="2"/>
            <w:tcBorders/>
            <w:vAlign w:val="center"/>
          </w:tcPr>
          <w:p>
            <w:pPr>
              <w:pStyle w:val="TableContents"/>
              <w:bidi w:val="0"/>
              <w:spacing w:before="0" w:after="1"/>
              <w:ind w:left="0" w:right="0" w:hanging="0"/>
              <w:jc w:val="center"/>
              <w:rPr/>
            </w:pPr>
            <w:r>
              <w:rPr/>
              <w:t>​</w:t>
            </w:r>
          </w:p>
        </w:tc>
      </w:tr>
      <w:tr>
        <w:trPr/>
        <w:tc>
          <w:tcPr>
            <w:tcW w:w="182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26" w:type="dxa"/>
            <w:tcBorders/>
            <w:vAlign w:val="center"/>
          </w:tcPr>
          <w:p>
            <w:pPr>
              <w:pStyle w:val="TableContents"/>
              <w:bidi w:val="0"/>
              <w:spacing w:before="0" w:after="1"/>
              <w:ind w:left="0" w:right="0" w:hanging="0"/>
              <w:jc w:val="left"/>
              <w:rPr/>
            </w:pPr>
            <w:r>
              <w:rPr/>
              <w:t>    </w:t>
            </w:r>
          </w:p>
        </w:tc>
        <w:tc>
          <w:tcPr>
            <w:tcW w:w="99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Loss </w:t>
            </w:r>
          </w:p>
        </w:tc>
        <w:tc>
          <w:tcPr>
            <w:tcW w:w="326" w:type="dxa"/>
            <w:tcBorders/>
            <w:vAlign w:val="center"/>
          </w:tcPr>
          <w:p>
            <w:pPr>
              <w:pStyle w:val="TableContents"/>
              <w:bidi w:val="0"/>
              <w:spacing w:before="0" w:after="1"/>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1"/>
              <w:ind w:left="0" w:right="0" w:hanging="0"/>
              <w:jc w:val="left"/>
              <w:rPr/>
            </w:pPr>
            <w:r>
              <w:rPr/>
              <w:t>    </w:t>
            </w:r>
          </w:p>
        </w:tc>
        <w:tc>
          <w:tcPr>
            <w:tcW w:w="10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326" w:type="dxa"/>
            <w:tcBorders/>
            <w:vAlign w:val="center"/>
          </w:tcPr>
          <w:p>
            <w:pPr>
              <w:pStyle w:val="TableContents"/>
              <w:bidi w:val="0"/>
              <w:spacing w:before="0" w:after="1"/>
              <w:ind w:left="0" w:right="0" w:hanging="0"/>
              <w:jc w:val="left"/>
              <w:rPr/>
            </w:pPr>
            <w:r>
              <w:rPr/>
              <w:t>    </w:t>
            </w:r>
          </w:p>
        </w:tc>
        <w:tc>
          <w:tcPr>
            <w:tcW w:w="124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0205"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182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057" w:type="dxa"/>
            <w:gridSpan w:val="17"/>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182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057" w:type="dxa"/>
            <w:gridSpan w:val="17"/>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8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April 30, 2024</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450,844</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(10,090)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1,165,914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(87,057)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1,519,875</w:t>
            </w:r>
          </w:p>
        </w:tc>
      </w:tr>
      <w:tr>
        <w:trPr/>
        <w:tc>
          <w:tcPr>
            <w:tcW w:w="18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awards vested, net</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(2,625)</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7" w:type="dxa"/>
            <w:tcBorders/>
            <w:vAlign w:val="center"/>
          </w:tcPr>
          <w:p>
            <w:pPr>
              <w:pStyle w:val="TableContents"/>
              <w:bidi w:val="0"/>
              <w:spacing w:before="0" w:after="1"/>
              <w:ind w:left="0" w:right="0" w:hanging="0"/>
              <w:jc w:val="right"/>
              <w:rPr/>
            </w:pPr>
            <w:r>
              <w:rPr/>
              <w:t>—</w:t>
            </w:r>
          </w:p>
        </w:tc>
      </w:tr>
      <w:tr>
        <w:trPr/>
        <w:tc>
          <w:tcPr>
            <w:tcW w:w="18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Share-based compensation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5,528</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5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5,528</w:t>
            </w:r>
          </w:p>
        </w:tc>
      </w:tr>
      <w:tr>
        <w:trPr/>
        <w:tc>
          <w:tcPr>
            <w:tcW w:w="18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loss, net</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(1,979)</w:t>
            </w:r>
          </w:p>
        </w:tc>
      </w:tr>
      <w:tr>
        <w:trPr/>
        <w:tc>
          <w:tcPr>
            <w:tcW w:w="18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Repurchases of common stock</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(31,623)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(31,623)</w:t>
            </w:r>
          </w:p>
        </w:tc>
      </w:tr>
      <w:tr>
        <w:trPr/>
        <w:tc>
          <w:tcPr>
            <w:tcW w:w="18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Excise tax on stock repurchases</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(636)</w:t>
            </w:r>
          </w:p>
        </w:tc>
      </w:tr>
      <w:tr>
        <w:trPr/>
        <w:tc>
          <w:tcPr>
            <w:tcW w:w="18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Reduction of noncontrolling interest</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(2,742)</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5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(2,742)</w:t>
            </w:r>
          </w:p>
        </w:tc>
      </w:tr>
      <w:tr>
        <w:trPr/>
        <w:tc>
          <w:tcPr>
            <w:tcW w:w="18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attributable to G-III Apparel Group, Ltd.</w:t>
            </w:r>
          </w:p>
        </w:tc>
        <w:tc>
          <w:tcPr>
            <w:tcW w:w="326" w:type="dxa"/>
            <w:tcBorders/>
            <w:vAlign w:val="center"/>
          </w:tcPr>
          <w:p>
            <w:pPr>
              <w:pStyle w:val="TableContents"/>
              <w:bidi w:val="0"/>
              <w:spacing w:before="0" w:after="1"/>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24,212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24,212</w:t>
            </w:r>
          </w:p>
        </w:tc>
      </w:tr>
      <w:tr>
        <w:trPr/>
        <w:tc>
          <w:tcPr>
            <w:tcW w:w="18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July 31, 2024</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451,005</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(12,069)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1,190,126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(116,691)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1,512,635</w:t>
            </w:r>
          </w:p>
        </w:tc>
      </w:tr>
      <w:tr>
        <w:trPr/>
        <w:tc>
          <w:tcPr>
            <w:tcW w:w="182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7" w:type="dxa"/>
            <w:tcBorders/>
            <w:vAlign w:val="center"/>
          </w:tcPr>
          <w:p>
            <w:pPr>
              <w:pStyle w:val="TableContents"/>
              <w:bidi w:val="0"/>
              <w:spacing w:before="0" w:after="1"/>
              <w:ind w:left="0" w:right="0" w:hanging="0"/>
              <w:jc w:val="left"/>
              <w:rPr/>
            </w:pPr>
            <w:r>
              <w:rPr/>
              <w:t>​</w:t>
            </w:r>
          </w:p>
        </w:tc>
      </w:tr>
      <w:tr>
        <w:trPr/>
        <w:tc>
          <w:tcPr>
            <w:tcW w:w="18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April 30, 2023</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472,474</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(6,936)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987,180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(72,535)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1,380,447</w:t>
            </w:r>
          </w:p>
        </w:tc>
      </w:tr>
      <w:tr>
        <w:trPr/>
        <w:tc>
          <w:tcPr>
            <w:tcW w:w="18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awards vested, net</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(15,940)</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15,940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7" w:type="dxa"/>
            <w:tcBorders/>
            <w:vAlign w:val="center"/>
          </w:tcPr>
          <w:p>
            <w:pPr>
              <w:pStyle w:val="TableContents"/>
              <w:bidi w:val="0"/>
              <w:spacing w:before="0" w:after="1"/>
              <w:ind w:left="0" w:right="0" w:hanging="0"/>
              <w:jc w:val="right"/>
              <w:rPr/>
            </w:pPr>
            <w:r>
              <w:rPr/>
              <w:t>—</w:t>
            </w:r>
          </w:p>
        </w:tc>
      </w:tr>
      <w:tr>
        <w:trPr/>
        <w:tc>
          <w:tcPr>
            <w:tcW w:w="18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Share-based compensation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3,001</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5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3,001</w:t>
            </w:r>
          </w:p>
        </w:tc>
      </w:tr>
      <w:tr>
        <w:trPr/>
        <w:tc>
          <w:tcPr>
            <w:tcW w:w="18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Taxes paid for net share settlements</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(10,773)</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(10,773)</w:t>
            </w:r>
          </w:p>
        </w:tc>
      </w:tr>
      <w:tr>
        <w:trPr/>
        <w:tc>
          <w:tcPr>
            <w:tcW w:w="18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net</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5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2,333</w:t>
            </w:r>
          </w:p>
        </w:tc>
      </w:tr>
      <w:tr>
        <w:trPr/>
        <w:tc>
          <w:tcPr>
            <w:tcW w:w="18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Repurchases of common stock</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(9,331)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(9,331)</w:t>
            </w:r>
          </w:p>
        </w:tc>
      </w:tr>
      <w:tr>
        <w:trPr/>
        <w:tc>
          <w:tcPr>
            <w:tcW w:w="18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attributable to G-III Apparel Group, Ltd.</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16,438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16,438</w:t>
            </w:r>
          </w:p>
        </w:tc>
      </w:tr>
      <w:tr>
        <w:trPr/>
        <w:tc>
          <w:tcPr>
            <w:tcW w:w="18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July 31, 2023</w:t>
            </w:r>
          </w:p>
        </w:tc>
        <w:tc>
          <w:tcPr>
            <w:tcW w:w="326" w:type="dxa"/>
            <w:tcBorders/>
            <w:vAlign w:val="center"/>
          </w:tcPr>
          <w:p>
            <w:pPr>
              <w:pStyle w:val="TableContents"/>
              <w:bidi w:val="0"/>
              <w:spacing w:before="0" w:after="1"/>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448,762</w:t>
            </w:r>
          </w:p>
        </w:tc>
        <w:tc>
          <w:tcPr>
            <w:tcW w:w="326" w:type="dxa"/>
            <w:tcBorders/>
            <w:vAlign w:val="center"/>
          </w:tcPr>
          <w:p>
            <w:pPr>
              <w:pStyle w:val="TableContents"/>
              <w:bidi w:val="0"/>
              <w:spacing w:before="0" w:after="1"/>
              <w:ind w:left="0" w:right="0" w:hanging="0"/>
              <w:jc w:val="left"/>
              <w:rPr/>
            </w:pPr>
            <w:r>
              <w:rPr/>
              <w:t>​</w:t>
            </w:r>
          </w:p>
        </w:tc>
        <w:tc>
          <w:tcPr>
            <w:tcW w:w="27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1,003,618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(65,926)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1,382,115</w:t>
            </w:r>
          </w:p>
        </w:tc>
      </w:tr>
      <w:tr>
        <w:trPr/>
        <w:tc>
          <w:tcPr>
            <w:tcW w:w="182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7" w:type="dxa"/>
            <w:tcBorders/>
            <w:vAlign w:val="center"/>
          </w:tcPr>
          <w:p>
            <w:pPr>
              <w:pStyle w:val="TableContents"/>
              <w:bidi w:val="0"/>
              <w:spacing w:before="0" w:after="1"/>
              <w:ind w:left="0" w:right="0" w:hanging="0"/>
              <w:jc w:val="left"/>
              <w:rPr/>
            </w:pPr>
            <w:r>
              <w:rPr/>
              <w:t>​</w:t>
            </w:r>
          </w:p>
        </w:tc>
      </w:tr>
      <w:tr>
        <w:trPr/>
        <w:tc>
          <w:tcPr>
            <w:tcW w:w="18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January 31, 2024</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458,841</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1,160,112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(65,750)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1,550,260</w:t>
            </w:r>
          </w:p>
        </w:tc>
      </w:tr>
      <w:tr>
        <w:trPr/>
        <w:tc>
          <w:tcPr>
            <w:tcW w:w="18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awards vested, net</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(9,668)</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9,668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7" w:type="dxa"/>
            <w:tcBorders/>
            <w:vAlign w:val="center"/>
          </w:tcPr>
          <w:p>
            <w:pPr>
              <w:pStyle w:val="TableContents"/>
              <w:bidi w:val="0"/>
              <w:spacing w:before="0" w:after="1"/>
              <w:ind w:left="0" w:right="0" w:hanging="0"/>
              <w:jc w:val="right"/>
              <w:rPr/>
            </w:pPr>
            <w:r>
              <w:rPr/>
              <w:t>—</w:t>
            </w:r>
          </w:p>
        </w:tc>
      </w:tr>
      <w:tr>
        <w:trPr/>
        <w:tc>
          <w:tcPr>
            <w:tcW w:w="18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Share-based compensation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12,108</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5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12,108</w:t>
            </w:r>
          </w:p>
        </w:tc>
      </w:tr>
      <w:tr>
        <w:trPr/>
        <w:tc>
          <w:tcPr>
            <w:tcW w:w="18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Taxes paid for net share settlements</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(7,534)</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(7,534)</w:t>
            </w:r>
          </w:p>
        </w:tc>
      </w:tr>
      <w:tr>
        <w:trPr/>
        <w:tc>
          <w:tcPr>
            <w:tcW w:w="18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loss, net</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(8,862)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5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(8,862)</w:t>
            </w:r>
          </w:p>
        </w:tc>
      </w:tr>
      <w:tr>
        <w:trPr/>
        <w:tc>
          <w:tcPr>
            <w:tcW w:w="18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Repurchases of common stock</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(59,973)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(59,973)</w:t>
            </w:r>
          </w:p>
        </w:tc>
      </w:tr>
      <w:tr>
        <w:trPr/>
        <w:tc>
          <w:tcPr>
            <w:tcW w:w="18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Excise tax on stock repurchases</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(636)</w:t>
            </w:r>
          </w:p>
        </w:tc>
      </w:tr>
      <w:tr>
        <w:trPr/>
        <w:tc>
          <w:tcPr>
            <w:tcW w:w="18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Reduction of noncontrolling interest</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(2,742)</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(2,742)</w:t>
            </w:r>
          </w:p>
        </w:tc>
      </w:tr>
      <w:tr>
        <w:trPr/>
        <w:tc>
          <w:tcPr>
            <w:tcW w:w="18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attributable to G-III Apparel Group, Ltd.</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30,014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30,014</w:t>
            </w:r>
          </w:p>
        </w:tc>
      </w:tr>
      <w:tr>
        <w:trPr/>
        <w:tc>
          <w:tcPr>
            <w:tcW w:w="18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July 31, 2024</w:t>
            </w:r>
          </w:p>
        </w:tc>
        <w:tc>
          <w:tcPr>
            <w:tcW w:w="326" w:type="dxa"/>
            <w:tcBorders/>
            <w:vAlign w:val="center"/>
          </w:tcPr>
          <w:p>
            <w:pPr>
              <w:pStyle w:val="TableContents"/>
              <w:bidi w:val="0"/>
              <w:spacing w:before="0" w:after="1"/>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451,005</w:t>
            </w:r>
          </w:p>
        </w:tc>
        <w:tc>
          <w:tcPr>
            <w:tcW w:w="326" w:type="dxa"/>
            <w:tcBorders/>
            <w:vAlign w:val="center"/>
          </w:tcPr>
          <w:p>
            <w:pPr>
              <w:pStyle w:val="TableContents"/>
              <w:bidi w:val="0"/>
              <w:spacing w:before="0" w:after="1"/>
              <w:ind w:left="0" w:right="0" w:hanging="0"/>
              <w:jc w:val="left"/>
              <w:rPr/>
            </w:pPr>
            <w:r>
              <w:rPr/>
              <w:t>​</w:t>
            </w:r>
          </w:p>
        </w:tc>
        <w:tc>
          <w:tcPr>
            <w:tcW w:w="27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(12,069)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1,190,126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(116,691)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1,512,635</w:t>
            </w:r>
          </w:p>
        </w:tc>
      </w:tr>
      <w:tr>
        <w:trPr/>
        <w:tc>
          <w:tcPr>
            <w:tcW w:w="182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50"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7" w:type="dxa"/>
            <w:tcBorders/>
            <w:shd w:fill="CCEEFF" w:val="clear"/>
            <w:vAlign w:val="center"/>
          </w:tcPr>
          <w:p>
            <w:pPr>
              <w:pStyle w:val="TableContents"/>
              <w:bidi w:val="0"/>
              <w:spacing w:before="0" w:after="1"/>
              <w:ind w:left="0" w:right="0" w:hanging="0"/>
              <w:jc w:val="left"/>
              <w:rPr/>
            </w:pPr>
            <w:r>
              <w:rPr/>
              <w:t>​</w:t>
            </w:r>
          </w:p>
        </w:tc>
      </w:tr>
      <w:tr>
        <w:trPr/>
        <w:tc>
          <w:tcPr>
            <w:tcW w:w="18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January 31, 2023</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468,712</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(11,653)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983,944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(55,819)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1,385,448</w:t>
            </w:r>
          </w:p>
        </w:tc>
      </w:tr>
      <w:tr>
        <w:trPr/>
        <w:tc>
          <w:tcPr>
            <w:tcW w:w="18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awards vested, net</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(15,993)</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15,993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7" w:type="dxa"/>
            <w:tcBorders/>
            <w:shd w:fill="CCEEFF" w:val="clear"/>
            <w:vAlign w:val="center"/>
          </w:tcPr>
          <w:p>
            <w:pPr>
              <w:pStyle w:val="TableContents"/>
              <w:bidi w:val="0"/>
              <w:spacing w:before="0" w:after="1"/>
              <w:ind w:left="0" w:right="0" w:hanging="0"/>
              <w:jc w:val="right"/>
              <w:rPr/>
            </w:pPr>
            <w:r>
              <w:rPr/>
              <w:t>—</w:t>
            </w:r>
          </w:p>
        </w:tc>
      </w:tr>
      <w:tr>
        <w:trPr/>
        <w:tc>
          <w:tcPr>
            <w:tcW w:w="18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Share-based compensation expense</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6,838</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6,838</w:t>
            </w:r>
          </w:p>
        </w:tc>
      </w:tr>
      <w:tr>
        <w:trPr/>
        <w:tc>
          <w:tcPr>
            <w:tcW w:w="18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Taxes paid for net share settlements</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(10,795)</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5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(10,795)</w:t>
            </w:r>
          </w:p>
        </w:tc>
      </w:tr>
      <w:tr>
        <w:trPr/>
        <w:tc>
          <w:tcPr>
            <w:tcW w:w="18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net</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7,050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7,050</w:t>
            </w:r>
          </w:p>
        </w:tc>
      </w:tr>
      <w:tr>
        <w:trPr/>
        <w:tc>
          <w:tcPr>
            <w:tcW w:w="18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Repurchases of common stock</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(26,100)</w:t>
            </w:r>
          </w:p>
        </w:tc>
      </w:tr>
      <w:tr>
        <w:trPr/>
        <w:tc>
          <w:tcPr>
            <w:tcW w:w="18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attributable to G-III Apparel Group, Ltd.</w:t>
            </w:r>
          </w:p>
        </w:tc>
        <w:tc>
          <w:tcPr>
            <w:tcW w:w="326" w:type="dxa"/>
            <w:tcBorders/>
            <w:vAlign w:val="center"/>
          </w:tcPr>
          <w:p>
            <w:pPr>
              <w:pStyle w:val="TableContents"/>
              <w:bidi w:val="0"/>
              <w:spacing w:before="0" w:after="1"/>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19,674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19,674</w:t>
            </w:r>
          </w:p>
        </w:tc>
      </w:tr>
      <w:tr>
        <w:trPr/>
        <w:tc>
          <w:tcPr>
            <w:tcW w:w="18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July 31, 2023</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448,762</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1,003,618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(65,926)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1,382,115</w:t>
            </w:r>
          </w:p>
        </w:tc>
      </w:tr>
    </w:tbl>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statements.</w:t>
      </w:r>
    </w:p>
    <w:p>
      <w:pPr>
        <w:pStyle w:val="TextBody"/>
        <w:bidi w:val="0"/>
        <w:spacing w:before="0" w:after="24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746" w:name="_4c21c090_e47d_48e0_840e_ffb787788527"/>
      <w:bookmarkEnd w:id="746"/>
      <w:r>
        <w:rPr>
          <w:rFonts w:ascii="Times New Roman;Times;serif" w:hAnsi="Times New Roman;Times;serif"/>
          <w:b/>
          <w:sz w:val="20"/>
        </w:rPr>
        <w:t>G-III APPAREL GROUP, LTD. AND SUBSIDIARIES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747" w:name="CASHFLOWS_572760"/>
      <w:bookmarkEnd w:id="747"/>
      <w:r>
        <w:rPr>
          <w:rFonts w:ascii="Times New Roman;Times;serif" w:hAnsi="Times New Roman;Times;serif"/>
          <w:b/>
          <w:sz w:val="20"/>
        </w:rPr>
        <w:t>CONDENSED CONSOLIDATED STATEMENTS OF CASH FLOWS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748" w:name="Tc_qx1SlMxgIE-c3AtyudlPbg_53_6"/>
      <w:bookmarkStart w:id="749" w:name="Tc_JFfcinZsDUaWuPnNYXImiw_53_5"/>
      <w:bookmarkStart w:id="750" w:name="Tc_W-cQMjR40EuVQbnnb6o0-g_53_2"/>
      <w:bookmarkStart w:id="751" w:name="Tc_aS8WxxRAakGgElkyb25pzg_53_0"/>
      <w:bookmarkStart w:id="752" w:name="Tc_h7f8VMbuykWLJfu9EGKmaw_52_5"/>
      <w:bookmarkStart w:id="753" w:name="Tc_cq7s5mKILUiG35ZpQ53lEQ_52_2"/>
      <w:bookmarkStart w:id="754" w:name="Tc_VP_gvqtuY02RrjLyf8qHog_52_0"/>
      <w:bookmarkStart w:id="755" w:name="Tc_jn4cEPbqAUm_-yr_eZQmdQ_51_5"/>
      <w:bookmarkStart w:id="756" w:name="Tc_2NdqEA84RESmWfH2S4uhtA_51_2"/>
      <w:bookmarkStart w:id="757" w:name="Tc_9x0ztuz6-06-AlMtXMd7jA_51_0"/>
      <w:bookmarkStart w:id="758" w:name="Tc_97t_FVi0BEKYIbfYgyhLmw_50_0"/>
      <w:bookmarkStart w:id="759" w:name="Tc_4jbQs6tv_kCNgOHz8jcPHw_49_0"/>
      <w:bookmarkStart w:id="760" w:name="Tc_xvAC8cqPMEucbnn1xrfaMw_47_5"/>
      <w:bookmarkStart w:id="761" w:name="Tc_ERZiKSL7iE67UFU8GZE5yw_47_2"/>
      <w:bookmarkStart w:id="762" w:name="Tc_I1IH0gaS7ECL7fpqHl0vQw_47_0"/>
      <w:bookmarkStart w:id="763" w:name="Tc_zKK6qlDNJUKfIJow5JNK2A_46_0"/>
      <w:bookmarkStart w:id="764" w:name="Tc_6OGP1RbA3kqCM6TVe7VKxA_45_0"/>
      <w:bookmarkStart w:id="765" w:name="Tc__cIUcGzCh0-u0ePB45b_1A_44_0"/>
      <w:bookmarkStart w:id="766" w:name="Tc_p9bo-2hUqU6B4d_semSj_A_42_0"/>
      <w:bookmarkStart w:id="767" w:name="Tc_e5RgVOIO0kGgu8IACzVnEw_41_0"/>
      <w:bookmarkStart w:id="768" w:name="Tc_RLfIsLI-502CpVE6H3QHDQ_40_0"/>
      <w:bookmarkStart w:id="769" w:name="Tc_XeQkl5z0SkWB1b5chfH1-A_39_6"/>
      <w:bookmarkStart w:id="770" w:name="Tc_CUSS2fgwLEiqPM6inZ0x3w_39_0"/>
      <w:bookmarkStart w:id="771" w:name="Tc_2grX7VU3OUehxfAiiS2jaQ_38_0"/>
      <w:bookmarkStart w:id="772" w:name="Tc_tZ2nuwyI40md6fAWBeGRAA_37_0"/>
      <w:bookmarkStart w:id="773" w:name="Tc_YNFqz7LjskK_jJnRm9wRDA_36_3"/>
      <w:bookmarkStart w:id="774" w:name="Tc_7WkAySDToka5iBvOzcAxFw_36_0"/>
      <w:bookmarkStart w:id="775" w:name="Tc_FIWSgQnz0Uqqy-sNzy_uTQ_35_0"/>
      <w:bookmarkStart w:id="776" w:name="Tc_o_9P4xg2eUeozR9Ik16d1Q_34_0"/>
      <w:bookmarkStart w:id="777" w:name="Tc_evzSFe3FEE-dRYnlTzE4bA_33_0"/>
      <w:bookmarkStart w:id="778" w:name="Tc_xQnqN4YtvkiSydeGrmZcTw_31_0"/>
      <w:bookmarkStart w:id="779" w:name="Tc_5we2dv2zzkqO36x4tcOtKw_30_0"/>
      <w:bookmarkStart w:id="780" w:name="Tc_TR9gZlH_K0GLc4NyhMwN4g_29_0"/>
      <w:bookmarkStart w:id="781" w:name="Tc_WAu4anhhcEq-394Kv26FUw_28_6"/>
      <w:bookmarkStart w:id="782" w:name="Tc_GhVICzA3G0SgklDv_V9sRw_28_0"/>
      <w:bookmarkStart w:id="783" w:name="Tc_Hi8umZRIaE6ZZX8ZkSCwLA_27_0"/>
      <w:bookmarkStart w:id="784" w:name="Tc_sx4upiAaSEii_CPoGUhIRg_26_0"/>
      <w:bookmarkStart w:id="785" w:name="Tc_aIR6VU9pL0-k-E33YR2hYw_24_0"/>
      <w:bookmarkStart w:id="786" w:name="Tc_U_Pm-38tekOyQdZWHgV4VQ_23_0"/>
      <w:bookmarkStart w:id="787" w:name="Tc_MBGdmcro-UWJlUqvYbsOLw_22_0"/>
      <w:bookmarkStart w:id="788" w:name="Tc_DpRenrK3AEy7vZyOzWuWuw_21_0"/>
      <w:bookmarkStart w:id="789" w:name="Tc_xGEOGQr54UucQ5HyhLzG6Q_20_0"/>
      <w:bookmarkStart w:id="790" w:name="Tc_PjcS2sii2kOwEDusxcSBOg_19_0"/>
      <w:bookmarkStart w:id="791" w:name="Tc_NLCAJFAPKkOfLxVJ3TbWDQ_18_0"/>
      <w:bookmarkStart w:id="792" w:name="Tc_dC5niZBnxkm0wVKLGFvZjQ_17_0"/>
      <w:bookmarkStart w:id="793" w:name="Tc_zu8tev1b_02wcDnBl_9wpg_16_0"/>
      <w:bookmarkStart w:id="794" w:name="Tc_S9w5xd60W0mq0TS7rtj7cw_15_0"/>
      <w:bookmarkStart w:id="795" w:name="Tc__TkL2Gne2UCIVfjdF_tJ6w_14_0"/>
      <w:bookmarkStart w:id="796" w:name="Tc_P4NEu_nt9kGfk0rzQj_C4w_13_0"/>
      <w:bookmarkStart w:id="797" w:name="Tc_pBjZviJP7USFivfdvyS7dA_12_0"/>
      <w:bookmarkStart w:id="798" w:name="Tc_bBa5uawZfEWehF8Z-5KYIw_11_3"/>
      <w:bookmarkStart w:id="799" w:name="Tc_wb5ZU-yHfU6wX4EW6yO4bA_11_0"/>
      <w:bookmarkStart w:id="800" w:name="Tc_CG8XX8EVhU2Y2GXjfAEriQ_10_0"/>
      <w:bookmarkStart w:id="801" w:name="Tc_AOiybWEf1kuhheIHRwx5Uw_9_0"/>
      <w:bookmarkStart w:id="802" w:name="Tc_nIjxqGTMe0W2CjJCK6VR2A_8_0"/>
      <w:bookmarkStart w:id="803" w:name="Tc_Zqo-LeEU0EeysDJdTDlipA_7_0"/>
      <w:bookmarkStart w:id="804" w:name="Tc__dUDo_J9V0mynWM34Lf6EQ_6_0"/>
      <w:bookmarkStart w:id="805" w:name="Tc_Zziu4plrL0uYrb7sGoHudw_5_5"/>
      <w:bookmarkStart w:id="806" w:name="Tc_DcpSSIXhbUSA0wIRndw2UA_5_2"/>
      <w:bookmarkStart w:id="807" w:name="Tc_eu1HUtY_JECpQpf-AzoHNw_5_0"/>
      <w:bookmarkStart w:id="808" w:name="Tc_UH9eqF_FekKHnHBvvzehkA_4_0"/>
      <w:bookmarkStart w:id="809" w:name="Tc_c-gYCjpeKU6NY1NVMOhvpg_3_2"/>
      <w:bookmarkStart w:id="810" w:name="Tc_VUz096grX0eeBzHhNetXtQ_2_5"/>
      <w:bookmarkStart w:id="811" w:name="Tc_Y8jz14WTHEq_Si00wgaeFQ_2_2"/>
      <w:bookmarkStart w:id="812" w:name="Tc_1v2EubW_6kqpiF9w64Xiew_1_2"/>
      <w:bookmarkStart w:id="813" w:name="_bbf8cee8_bb09_4daf_a03b_5ec366f91cfd"/>
      <w:bookmarkStart w:id="814" w:name="Tc_qx1SlMxgIE-c3AtyudlPbg_53_6"/>
      <w:bookmarkStart w:id="815" w:name="Tc_JFfcinZsDUaWuPnNYXImiw_53_5"/>
      <w:bookmarkStart w:id="816" w:name="Tc_W-cQMjR40EuVQbnnb6o0-g_53_2"/>
      <w:bookmarkStart w:id="817" w:name="Tc_aS8WxxRAakGgElkyb25pzg_53_0"/>
      <w:bookmarkStart w:id="818" w:name="Tc_h7f8VMbuykWLJfu9EGKmaw_52_5"/>
      <w:bookmarkStart w:id="819" w:name="Tc_cq7s5mKILUiG35ZpQ53lEQ_52_2"/>
      <w:bookmarkStart w:id="820" w:name="Tc_VP_gvqtuY02RrjLyf8qHog_52_0"/>
      <w:bookmarkStart w:id="821" w:name="Tc_jn4cEPbqAUm_-yr_eZQmdQ_51_5"/>
      <w:bookmarkStart w:id="822" w:name="Tc_2NdqEA84RESmWfH2S4uhtA_51_2"/>
      <w:bookmarkStart w:id="823" w:name="Tc_9x0ztuz6-06-AlMtXMd7jA_51_0"/>
      <w:bookmarkStart w:id="824" w:name="Tc_97t_FVi0BEKYIbfYgyhLmw_50_0"/>
      <w:bookmarkStart w:id="825" w:name="Tc_4jbQs6tv_kCNgOHz8jcPHw_49_0"/>
      <w:bookmarkStart w:id="826" w:name="Tc_xvAC8cqPMEucbnn1xrfaMw_47_5"/>
      <w:bookmarkStart w:id="827" w:name="Tc_ERZiKSL7iE67UFU8GZE5yw_47_2"/>
      <w:bookmarkStart w:id="828" w:name="Tc_I1IH0gaS7ECL7fpqHl0vQw_47_0"/>
      <w:bookmarkStart w:id="829" w:name="Tc_zKK6qlDNJUKfIJow5JNK2A_46_0"/>
      <w:bookmarkStart w:id="830" w:name="Tc_6OGP1RbA3kqCM6TVe7VKxA_45_0"/>
      <w:bookmarkStart w:id="831" w:name="Tc__cIUcGzCh0-u0ePB45b_1A_44_0"/>
      <w:bookmarkStart w:id="832" w:name="Tc_p9bo-2hUqU6B4d_semSj_A_42_0"/>
      <w:bookmarkStart w:id="833" w:name="Tc_e5RgVOIO0kGgu8IACzVnEw_41_0"/>
      <w:bookmarkStart w:id="834" w:name="Tc_RLfIsLI-502CpVE6H3QHDQ_40_0"/>
      <w:bookmarkStart w:id="835" w:name="Tc_XeQkl5z0SkWB1b5chfH1-A_39_6"/>
      <w:bookmarkStart w:id="836" w:name="Tc_CUSS2fgwLEiqPM6inZ0x3w_39_0"/>
      <w:bookmarkStart w:id="837" w:name="Tc_2grX7VU3OUehxfAiiS2jaQ_38_0"/>
      <w:bookmarkStart w:id="838" w:name="Tc_tZ2nuwyI40md6fAWBeGRAA_37_0"/>
      <w:bookmarkStart w:id="839" w:name="Tc_YNFqz7LjskK_jJnRm9wRDA_36_3"/>
      <w:bookmarkStart w:id="840" w:name="Tc_7WkAySDToka5iBvOzcAxFw_36_0"/>
      <w:bookmarkStart w:id="841" w:name="Tc_FIWSgQnz0Uqqy-sNzy_uTQ_35_0"/>
      <w:bookmarkStart w:id="842" w:name="Tc_o_9P4xg2eUeozR9Ik16d1Q_34_0"/>
      <w:bookmarkStart w:id="843" w:name="Tc_evzSFe3FEE-dRYnlTzE4bA_33_0"/>
      <w:bookmarkStart w:id="844" w:name="Tc_xQnqN4YtvkiSydeGrmZcTw_31_0"/>
      <w:bookmarkStart w:id="845" w:name="Tc_5we2dv2zzkqO36x4tcOtKw_30_0"/>
      <w:bookmarkStart w:id="846" w:name="Tc_TR9gZlH_K0GLc4NyhMwN4g_29_0"/>
      <w:bookmarkStart w:id="847" w:name="Tc_WAu4anhhcEq-394Kv26FUw_28_6"/>
      <w:bookmarkStart w:id="848" w:name="Tc_GhVICzA3G0SgklDv_V9sRw_28_0"/>
      <w:bookmarkStart w:id="849" w:name="Tc_Hi8umZRIaE6ZZX8ZkSCwLA_27_0"/>
      <w:bookmarkStart w:id="850" w:name="Tc_sx4upiAaSEii_CPoGUhIRg_26_0"/>
      <w:bookmarkStart w:id="851" w:name="Tc_aIR6VU9pL0-k-E33YR2hYw_24_0"/>
      <w:bookmarkStart w:id="852" w:name="Tc_U_Pm-38tekOyQdZWHgV4VQ_23_0"/>
      <w:bookmarkStart w:id="853" w:name="Tc_MBGdmcro-UWJlUqvYbsOLw_22_0"/>
      <w:bookmarkStart w:id="854" w:name="Tc_DpRenrK3AEy7vZyOzWuWuw_21_0"/>
      <w:bookmarkStart w:id="855" w:name="Tc_xGEOGQr54UucQ5HyhLzG6Q_20_0"/>
      <w:bookmarkStart w:id="856" w:name="Tc_PjcS2sii2kOwEDusxcSBOg_19_0"/>
      <w:bookmarkStart w:id="857" w:name="Tc_NLCAJFAPKkOfLxVJ3TbWDQ_18_0"/>
      <w:bookmarkStart w:id="858" w:name="Tc_dC5niZBnxkm0wVKLGFvZjQ_17_0"/>
      <w:bookmarkStart w:id="859" w:name="Tc_zu8tev1b_02wcDnBl_9wpg_16_0"/>
      <w:bookmarkStart w:id="860" w:name="Tc_S9w5xd60W0mq0TS7rtj7cw_15_0"/>
      <w:bookmarkStart w:id="861" w:name="Tc__TkL2Gne2UCIVfjdF_tJ6w_14_0"/>
      <w:bookmarkStart w:id="862" w:name="Tc_P4NEu_nt9kGfk0rzQj_C4w_13_0"/>
      <w:bookmarkStart w:id="863" w:name="Tc_pBjZviJP7USFivfdvyS7dA_12_0"/>
      <w:bookmarkStart w:id="864" w:name="Tc_bBa5uawZfEWehF8Z-5KYIw_11_3"/>
      <w:bookmarkStart w:id="865" w:name="Tc_wb5ZU-yHfU6wX4EW6yO4bA_11_0"/>
      <w:bookmarkStart w:id="866" w:name="Tc_CG8XX8EVhU2Y2GXjfAEriQ_10_0"/>
      <w:bookmarkStart w:id="867" w:name="Tc_AOiybWEf1kuhheIHRwx5Uw_9_0"/>
      <w:bookmarkStart w:id="868" w:name="Tc_nIjxqGTMe0W2CjJCK6VR2A_8_0"/>
      <w:bookmarkStart w:id="869" w:name="Tc_Zqo-LeEU0EeysDJdTDlipA_7_0"/>
      <w:bookmarkStart w:id="870" w:name="Tc__dUDo_J9V0mynWM34Lf6EQ_6_0"/>
      <w:bookmarkStart w:id="871" w:name="Tc_Zziu4plrL0uYrb7sGoHudw_5_5"/>
      <w:bookmarkStart w:id="872" w:name="Tc_DcpSSIXhbUSA0wIRndw2UA_5_2"/>
      <w:bookmarkStart w:id="873" w:name="Tc_eu1HUtY_JECpQpf-AzoHNw_5_0"/>
      <w:bookmarkStart w:id="874" w:name="Tc_UH9eqF_FekKHnHBvvzehkA_4_0"/>
      <w:bookmarkStart w:id="875" w:name="Tc_c-gYCjpeKU6NY1NVMOhvpg_3_2"/>
      <w:bookmarkStart w:id="876" w:name="Tc_VUz096grX0eeBzHhNetXtQ_2_5"/>
      <w:bookmarkStart w:id="877" w:name="Tc_Y8jz14WTHEq_Si00wgaeFQ_2_2"/>
      <w:bookmarkStart w:id="878" w:name="Tc_1v2EubW_6kqpiF9w64Xiew_1_2"/>
      <w:bookmarkStart w:id="879" w:name="_bbf8cee8_bb09_4daf_a03b_5ec366f91cfd"/>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p>
    <w:tbl>
      <w:tblPr>
        <w:tblW w:w="9642" w:type="dxa"/>
        <w:jc w:val="left"/>
        <w:tblInd w:w="0" w:type="dxa"/>
        <w:tblLayout w:type="fixed"/>
        <w:tblCellMar>
          <w:top w:w="0" w:type="dxa"/>
          <w:left w:w="0" w:type="dxa"/>
          <w:bottom w:w="0" w:type="dxa"/>
          <w:right w:w="0" w:type="dxa"/>
        </w:tblCellMar>
      </w:tblPr>
      <w:tblGrid>
        <w:gridCol w:w="6721"/>
        <w:gridCol w:w="326"/>
        <w:gridCol w:w="211"/>
        <w:gridCol w:w="901"/>
        <w:gridCol w:w="326"/>
        <w:gridCol w:w="211"/>
        <w:gridCol w:w="946"/>
      </w:tblGrid>
      <w:tr>
        <w:trPr/>
        <w:tc>
          <w:tcPr>
            <w:tcW w:w="6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4267835" cy="175260"/>
                      <wp:effectExtent l="0" t="0" r="0" b="0"/>
                      <wp:wrapNone/>
                      <wp:docPr id="36" name="Frame36"/>
                      <a:graphic xmlns:a="http://schemas.openxmlformats.org/drawingml/2006/main">
                        <a:graphicData uri="http://schemas.microsoft.com/office/word/2010/wordprocessingShape">
                          <wps:wsp>
                            <wps:cNvSpPr txBox="1"/>
                            <wps:spPr>
                              <a:xfrm>
                                <a:off x="0" y="0"/>
                                <a:ext cx="426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33985" cy="175260"/>
                      <wp:effectExtent l="0" t="0" r="0" b="0"/>
                      <wp:wrapNone/>
                      <wp:docPr id="37" name="Frame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572135" cy="175260"/>
                      <wp:effectExtent l="0" t="0" r="0" b="0"/>
                      <wp:wrapNone/>
                      <wp:docPr id="38" name="Frame38"/>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39" name="Frame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33985" cy="175260"/>
                      <wp:effectExtent l="0" t="0" r="0" b="0"/>
                      <wp:wrapNone/>
                      <wp:docPr id="40" name="Frame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00710" cy="175260"/>
                      <wp:effectExtent l="0" t="0" r="0" b="0"/>
                      <wp:wrapNone/>
                      <wp:docPr id="41" name="Frame41"/>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7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5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July 31, </w:t>
            </w:r>
          </w:p>
        </w:tc>
      </w:tr>
      <w:tr>
        <w:trPr/>
        <w:tc>
          <w:tcPr>
            <w:tcW w:w="6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964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6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9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 in thousands)</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 attributable to G-III Apparel Group, Ltd.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30,014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19,674</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Adjustments to reconcile net income to 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14,148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12,535</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Loss on disposal of fixed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319</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Non-cash operating lease costs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27,679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29,815</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Equity loss in unconsolidated affiliates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978</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Change in fair value of equity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(1,009)</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12,108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6,838</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Deferred financing charges and debt discount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1,568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4,549</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Deferred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(1,346)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1,031</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Changes in operating assets and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Accounts receivable,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84,898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155,602</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Inventories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(90,066)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(95,513)</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Income taxes,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(20,571)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(8,733)</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Prepaid expenses and other current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(10,776)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(321)</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assets,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(1,393)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(3,883)</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Customer refund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(31,565)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(33,537)</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(29,103)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(30,242)</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Accounts payable, accrued expenses and other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106,131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154,376</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94,830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212,479</w:t>
            </w:r>
          </w:p>
        </w:tc>
      </w:tr>
      <w:tr>
        <w:trPr/>
        <w:tc>
          <w:tcPr>
            <w:tcW w:w="6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Operating lease assets initial direct costs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(1,745)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(52)</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Proceeds from sale of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Investment in equity interest of private company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(84,366)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(3,600)</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Capital expenditures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(23,273)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(11,117)</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cash used in investing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(108,656)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(14,769)</w:t>
            </w:r>
          </w:p>
        </w:tc>
      </w:tr>
      <w:tr>
        <w:trPr/>
        <w:tc>
          <w:tcPr>
            <w:tcW w:w="67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center"/>
              <w:rPr/>
            </w:pPr>
            <w:r>
              <w:rPr/>
              <w:t>​</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flows from financing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Repayment of borrowings - revolving facility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(23,528)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(85,400)</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Proceeds from borrowings - revolving facility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23,528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5,313</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Repayment of borrowings - LVMH Note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(75,000)</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Repayment of borrowings - foreign facilities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(69,680)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(75,116)</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Proceeds from borrowings - foreign facilities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65,528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72,773</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Payment of financing costs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(3,757)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Purchase of treasury shares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(59,973)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(26,100)</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Taxes paid for net share settlements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(7,534)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(10,795)</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cash used in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(75,416)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(194,325)</w:t>
            </w:r>
          </w:p>
        </w:tc>
      </w:tr>
      <w:tr>
        <w:trPr/>
        <w:tc>
          <w:tcPr>
            <w:tcW w:w="6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Foreign currency translation adjustments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(3,796)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2,698</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(decrease) increase in cash and cash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(93,038)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6,083</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and cash equivalents at 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507,829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191,652</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and cash equivalents at end of period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414,791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197,735</w:t>
            </w:r>
          </w:p>
        </w:tc>
      </w:tr>
      <w:tr>
        <w:trPr/>
        <w:tc>
          <w:tcPr>
            <w:tcW w:w="67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center"/>
              <w:rPr/>
            </w:pPr>
            <w:r>
              <w:rPr/>
              <w:t>​</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Supplemental disclosures of cash flow information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payments: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Interest,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7,854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16,052</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Income tax payments,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27,853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6,278</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Excise tax liability related to stock repurchases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636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46" w:type="dxa"/>
            <w:tcBorders/>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i/>
          <w:sz w:val="18"/>
        </w:rPr>
        <w:t>The accompanying notes are an integral part of these statements</w:t>
      </w:r>
      <w:r>
        <w:rPr>
          <w:rFonts w:ascii="Times New Roman;Times;serif" w:hAnsi="Times New Roman;Times;serif"/>
          <w:i/>
          <w:sz w:val="20"/>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880" w:name="_f9902c6e_bdee_42fe_a4e8_6eb556a6b89e"/>
      <w:bookmarkEnd w:id="880"/>
      <w:r>
        <w:rPr>
          <w:rFonts w:ascii="Times New Roman;Times;serif" w:hAnsi="Times New Roman;Times;serif"/>
          <w:b/>
          <w:sz w:val="20"/>
        </w:rPr>
        <w:t>G-III APPAREL GROUP, LTD. AND SUBSIDIARIES</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881" w:name="NOTESTOCONDENSEDCONSOLIDATED_476308"/>
      <w:bookmarkEnd w:id="881"/>
      <w:r>
        <w:rPr>
          <w:rFonts w:ascii="Times New Roman;Times;serif" w:hAnsi="Times New Roman;Times;serif"/>
          <w:b/>
          <w:sz w:val="20"/>
        </w:rPr>
        <w:t>NOTES TO CONDENSED CONSOLIDATED FINANCIAL STATEMENTS</w:t>
      </w:r>
    </w:p>
    <w:p>
      <w:pPr>
        <w:pStyle w:val="TextBody"/>
        <w:bidi w:val="0"/>
        <w:spacing w:before="0" w:after="0"/>
        <w:ind w:left="0" w:right="0" w:hanging="0"/>
        <w:jc w:val="left"/>
        <w:rPr>
          <w:rFonts w:ascii="Times New Roman;Times;serif" w:hAnsi="Times New Roman;Times;serif"/>
          <w:b/>
          <w:sz w:val="20"/>
        </w:rPr>
      </w:pPr>
      <w:bookmarkStart w:id="882" w:name="_Hlk167112945"/>
      <w:bookmarkStart w:id="883" w:name="_Hlk167111465"/>
      <w:bookmarkEnd w:id="882"/>
      <w:bookmarkEnd w:id="883"/>
      <w:r>
        <w:rPr>
          <w:rFonts w:ascii="Times New Roman;Times;serif" w:hAnsi="Times New Roman;Times;serif"/>
          <w:b/>
          <w:sz w:val="20"/>
        </w:rPr>
        <w:t xml:space="preserve">NOTE 1 – BASIS OF PRESENTATION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used in these financial statements, the term “Company” or “G-III” refers to G-III Apparel Group, Ltd. and its subsidiaries. The Company designs, sources and markets an extensive range of apparel, including outerwear, dresses, sportswear, swimwear, women’s suits and women’s performance wear, as well as women’s handbags, footwear, small leather goods, cold weather accessories and luggage. The Company also operates retail stores and licenses its proprietary brands under several product categories.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consolidates the accounts of its wholly-owned and majority-owned subsidiaries. The Company’s DKNY and Donna Karan business in China is operated by Fabco Holding B.V. (“Fabco”), a Dutch joint venture limited liability company that was 75% owned by the Company through April 16, 2024 and was treated as a consolidated majority-owned subsidiary. Effective April 17, 2024, the Company acquired the remaining 25% interest in Fabco that it did not previously own and, as a result, Fabco began being treated as a wholly-owned subsidiary. All material intercompany balances and transactions have been eliminated.</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Karl Lagerfeld Holding B.V. (“KLH”), a Dutch limited liability company that is wholly-owned by the Company, Vilebrequin International SA (“Vilebrequin”), a Swiss corporation that is wholly-owned by the Company, Sonia Rykiel, a Swiss corporation that is wholly-owned by the Company, and Fabco report results on a calendar year basis rather than on the January 31 fiscal year basis used by the Company. Accordingly, the results of KLH, Vilebrequin, Sonia Rykiel and Fabco are included in the financial statements for the quarter ended or ending closest to the Company’s fiscal quarter end. For example, with respect to the Company’s results for the six-month period ended July 31, 2024, the results of KLH, Vilebrequin, Sonia Rykiel and Fabco are included for the six-month period ended June 30, 2024. The Company’s retail operations segment reports on a 52/53 week fiscal year. For fiscal 2025 and 2024, the three and six-month periods for the retail operations segment were each 13-week and 26-week periods, respectively, and ended on August 3, 2024 and July 29, 2023, respectively.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results for the three and six months ended July 31, 2024 are not necessarily indicative of the results expected for the entire fiscal year, given the seasonal nature of the Company’s business. The accompanying financial statements included herein are unaudited. All adjustments (consisting of only normal recurring adjustments) necessary for a fair presentation of the financial position, results of operations and cash flows for the interim period presented have been reflected.</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accompanying financial statements should be read in conjunction with the financial statements and notes included in the Company’s Annual Report on Form 10-K for the fiscal year ended January 31, 2024 filed with the Securities and Exchange Commission (the “SEC”).</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Assets and liabilities of the Company’s foreign operations, where the functional currency is not the U.S. dollar (reporting currency), are translated from the foreign currency into U.S. dollars at period-end rates, while income and expenses are translated at the weighted-average exchange rates for the period. The related translation adjustments are reflected as a foreign currency translation adjustment in accumulated other comprehensive loss within stockholders’ equity.</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bookmarkStart w:id="884" w:name="_Hlk167111481"/>
      <w:bookmarkEnd w:id="884"/>
      <w:r>
        <w:rPr>
          <w:rFonts w:ascii="Times New Roman;Times;serif" w:hAnsi="Times New Roman;Times;serif"/>
          <w:b/>
          <w:sz w:val="20"/>
        </w:rPr>
        <w:t>NOTE 2 – ALLOWANCE FOR DOUBTFUL ACCOUNTS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Company’s financial instruments consist of trade receivables arising from revenue transactions in the ordinary course of business. The Company considers its trade receivables to consist of two portfolio segments: wholesale and retail trade receivables. Wholesale trade receivables result from credit the Company has extended to its wholesale customers based on pre-defined criteria and are generally due within 60 days. Retail trade receivables primarily relate to amounts due from third-party credit card processors for the settlement of debit and credit card transactions and are typically collected within 3 to 5 days.</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885" w:name="Tc_0TeWKfSbLU6FbCv-04Pl-A_20_8"/>
      <w:bookmarkStart w:id="886" w:name="Tc_qtG0teyt_EO_IGPXrhp0xw_20_5"/>
      <w:bookmarkStart w:id="887" w:name="Tc_FMr639fKxk2OQMtY0SnZVA_20_2"/>
      <w:bookmarkStart w:id="888" w:name="Tc_V-ZkoaOsdkSTijCGURMnwA_20_0"/>
      <w:bookmarkStart w:id="889" w:name="Tc_TKTdJQX8AEyq86eIC52XdQ_19_0"/>
      <w:bookmarkStart w:id="890" w:name="Tc_YSRUOajZaU6draoXK8kXTQ_18_8"/>
      <w:bookmarkStart w:id="891" w:name="Tc_pLGYDJO2bUik2Wtnvw-a_A_18_5"/>
      <w:bookmarkStart w:id="892" w:name="Tc_h8S80ls9mUmAj9Kyrz3lXg_18_2"/>
      <w:bookmarkStart w:id="893" w:name="Tc_awbS7tnFaEK6cekwPiR5Kw_18_0"/>
      <w:bookmarkStart w:id="894" w:name="Tc_IvlbvtoP20CqZP2a-4DJ7w_17_2"/>
      <w:bookmarkStart w:id="895" w:name="Tc_LAAxQhFhjUaJvfwqU3cJdQ_16_8"/>
      <w:bookmarkStart w:id="896" w:name="Tc_sWVnTBu1zEy2F-ZlPkN9WQ_16_5"/>
      <w:bookmarkStart w:id="897" w:name="Tc_pWnz3DDgrUimKg0Ay-jOUg_16_2"/>
      <w:bookmarkStart w:id="898" w:name="Tc_ImCMVPt0REyM5pHK_g0Kng_15_2"/>
      <w:bookmarkStart w:id="899" w:name="Tc_7aGv3CGE_0WlWe7zt9aVfw_13_8"/>
      <w:bookmarkStart w:id="900" w:name="Tc_ILU87jKd-kiuA-n1VjLryQ_13_5"/>
      <w:bookmarkStart w:id="901" w:name="Tc_Ygbi2Jd2EEKPNBrhBmtItw_13_2"/>
      <w:bookmarkStart w:id="902" w:name="Tc_T8M5yAYgv0GMSFeGzWVt0Q_13_0"/>
      <w:bookmarkStart w:id="903" w:name="Tc_QTneekeO8U-rUZLq1m_O0Q_12_0"/>
      <w:bookmarkStart w:id="904" w:name="Tc_MJ2AyzWKXU24GPbVwnycLA_11_8"/>
      <w:bookmarkStart w:id="905" w:name="Tc_QYaOo-wvoUyL9j1J_kmvww_11_5"/>
      <w:bookmarkStart w:id="906" w:name="Tc_m4pw0bdve0ayH1oy28ilaw_11_2"/>
      <w:bookmarkStart w:id="907" w:name="Tc_B2xc4uo4akavwwh4SW0fcA_11_0"/>
      <w:bookmarkStart w:id="908" w:name="Tc_NSYUfWycXUmFhbbipa9epg_10_2"/>
      <w:bookmarkStart w:id="909" w:name="Tc_FShCof9yoUaxmeYAFwDuvA_9_8"/>
      <w:bookmarkStart w:id="910" w:name="Tc_FjJa3X-MyEmOPLf63MMxtA_9_5"/>
      <w:bookmarkStart w:id="911" w:name="Tc_2LfUGMt6ikSOvPE_pHg0Dw_9_2"/>
      <w:bookmarkStart w:id="912" w:name="Tc_aUT2Eq6HVUieuiOGtrPO5A_8_2"/>
      <w:bookmarkStart w:id="913" w:name="Tc_avONhommSEikgM3ckZ3V9Q_6_8"/>
      <w:bookmarkStart w:id="914" w:name="Tc_FqA1zxGZXkKOb2A6z7lemA_6_5"/>
      <w:bookmarkStart w:id="915" w:name="Tc_k20DC7Lgt0-PCSTY34o1SA_6_2"/>
      <w:bookmarkStart w:id="916" w:name="Tc_o_NPlHhZf0CKA_TZGGWTQw_6_0"/>
      <w:bookmarkStart w:id="917" w:name="Tc_Dfn6cQzXUEuWfr2wjl-4xg_5_0"/>
      <w:bookmarkStart w:id="918" w:name="Tc_tKgukEZqr0mIFYCJh2afsw_4_8"/>
      <w:bookmarkStart w:id="919" w:name="Tc_gsP_0-YxXk-_z9uxu8Bplg_4_5"/>
      <w:bookmarkStart w:id="920" w:name="Tc_2OPhMVdefkejCdOfqzi7Dw_4_2"/>
      <w:bookmarkStart w:id="921" w:name="Tc_-7kw4Q_HqE-HvjOFsLQPpA_4_0"/>
      <w:bookmarkStart w:id="922" w:name="Tc_y1fEbzYKMkKi0R5qBJhYsw_3_2"/>
      <w:bookmarkStart w:id="923" w:name="Tc_uwSDGdMJ8EKgnofKyUTx0g_2_8"/>
      <w:bookmarkStart w:id="924" w:name="Tc_NwLak_eCdUCfb8dYTGAPew_2_5"/>
      <w:bookmarkStart w:id="925" w:name="Tc_21WkErSBD0qNZtx7SPAEmQ_2_2"/>
      <w:bookmarkStart w:id="926" w:name="Tc_rtUiRNkudk6cEFoA0sfHdg_1_2"/>
      <w:bookmarkStart w:id="927" w:name="_8b931519_b53b_4ebb_9c12_6ffcc5e95258"/>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r>
        <w:rPr>
          <w:rFonts w:ascii="Times New Roman;Times;serif" w:hAnsi="Times New Roman;Times;serif"/>
          <w:sz w:val="20"/>
        </w:rPr>
        <w:t>The Company’s accounts receivable and allowance for doubtful accounts as of July 31, 2024, July 31, 2023 and January 31, 2024 were:</w:t>
      </w:r>
    </w:p>
    <w:p>
      <w:pPr>
        <w:pStyle w:val="TextBody"/>
        <w:bidi w:val="0"/>
        <w:spacing w:before="0" w:after="240"/>
        <w:ind w:left="0" w:right="0" w:hanging="0"/>
        <w:jc w:val="both"/>
        <w:rPr>
          <w:color w:val="212529"/>
        </w:rPr>
      </w:pPr>
      <w:r>
        <w:rPr>
          <w:color w:val="212529"/>
        </w:rPr>
        <w:t>​</w:t>
      </w:r>
    </w:p>
    <w:tbl>
      <w:tblPr>
        <w:tblW w:w="6640" w:type="dxa"/>
        <w:jc w:val="left"/>
        <w:tblInd w:w="0" w:type="dxa"/>
        <w:tblLayout w:type="fixed"/>
        <w:tblCellMar>
          <w:top w:w="0" w:type="dxa"/>
          <w:left w:w="0" w:type="dxa"/>
          <w:bottom w:w="0" w:type="dxa"/>
          <w:right w:w="0" w:type="dxa"/>
        </w:tblCellMar>
      </w:tblPr>
      <w:tblGrid>
        <w:gridCol w:w="2776"/>
        <w:gridCol w:w="326"/>
        <w:gridCol w:w="211"/>
        <w:gridCol w:w="796"/>
        <w:gridCol w:w="326"/>
        <w:gridCol w:w="211"/>
        <w:gridCol w:w="571"/>
        <w:gridCol w:w="326"/>
        <w:gridCol w:w="211"/>
        <w:gridCol w:w="886"/>
      </w:tblGrid>
      <w:tr>
        <w:trPr/>
        <w:tc>
          <w:tcPr>
            <w:tcW w:w="2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762760" cy="175260"/>
                      <wp:effectExtent l="0" t="0" r="0" b="0"/>
                      <wp:wrapNone/>
                      <wp:docPr id="42" name="Frame42"/>
                      <a:graphic xmlns:a="http://schemas.openxmlformats.org/drawingml/2006/main">
                        <a:graphicData uri="http://schemas.microsoft.com/office/word/2010/wordprocessingShape">
                          <wps:wsp>
                            <wps:cNvSpPr txBox="1"/>
                            <wps:spPr>
                              <a:xfrm>
                                <a:off x="0" y="0"/>
                                <a:ext cx="1762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43" name="Frame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33985" cy="175260"/>
                      <wp:effectExtent l="0" t="0" r="0" b="0"/>
                      <wp:wrapNone/>
                      <wp:docPr id="44" name="Frame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505460" cy="175260"/>
                      <wp:effectExtent l="0" t="0" r="0" b="0"/>
                      <wp:wrapNone/>
                      <wp:docPr id="45" name="Frame4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46"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33985" cy="175260"/>
                      <wp:effectExtent l="0" t="0" r="0" b="0"/>
                      <wp:wrapNone/>
                      <wp:docPr id="47" name="Frame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362585" cy="175260"/>
                      <wp:effectExtent l="0" t="0" r="0" b="0"/>
                      <wp:wrapNone/>
                      <wp:docPr id="48" name="Frame4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9" name="Frame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33985" cy="175260"/>
                      <wp:effectExtent l="0" t="0" r="0" b="0"/>
                      <wp:wrapNone/>
                      <wp:docPr id="50" name="Frame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562610" cy="175260"/>
                      <wp:effectExtent l="0" t="0" r="0" b="0"/>
                      <wp:wrapNone/>
                      <wp:docPr id="51" name="Frame5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53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31, 2024</w:t>
            </w:r>
          </w:p>
        </w:tc>
      </w:tr>
      <w:tr>
        <w:trPr/>
        <w:tc>
          <w:tcPr>
            <w:tcW w:w="27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Wholesale</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326" w:type="dxa"/>
            <w:tcBorders/>
            <w:vAlign w:val="center"/>
          </w:tcPr>
          <w:p>
            <w:pPr>
              <w:pStyle w:val="TableContents"/>
              <w:bidi w:val="0"/>
              <w:spacing w:before="0" w:after="1"/>
              <w:ind w:left="0" w:right="0" w:hanging="0"/>
              <w:jc w:val="center"/>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6640"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27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538"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gross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477,042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478,725</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doubtful accounts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(1,260)</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475,845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477,465</w:t>
            </w:r>
          </w:p>
        </w:tc>
      </w:tr>
      <w:tr>
        <w:trPr/>
        <w:tc>
          <w:tcPr>
            <w:tcW w:w="27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r>
      <w:tr>
        <w:trPr/>
        <w:tc>
          <w:tcPr>
            <w:tcW w:w="27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53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31, 2023</w:t>
            </w:r>
          </w:p>
        </w:tc>
      </w:tr>
      <w:tr>
        <w:trPr/>
        <w:tc>
          <w:tcPr>
            <w:tcW w:w="27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Wholesale</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326" w:type="dxa"/>
            <w:tcBorders/>
            <w:vAlign w:val="center"/>
          </w:tcPr>
          <w:p>
            <w:pPr>
              <w:pStyle w:val="TableContents"/>
              <w:bidi w:val="0"/>
              <w:spacing w:before="0" w:after="1"/>
              <w:ind w:left="0" w:right="0" w:hanging="0"/>
              <w:jc w:val="center"/>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6640"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27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538"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gross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536,711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537,852</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doubtful accounts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(18,428)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(18,491)</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518,283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519,361</w:t>
            </w:r>
          </w:p>
        </w:tc>
      </w:tr>
      <w:tr>
        <w:trPr/>
        <w:tc>
          <w:tcPr>
            <w:tcW w:w="27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r>
      <w:tr>
        <w:trPr/>
        <w:tc>
          <w:tcPr>
            <w:tcW w:w="27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53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31, 2024</w:t>
            </w:r>
          </w:p>
        </w:tc>
      </w:tr>
      <w:tr>
        <w:trPr/>
        <w:tc>
          <w:tcPr>
            <w:tcW w:w="27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Wholesale</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326" w:type="dxa"/>
            <w:tcBorders/>
            <w:vAlign w:val="center"/>
          </w:tcPr>
          <w:p>
            <w:pPr>
              <w:pStyle w:val="TableContents"/>
              <w:bidi w:val="0"/>
              <w:spacing w:before="0" w:after="1"/>
              <w:ind w:left="0" w:right="0" w:hanging="0"/>
              <w:jc w:val="center"/>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6640"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27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538"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gross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563,130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563,834</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doubtful accounts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(1,471)</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561,722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562,363</w:t>
            </w:r>
          </w:p>
        </w:tc>
      </w:tr>
    </w:tbl>
    <w:p>
      <w:pPr>
        <w:pStyle w:val="TextBody"/>
        <w:bidi w:val="0"/>
        <w:spacing w:before="0" w:after="240"/>
        <w:ind w:left="0" w:right="0" w:hanging="0"/>
        <w:jc w:val="both"/>
        <w:rPr>
          <w:color w:val="212529"/>
        </w:rPr>
      </w:pPr>
      <w:r>
        <w:rPr>
          <w:color w:val="212529"/>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allowance for doubtful accounts for wholesale trade receivables is estimated based on several factors. In circumstances where the Company is aware of a specific customer’s inability to meet its financial obligations (such as in the case of bankruptcy filings (including potential bankruptcy filings), extensive delay in payment or substantial downgrading by credit rating agencies), a specific reserve for bad debt is recorded against amounts due from that customer to reduce the net recognized receivable to the amount reasonably expected to be collected. For all other wholesale customers, an allowance for doubtful accounts is determined through analysis of the aging of accounts receivable at the end of the reporting period for financial statements, assessments of collectability based on historical trends and an evaluation of the impact of economic conditions. The Company considers both current and forecasted future economic conditions in determining the adequacy of its allowance for doubtful accounts.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allowance for doubtful accounts for retail trade receivables is estimated at the credit card chargeback rate applied to the previous 90 days of credit card sales. In addition, the Company considers both current and forecasted future economic conditions in determining the adequacy of its allowance for doubtful accounts.</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928" w:name="Tc_KkyegVOHUEq1Ylx1PVy6Vw_16_8"/>
      <w:bookmarkStart w:id="929" w:name="Tc_VWb-Cu4sekurDT6cdqmADQ_16_5"/>
      <w:bookmarkStart w:id="930" w:name="Tc_s1Fi2hAUjUeuh_f6nCKJOg_16_2"/>
      <w:bookmarkStart w:id="931" w:name="Tc_Cn90q4O1OEKa2EG2SuklpQ_16_0"/>
      <w:bookmarkStart w:id="932" w:name="Tc_V7m051aqekWyz_o1HnEgNA_15_6"/>
      <w:bookmarkStart w:id="933" w:name="Tc_SXYr7Vd9_02UkfZ-u7hXOA_15_0"/>
      <w:bookmarkStart w:id="934" w:name="Tc_BTA6MsJVR0OfcOYl5SMNuA_14_0"/>
      <w:bookmarkStart w:id="935" w:name="Tc_RWIff3pRikyIxzOb5VPnZQ_13_8"/>
      <w:bookmarkStart w:id="936" w:name="Tc_YQ5tzfXbVkiT3LP-ibl5TQ_13_5"/>
      <w:bookmarkStart w:id="937" w:name="Tc_8efr8EGbmUOHqy2FlXXNwA_13_2"/>
      <w:bookmarkStart w:id="938" w:name="Tc_jUNIPODgSEWqc-QUwxselg_13_0"/>
      <w:bookmarkStart w:id="939" w:name="Tc_aiVS5gHfp0e3b35trShfPg_11_8"/>
      <w:bookmarkStart w:id="940" w:name="Tc_HEIvm0Y9rEuO63ODKsFUoQ_11_5"/>
      <w:bookmarkStart w:id="941" w:name="Tc_qps7SFdmXUeKAzBdHuWnzQ_11_2"/>
      <w:bookmarkStart w:id="942" w:name="Tc_xVJgNyYmXkCGz1HMS4MH3Q_11_0"/>
      <w:bookmarkStart w:id="943" w:name="Tc_vNr_ZoNjAUCK97zRgXsAjg_10_6"/>
      <w:bookmarkStart w:id="944" w:name="Tc_BoH1PLwrtUC6AHCiFKt0aw_10_0"/>
      <w:bookmarkStart w:id="945" w:name="Tc_F4_jbv9a_ky9mcxec4yc_A_9_0"/>
      <w:bookmarkStart w:id="946" w:name="Tc_8kv5M08JXEGlK1pf7UrAjw_8_8"/>
      <w:bookmarkStart w:id="947" w:name="Tc_pLrq2-6XBEaEO3Kt6Tflag_8_5"/>
      <w:bookmarkStart w:id="948" w:name="Tc_22EgPgSuykuztXWIKGUR9w_8_2"/>
      <w:bookmarkStart w:id="949" w:name="Tc_lwUyoDCdoE2KxZIDy0HpKw_8_0"/>
      <w:bookmarkStart w:id="950" w:name="Tc_UR-ZZSrbNEuKb-yM6nFbtQ_6_8"/>
      <w:bookmarkStart w:id="951" w:name="Tc__e1p1UsyyEW01Hm2Jm7G_w_6_5"/>
      <w:bookmarkStart w:id="952" w:name="Tc_RHC6aEuuXkqLmwZRHs7HVw_6_2"/>
      <w:bookmarkStart w:id="953" w:name="Tc__sn78YHBeUOD0OffMn91zQ_6_0"/>
      <w:bookmarkStart w:id="954" w:name="Tc_YfyqkRP-Fk2jHGGZe9vTjQ_5_6"/>
      <w:bookmarkStart w:id="955" w:name="Tc_X4PN2axKKk2kujECfz60kw_5_0"/>
      <w:bookmarkStart w:id="956" w:name="Tc_sTEgLu9nSEyhJZrKZ74hoA_4_6"/>
      <w:bookmarkStart w:id="957" w:name="Tc__Z-1ui0LmESh-JfieIk-Yg_4_0"/>
      <w:bookmarkStart w:id="958" w:name="Tc_MlAGSHdGGE6wFsWoWuF_zA_3_8"/>
      <w:bookmarkStart w:id="959" w:name="Tc_HLHzTnZtz0iBfgg4ZexmnA_3_5"/>
      <w:bookmarkStart w:id="960" w:name="Tc_oqc_Ej6SVU2jWxxXNlRt5Q_3_2"/>
      <w:bookmarkStart w:id="961" w:name="Tc_mJGL4ImnKEKGyggRBQaYNg_3_0"/>
      <w:bookmarkStart w:id="962" w:name="Tc_QEjmY1WkN0CZx-bzu2HFjA_2_2"/>
      <w:bookmarkStart w:id="963" w:name="Tc_QCfFNz4ilkGMXdT4XQg0NQ_1_8"/>
      <w:bookmarkStart w:id="964" w:name="Tc_fviCq3OB3E6KpBpODGaF0w_1_5"/>
      <w:bookmarkStart w:id="965" w:name="Tc_0JO9rcLiH0CcGAiZeM5XTA_1_2"/>
      <w:bookmarkStart w:id="966" w:name="_c8161a9e_e633_4dce_ad71_3c0202485872"/>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r>
        <w:rPr>
          <w:rFonts w:ascii="Times New Roman;Times;serif" w:hAnsi="Times New Roman;Times;serif"/>
          <w:sz w:val="20"/>
        </w:rPr>
        <w:t>The Company had the following activity in its allowance for doubtful accounts:</w:t>
      </w:r>
    </w:p>
    <w:p>
      <w:pPr>
        <w:pStyle w:val="TextBody"/>
        <w:bidi w:val="0"/>
        <w:spacing w:before="0" w:after="240"/>
        <w:ind w:left="0" w:right="0" w:hanging="0"/>
        <w:jc w:val="both"/>
        <w:rPr/>
      </w:pPr>
      <w:r>
        <w:rPr/>
        <w:t>​</w:t>
      </w:r>
    </w:p>
    <w:tbl>
      <w:tblPr>
        <w:tblW w:w="6790" w:type="dxa"/>
        <w:jc w:val="left"/>
        <w:tblInd w:w="0" w:type="dxa"/>
        <w:tblLayout w:type="fixed"/>
        <w:tblCellMar>
          <w:top w:w="0" w:type="dxa"/>
          <w:left w:w="0" w:type="dxa"/>
          <w:bottom w:w="0" w:type="dxa"/>
          <w:right w:w="0" w:type="dxa"/>
        </w:tblCellMar>
      </w:tblPr>
      <w:tblGrid>
        <w:gridCol w:w="3106"/>
        <w:gridCol w:w="326"/>
        <w:gridCol w:w="211"/>
        <w:gridCol w:w="796"/>
        <w:gridCol w:w="326"/>
        <w:gridCol w:w="211"/>
        <w:gridCol w:w="436"/>
        <w:gridCol w:w="326"/>
        <w:gridCol w:w="211"/>
        <w:gridCol w:w="841"/>
      </w:tblGrid>
      <w:tr>
        <w:trPr/>
        <w:tc>
          <w:tcPr>
            <w:tcW w:w="3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972310" cy="175260"/>
                      <wp:effectExtent l="0" t="0" r="0" b="0"/>
                      <wp:wrapNone/>
                      <wp:docPr id="52" name="Frame52"/>
                      <a:graphic xmlns:a="http://schemas.openxmlformats.org/drawingml/2006/main">
                        <a:graphicData uri="http://schemas.microsoft.com/office/word/2010/wordprocessingShape">
                          <wps:wsp>
                            <wps:cNvSpPr txBox="1"/>
                            <wps:spPr>
                              <a:xfrm>
                                <a:off x="0" y="0"/>
                                <a:ext cx="1972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3" name="Frame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33985" cy="175260"/>
                      <wp:effectExtent l="0" t="0" r="0" b="0"/>
                      <wp:wrapNone/>
                      <wp:docPr id="54" name="Frame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505460" cy="175260"/>
                      <wp:effectExtent l="0" t="0" r="0" b="0"/>
                      <wp:wrapNone/>
                      <wp:docPr id="55" name="Frame5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6" name="Frame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33985" cy="175260"/>
                      <wp:effectExtent l="0" t="0" r="0" b="0"/>
                      <wp:wrapNone/>
                      <wp:docPr id="57" name="Frame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76860" cy="175260"/>
                      <wp:effectExtent l="0" t="0" r="0" b="0"/>
                      <wp:wrapNone/>
                      <wp:docPr id="58" name="Frame58"/>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9" name="Frame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3985" cy="175260"/>
                      <wp:effectExtent l="0" t="0" r="0" b="0"/>
                      <wp:wrapNone/>
                      <wp:docPr id="60" name="Frame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534035" cy="175260"/>
                      <wp:effectExtent l="0" t="0" r="0" b="0"/>
                      <wp:wrapNone/>
                      <wp:docPr id="61" name="Frame6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Wholesale</w:t>
            </w:r>
          </w:p>
        </w:tc>
        <w:tc>
          <w:tcPr>
            <w:tcW w:w="326" w:type="dxa"/>
            <w:tcBorders/>
            <w:vAlign w:val="center"/>
          </w:tcPr>
          <w:p>
            <w:pPr>
              <w:pStyle w:val="TableContents"/>
              <w:bidi w:val="0"/>
              <w:spacing w:before="0" w:after="1"/>
              <w:ind w:left="0" w:right="0" w:hanging="0"/>
              <w:jc w:val="left"/>
              <w:rPr/>
            </w:pPr>
            <w:r>
              <w:rPr/>
              <w:t>    </w:t>
            </w:r>
          </w:p>
        </w:tc>
        <w:tc>
          <w:tcPr>
            <w:tcW w:w="6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326" w:type="dxa"/>
            <w:tcBorders/>
            <w:vAlign w:val="center"/>
          </w:tcPr>
          <w:p>
            <w:pPr>
              <w:pStyle w:val="TableContents"/>
              <w:bidi w:val="0"/>
              <w:spacing w:before="0" w:after="1"/>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6790"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31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358"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1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January 31, 2024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(1,471)</w:t>
            </w:r>
          </w:p>
        </w:tc>
      </w:tr>
      <w:tr>
        <w:trPr/>
        <w:tc>
          <w:tcPr>
            <w:tcW w:w="31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credit losses,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w:t>
            </w:r>
          </w:p>
        </w:tc>
      </w:tr>
      <w:tr>
        <w:trPr/>
        <w:tc>
          <w:tcPr>
            <w:tcW w:w="31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written off as uncollectible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31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July 31, 2024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(1,260)</w:t>
            </w:r>
          </w:p>
        </w:tc>
      </w:tr>
      <w:tr>
        <w:trPr/>
        <w:tc>
          <w:tcPr>
            <w:tcW w:w="31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left"/>
              <w:rPr/>
            </w:pPr>
            <w:r>
              <w:rPr/>
              <w:t>​</w:t>
            </w:r>
          </w:p>
        </w:tc>
      </w:tr>
      <w:tr>
        <w:trPr/>
        <w:tc>
          <w:tcPr>
            <w:tcW w:w="31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January 31, 2023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(18,237)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(18,297)</w:t>
            </w:r>
          </w:p>
        </w:tc>
      </w:tr>
      <w:tr>
        <w:trPr/>
        <w:tc>
          <w:tcPr>
            <w:tcW w:w="31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credit losses,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w:t>
            </w:r>
          </w:p>
        </w:tc>
      </w:tr>
      <w:tr>
        <w:trPr/>
        <w:tc>
          <w:tcPr>
            <w:tcW w:w="31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written off as uncollectible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31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July 31, 2023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(18,428)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(18,491)</w:t>
            </w:r>
          </w:p>
        </w:tc>
      </w:tr>
      <w:tr>
        <w:trPr/>
        <w:tc>
          <w:tcPr>
            <w:tcW w:w="31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r>
      <w:tr>
        <w:trPr/>
        <w:tc>
          <w:tcPr>
            <w:tcW w:w="31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January 31, 2023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(18,237)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(18,297)</w:t>
            </w:r>
          </w:p>
        </w:tc>
      </w:tr>
      <w:tr>
        <w:trPr/>
        <w:tc>
          <w:tcPr>
            <w:tcW w:w="31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credit losses,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w:t>
            </w:r>
          </w:p>
        </w:tc>
      </w:tr>
      <w:tr>
        <w:trPr/>
        <w:tc>
          <w:tcPr>
            <w:tcW w:w="31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written off as uncollectible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16,663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16,663</w:t>
            </w:r>
          </w:p>
        </w:tc>
      </w:tr>
      <w:tr>
        <w:trPr/>
        <w:tc>
          <w:tcPr>
            <w:tcW w:w="31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January 31, 2024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(1,471)</w:t>
            </w:r>
          </w:p>
        </w:tc>
      </w:tr>
    </w:tbl>
    <w:p>
      <w:pPr>
        <w:pStyle w:val="TextBody"/>
        <w:bidi w:val="0"/>
        <w:spacing w:before="0" w:after="240"/>
        <w:ind w:left="0" w:right="0" w:hanging="0"/>
        <w:jc w:val="both"/>
        <w:rPr>
          <w:color w:val="212529"/>
        </w:rPr>
      </w:pPr>
      <w:r>
        <w:rPr>
          <w:color w:val="212529"/>
        </w:rPr>
        <w:t>​</w:t>
      </w:r>
    </w:p>
    <w:p>
      <w:pPr>
        <w:pStyle w:val="TextBody"/>
        <w:bidi w:val="0"/>
        <w:spacing w:before="0" w:after="240"/>
        <w:ind w:left="0" w:right="0" w:hanging="0"/>
        <w:jc w:val="both"/>
        <w:rPr>
          <w:color w:val="212529"/>
        </w:rPr>
      </w:pPr>
      <w:r>
        <w:rPr>
          <w:color w:val="212529"/>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3 – INVENTORIES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Wholesale inventories, which comprise a significant portion of the Company’s inventory, and KLH inventories are stated at the lower of cost (determined by the first-in, first-out method) or net realizable value. Retail and Vilebrequin inventories are stated at the lower of cost (determined by the weighted average method) or net realizable value. Substantially all of the Company’s inventories consist of finished goods.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inventory return asset, which consists of the amount of goods that are anticipated to be returned by customers, was $6.5 million, $8.5 million and $16.5 million as of July 31, 2024, July 31, 2023 and January 31, 2024, respectively. The inventory return asset is recorded within prepaid expenses and other current assets on the condensed consolidated balance sheets.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Inventory held on consignment by the Company’s customers totaled $4.7 million, $7.9 million and $6.6 million at July 31, 2024, July 31, 2023 and January 31, 2024, respectively. The Company reflects this inventory on its condensed consolidated balance sheets.</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4 – FAIR VALUE OF FINANCIAL INSTRUMENTS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Generally Accepted Accounting Principles establish a three-level valuation hierarchy for disclosure of fair value measurements. The determination of the applicable level within the hierarchy for a particular asset or liability depends on the inputs used in its valuation as of the measurement date, notably the extent to which the inputs are market-based (observable) or internally-derived (unobservable). A financial instrument’s categorization within the valuation hierarchy is based upon the lowest level of input that is significant to the fair value measurement. The three levels are defined as follows:</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inputs to the valuation methodology based on quoted prices (unadjusted) for identical assets or liabilities in active markets.</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inputs to the valuation methodology based on quoted prices for similar assets or liabilities in active markets for substantially the full term of the financial instrument; quoted prices for identical or similar instruments in markets that are not active for substantially the full term of the financial instrument; and model-derived valuations whose inputs or significant value drivers are observable.</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inputs to the valuation methodology based on unobservable prices or valuation techniques that are significant to the fair value measurement.</w:t>
            </w:r>
          </w:p>
        </w:tc>
      </w:tr>
    </w:tbl>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967" w:name="Tc_Pqxf2UmKFkq9YEP9xANSrw_9_14"/>
      <w:bookmarkStart w:id="968" w:name="Tc_tzFwi8XzT0mPnPJkaXq7Xg_9_5"/>
      <w:bookmarkStart w:id="969" w:name="Tc_5_x840tIiUupzyGwKOAObQ_9_2"/>
      <w:bookmarkStart w:id="970" w:name="Tc_ZKtc_lhf2EiXid4Niyx9DA_9_0"/>
      <w:bookmarkStart w:id="971" w:name="Tc_tKVSyOx3TEueD2jrePt4JQ_8_2"/>
      <w:bookmarkStart w:id="972" w:name="Tc_YDoaO_xMlEqGsfO9V3I5gA_8_0"/>
      <w:bookmarkStart w:id="973" w:name="Tc_vYkxhVHfJk28rHj1Nj9UnQ_7_2"/>
      <w:bookmarkStart w:id="974" w:name="Tc_g_LHLUgXFUGPcb7SgVKesQ_7_0"/>
      <w:bookmarkStart w:id="975" w:name="Tc_DyO9wbn-90q8iRdMd_3Jvw_6_20"/>
      <w:bookmarkStart w:id="976" w:name="Tc_fdFvUbJotkirLpERdZ_ikA_6_14"/>
      <w:bookmarkStart w:id="977" w:name="Tc_I7tpoweEDkKjDOMl_rczHg_6_11"/>
      <w:bookmarkStart w:id="978" w:name="Tc_sAytgi_YZkO_BCyKMUiuuA_6_5"/>
      <w:bookmarkStart w:id="979" w:name="Tc_Sc9bd8xk1U6_C3TL-tPqzg_6_2"/>
      <w:bookmarkStart w:id="980" w:name="Tc_gt-bmLQRxUC6GID5P0wtQQ_6_0"/>
      <w:bookmarkStart w:id="981" w:name="Tc_KJV1atumgEuGott8Anu3YQ_5_19"/>
      <w:bookmarkStart w:id="982" w:name="Tc_gHyHBfH9A0GnNcWJZBbxfw_5_16"/>
      <w:bookmarkStart w:id="983" w:name="Tc_aeGTpxnsDU6afR0eYQLIMQ_5_13"/>
      <w:bookmarkStart w:id="984" w:name="Tc_F77VpVSQyEuBU8DP_MxcQQ_5_10"/>
      <w:bookmarkStart w:id="985" w:name="Tc_k2DGVhT-akmZbJHnfG2NDg_5_7"/>
      <w:bookmarkStart w:id="986" w:name="Tc_rxlFfsF34EyCxKpAQIWiyw_5_4"/>
      <w:bookmarkStart w:id="987" w:name="Tc_hbzPxDAKLEq9BHJaQfloWQ_5_2"/>
      <w:bookmarkStart w:id="988" w:name="Tc_AI2gI--5Z06CdnAzV45hRA_5_0"/>
      <w:bookmarkStart w:id="989" w:name="Tc_3MOKuASUtEyIttKJX6JFhg_4_4"/>
      <w:bookmarkStart w:id="990" w:name="Tc_jsChfPp4iUSTWBoj3DEZQg_3_19"/>
      <w:bookmarkStart w:id="991" w:name="Tc_WNOw7xH6PEeXPrcvtuWqAA_3_16"/>
      <w:bookmarkStart w:id="992" w:name="Tc_QqBV_voEQUuZmElXtldKWA_3_13"/>
      <w:bookmarkStart w:id="993" w:name="Tc_u6pjw5EE7UuLWIkpkWWpmw_3_10"/>
      <w:bookmarkStart w:id="994" w:name="Tc_YCLCUzCKd0-qHvYhHzYpdg_3_7"/>
      <w:bookmarkStart w:id="995" w:name="Tc_0FMZ0fHDoUSboICjap7DQw_3_4"/>
      <w:bookmarkStart w:id="996" w:name="Tc_majPUXc1Ck2USw-UpcSYVQ_3_2"/>
      <w:bookmarkStart w:id="997" w:name="Tc_-X5n6LrYekWeXYNmPAPDNw_3_0"/>
      <w:bookmarkStart w:id="998" w:name="Tc_y3zINvm00Ui9FMob2h17_g_2_19"/>
      <w:bookmarkStart w:id="999" w:name="Tc_8yCSjBZgrUyWUOubVoK3VA_2_16"/>
      <w:bookmarkStart w:id="1000" w:name="Tc_KoDQUkvHLk2rCVzTxcPbxA_2_13"/>
      <w:bookmarkStart w:id="1001" w:name="Tc_mP8K13NaW06jMFi7jRC5Wg_2_10"/>
      <w:bookmarkStart w:id="1002" w:name="Tc_rDfA9bovPEiM8qMSpZTicQ_2_7"/>
      <w:bookmarkStart w:id="1003" w:name="Tc__rbADGlidE-Ge9q6n-p36A_2_4"/>
      <w:bookmarkStart w:id="1004" w:name="Tc_caMsvLFa3EGEFMN5VlwvFw_1_13"/>
      <w:bookmarkStart w:id="1005" w:name="Tc_XiYvLIePLUyQDTr7zhqbyg_1_4"/>
      <w:bookmarkStart w:id="1006" w:name="_080e3744_5439_49e9_9516_979d83051804"/>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r>
        <w:rPr>
          <w:rFonts w:ascii="Times New Roman;Times;serif" w:hAnsi="Times New Roman;Times;serif"/>
          <w:sz w:val="20"/>
        </w:rPr>
        <w:t>The following table summarizes the carrying values and the estimated fair values of the Company’s debt instruments:</w:t>
      </w:r>
    </w:p>
    <w:p>
      <w:pPr>
        <w:pStyle w:val="TextBody"/>
        <w:bidi w:val="0"/>
        <w:spacing w:before="0" w:after="240"/>
        <w:ind w:left="0" w:right="0" w:hanging="0"/>
        <w:jc w:val="both"/>
        <w:rPr/>
      </w:pPr>
      <w:r>
        <w:rPr/>
        <w:t>​</w:t>
      </w:r>
    </w:p>
    <w:tbl>
      <w:tblPr>
        <w:tblW w:w="9667" w:type="dxa"/>
        <w:jc w:val="left"/>
        <w:tblInd w:w="0" w:type="dxa"/>
        <w:tblLayout w:type="fixed"/>
        <w:tblCellMar>
          <w:top w:w="0" w:type="dxa"/>
          <w:left w:w="0" w:type="dxa"/>
          <w:bottom w:w="0" w:type="dxa"/>
          <w:right w:w="0" w:type="dxa"/>
        </w:tblCellMar>
      </w:tblPr>
      <w:tblGrid>
        <w:gridCol w:w="1891"/>
        <w:gridCol w:w="109"/>
        <w:gridCol w:w="496"/>
        <w:gridCol w:w="326"/>
        <w:gridCol w:w="211"/>
        <w:gridCol w:w="781"/>
        <w:gridCol w:w="109"/>
        <w:gridCol w:w="211"/>
        <w:gridCol w:w="781"/>
        <w:gridCol w:w="109"/>
        <w:gridCol w:w="220"/>
        <w:gridCol w:w="815"/>
        <w:gridCol w:w="326"/>
        <w:gridCol w:w="211"/>
        <w:gridCol w:w="781"/>
        <w:gridCol w:w="109"/>
        <w:gridCol w:w="211"/>
        <w:gridCol w:w="781"/>
        <w:gridCol w:w="109"/>
        <w:gridCol w:w="219"/>
        <w:gridCol w:w="861"/>
      </w:tblGrid>
      <w:tr>
        <w:trPr/>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200785" cy="175260"/>
                      <wp:effectExtent l="0" t="0" r="0" b="0"/>
                      <wp:wrapNone/>
                      <wp:docPr id="62" name="Frame62"/>
                      <a:graphic xmlns:a="http://schemas.openxmlformats.org/drawingml/2006/main">
                        <a:graphicData uri="http://schemas.microsoft.com/office/word/2010/wordprocessingShape">
                          <wps:wsp>
                            <wps:cNvSpPr txBox="1"/>
                            <wps:spPr>
                              <a:xfrm>
                                <a:off x="0" y="0"/>
                                <a:ext cx="1200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9215" cy="175260"/>
                      <wp:effectExtent l="0" t="0" r="0" b="0"/>
                      <wp:wrapNone/>
                      <wp:docPr id="63" name="Frame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314960" cy="175260"/>
                      <wp:effectExtent l="0" t="0" r="0" b="0"/>
                      <wp:wrapNone/>
                      <wp:docPr id="64" name="Frame64"/>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495935" cy="175260"/>
                      <wp:effectExtent l="0" t="0" r="0" b="0"/>
                      <wp:wrapNone/>
                      <wp:docPr id="65" name="Frame6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9215" cy="175260"/>
                      <wp:effectExtent l="0" t="0" r="0" b="0"/>
                      <wp:wrapNone/>
                      <wp:docPr id="66" name="Frame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95935" cy="175260"/>
                      <wp:effectExtent l="0" t="0" r="0" b="0"/>
                      <wp:wrapNone/>
                      <wp:docPr id="67" name="Frame6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9215" cy="175260"/>
                      <wp:effectExtent l="0" t="0" r="0" b="0"/>
                      <wp:wrapNone/>
                      <wp:docPr id="68" name="Frame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517525" cy="175260"/>
                      <wp:effectExtent l="0" t="0" r="0" b="0"/>
                      <wp:wrapNone/>
                      <wp:docPr id="69" name="Frame69"/>
                      <a:graphic xmlns:a="http://schemas.openxmlformats.org/drawingml/2006/main">
                        <a:graphicData uri="http://schemas.microsoft.com/office/word/2010/wordprocessingShape">
                          <wps:wsp>
                            <wps:cNvSpPr txBox="1"/>
                            <wps:spPr>
                              <a:xfrm>
                                <a:off x="0" y="0"/>
                                <a:ext cx="517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95935" cy="175260"/>
                      <wp:effectExtent l="0" t="0" r="0" b="0"/>
                      <wp:wrapNone/>
                      <wp:docPr id="70" name="Frame7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9215" cy="175260"/>
                      <wp:effectExtent l="0" t="0" r="0" b="0"/>
                      <wp:wrapNone/>
                      <wp:docPr id="71" name="Frame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495935" cy="175260"/>
                      <wp:effectExtent l="0" t="0" r="0" b="0"/>
                      <wp:wrapNone/>
                      <wp:docPr id="72" name="Frame7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9215" cy="175260"/>
                      <wp:effectExtent l="0" t="0" r="0" b="0"/>
                      <wp:wrapNone/>
                      <wp:docPr id="73" name="Frame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546735" cy="175260"/>
                      <wp:effectExtent l="0" t="0" r="0" b="0"/>
                      <wp:wrapNone/>
                      <wp:docPr id="74" name="Frame74"/>
                      <a:graphic xmlns:a="http://schemas.openxmlformats.org/drawingml/2006/main">
                        <a:graphicData uri="http://schemas.microsoft.com/office/word/2010/wordprocessingShape">
                          <wps:wsp>
                            <wps:cNvSpPr txBox="1"/>
                            <wps:spPr>
                              <a:xfrm>
                                <a:off x="0" y="0"/>
                                <a:ext cx="546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3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Carrying</w:t>
            </w:r>
            <w:r>
              <w:rPr>
                <w:rFonts w:ascii="Times New Roman;Times;serif" w:hAnsi="Times New Roman;Times;serif"/>
                <w:sz w:val="16"/>
              </w:rPr>
              <w:t> </w:t>
            </w:r>
            <w:r>
              <w:rPr>
                <w:rFonts w:ascii="Times New Roman;Times;serif" w:hAnsi="Times New Roman;Times;serif"/>
                <w:b/>
                <w:sz w:val="16"/>
              </w:rPr>
              <w:t>Value</w:t>
            </w:r>
          </w:p>
        </w:tc>
        <w:tc>
          <w:tcPr>
            <w:tcW w:w="326" w:type="dxa"/>
            <w:tcBorders/>
            <w:vAlign w:val="center"/>
          </w:tcPr>
          <w:p>
            <w:pPr>
              <w:pStyle w:val="TableContents"/>
              <w:bidi w:val="0"/>
              <w:spacing w:before="0" w:after="0"/>
              <w:ind w:left="0" w:right="0" w:hanging="0"/>
              <w:jc w:val="left"/>
              <w:rPr/>
            </w:pPr>
            <w:r>
              <w:rPr/>
              <w:t>​</w:t>
            </w:r>
          </w:p>
        </w:tc>
        <w:tc>
          <w:tcPr>
            <w:tcW w:w="328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18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July 31, </w:t>
            </w:r>
          </w:p>
        </w:tc>
        <w:tc>
          <w:tcPr>
            <w:tcW w:w="109"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July 31, </w:t>
            </w:r>
          </w:p>
        </w:tc>
        <w:tc>
          <w:tcPr>
            <w:tcW w:w="109" w:type="dxa"/>
            <w:tcBorders/>
            <w:vAlign w:val="center"/>
          </w:tcPr>
          <w:p>
            <w:pPr>
              <w:pStyle w:val="TableContents"/>
              <w:bidi w:val="0"/>
              <w:spacing w:before="0" w:after="0"/>
              <w:ind w:left="0" w:right="0" w:hanging="0"/>
              <w:jc w:val="left"/>
              <w:rPr/>
            </w:pPr>
            <w:r>
              <w:rPr/>
              <w:t>​</w:t>
            </w:r>
          </w:p>
        </w:tc>
        <w:tc>
          <w:tcPr>
            <w:tcW w:w="103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January 31, </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July 31, </w:t>
            </w:r>
          </w:p>
        </w:tc>
        <w:tc>
          <w:tcPr>
            <w:tcW w:w="109"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July 31, </w:t>
            </w:r>
          </w:p>
        </w:tc>
        <w:tc>
          <w:tcPr>
            <w:tcW w:w="109" w:type="dxa"/>
            <w:tcBorders/>
            <w:vAlign w:val="center"/>
          </w:tcPr>
          <w:p>
            <w:pPr>
              <w:pStyle w:val="TableContents"/>
              <w:bidi w:val="0"/>
              <w:spacing w:before="0" w:after="0"/>
              <w:ind w:left="0" w:right="0" w:hanging="0"/>
              <w:jc w:val="left"/>
              <w:rPr/>
            </w:pPr>
            <w:r>
              <w:rPr/>
              <w:t>​</w:t>
            </w:r>
          </w:p>
        </w:tc>
        <w:tc>
          <w:tcPr>
            <w:tcW w:w="108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January 31, </w:t>
            </w:r>
          </w:p>
        </w:tc>
      </w:tr>
      <w:tr>
        <w:trPr/>
        <w:tc>
          <w:tcPr>
            <w:tcW w:w="18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b/>
                <w:sz w:val="16"/>
              </w:rPr>
              <w:t>Financial</w:t>
            </w:r>
            <w:r>
              <w:rPr>
                <w:rFonts w:ascii="Times New Roman;Times;serif" w:hAnsi="Times New Roman;Times;serif"/>
                <w:sz w:val="16"/>
              </w:rPr>
              <w:t> </w:t>
            </w:r>
            <w:r>
              <w:rPr>
                <w:rFonts w:ascii="Times New Roman;Times;serif" w:hAnsi="Times New Roman;Times;serif"/>
                <w:b/>
                <w:sz w:val="16"/>
              </w:rPr>
              <w:t>Instrument</w:t>
            </w:r>
          </w:p>
        </w:tc>
        <w:tc>
          <w:tcPr>
            <w:tcW w:w="109" w:type="dxa"/>
            <w:tcBorders/>
            <w:vAlign w:val="center"/>
          </w:tcPr>
          <w:p>
            <w:pPr>
              <w:pStyle w:val="TableContents"/>
              <w:bidi w:val="0"/>
              <w:spacing w:before="0" w:after="0"/>
              <w:ind w:left="0" w:right="0" w:hanging="0"/>
              <w:jc w:val="left"/>
              <w:rPr/>
            </w:pPr>
            <w:r>
              <w:rPr/>
              <w:t>​</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9667" w:type="dxa"/>
            <w:gridSpan w:val="21"/>
            <w:tcBorders/>
            <w:vAlign w:val="center"/>
          </w:tcPr>
          <w:p>
            <w:pPr>
              <w:pStyle w:val="TableContents"/>
              <w:bidi w:val="0"/>
              <w:spacing w:before="0" w:after="283"/>
              <w:ind w:left="0" w:right="0" w:hanging="0"/>
              <w:jc w:val="left"/>
              <w:rPr>
                <w:sz w:val="4"/>
                <w:szCs w:val="4"/>
              </w:rPr>
            </w:pPr>
            <w:r>
              <w:rPr>
                <w:sz w:val="4"/>
                <w:szCs w:val="4"/>
              </w:rPr>
            </w:r>
          </w:p>
        </w:tc>
      </w:tr>
      <w:tr>
        <w:trPr/>
        <w:tc>
          <w:tcPr>
            <w:tcW w:w="18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45" w:type="dxa"/>
            <w:gridSpan w:val="17"/>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(In</w:t>
            </w:r>
            <w:r>
              <w:rPr>
                <w:rFonts w:ascii="Times New Roman;Times;serif" w:hAnsi="Times New Roman;Times;serif"/>
                <w:sz w:val="16"/>
              </w:rPr>
              <w:t> </w:t>
            </w:r>
            <w:r>
              <w:rPr>
                <w:rFonts w:ascii="Times New Roman;Times;serif" w:hAnsi="Times New Roman;Times;serif"/>
                <w:b/>
                <w:sz w:val="16"/>
              </w:rPr>
              <w:t>thousands)</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Secured Notes</w:t>
            </w:r>
          </w:p>
        </w:tc>
        <w:tc>
          <w:tcPr>
            <w:tcW w:w="109"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400,000</w:t>
            </w:r>
          </w:p>
        </w:tc>
        <w:tc>
          <w:tcPr>
            <w:tcW w:w="109"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400,412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393,000</w:t>
            </w:r>
          </w:p>
        </w:tc>
        <w:tc>
          <w:tcPr>
            <w:tcW w:w="109"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401,080</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 issued to LVMH</w:t>
            </w:r>
          </w:p>
        </w:tc>
        <w:tc>
          <w:tcPr>
            <w:tcW w:w="109"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49,105</w:t>
            </w:r>
          </w:p>
        </w:tc>
        <w:tc>
          <w:tcPr>
            <w:tcW w:w="109"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48,391</w:t>
            </w:r>
          </w:p>
        </w:tc>
        <w:tc>
          <w:tcPr>
            <w:tcW w:w="109"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right"/>
              <w:rPr/>
            </w:pPr>
            <w:r>
              <w:rPr/>
              <w:t>—</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Unsecured loans</w:t>
            </w:r>
          </w:p>
        </w:tc>
        <w:tc>
          <w:tcPr>
            <w:tcW w:w="109"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9,913</w:t>
            </w:r>
          </w:p>
        </w:tc>
        <w:tc>
          <w:tcPr>
            <w:tcW w:w="109"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8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8,791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9,913</w:t>
            </w:r>
          </w:p>
        </w:tc>
        <w:tc>
          <w:tcPr>
            <w:tcW w:w="109"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8,791</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Overdraft facilities</w:t>
            </w:r>
          </w:p>
        </w:tc>
        <w:tc>
          <w:tcPr>
            <w:tcW w:w="109"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7,906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2,202</w:t>
            </w:r>
          </w:p>
        </w:tc>
        <w:tc>
          <w:tcPr>
            <w:tcW w:w="109"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7,906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2,202</w:t>
            </w:r>
          </w:p>
        </w:tc>
        <w:tc>
          <w:tcPr>
            <w:tcW w:w="109"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2,651</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credit facility</w:t>
            </w:r>
          </w:p>
        </w:tc>
        <w:tc>
          <w:tcPr>
            <w:tcW w:w="109"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8,213</w:t>
            </w:r>
          </w:p>
        </w:tc>
        <w:tc>
          <w:tcPr>
            <w:tcW w:w="109"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8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8,213</w:t>
            </w:r>
          </w:p>
        </w:tc>
        <w:tc>
          <w:tcPr>
            <w:tcW w:w="109"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86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8,939</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Company’s debt instruments are recorded at their carrying values in its condensed consolidated balance sheets, which may differ from their respective fair values. The fair value of the Company’s secured notes is based on their current market price as of July 31, 2024. The carrying amount of the Company’s variable rate debt approximates the fair value, as interest rates change with market rates. Furthermore, the carrying value of all other financial instruments potentially subject to valuation risk (principally consisting of cash, accounts receivable and accounts payable) also approximates fair value due to the short-term nature of these accounts.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2% note in the original principal amount of $125 million (the “LVMH Note”) issued to LVMH Moet Hennessy Louis Vuitton Inc. (“LVMH”) in connection with the acquisition of DKNY and Donna Karan was recorded on the balance sheet at a discount of $40.0 million in accordance with ASC 820 – </w:t>
      </w:r>
      <w:r>
        <w:rPr>
          <w:rFonts w:ascii="Times New Roman;Times;serif" w:hAnsi="Times New Roman;Times;serif"/>
          <w:i/>
          <w:sz w:val="20"/>
        </w:rPr>
        <w:t xml:space="preserve">Fair Value Measurements </w:t>
      </w:r>
      <w:r>
        <w:rPr>
          <w:rFonts w:ascii="Times New Roman;Times;serif" w:hAnsi="Times New Roman;Times;serif"/>
          <w:sz w:val="20"/>
        </w:rPr>
        <w:t>(“ASC 820”). For purposes of this fair value disclosure, the Company based its fair value estimate for the LVMH Note on the initial fair value as determined at the date of the acquisition of DKNY and Donna Karan and recorded amortization using the effective interest method over the term of the LVMH Note. The Company repaid $75.0 million of the principal amount of the LVMH Note on June 1, 2023 and the remaining $50.0 million of such principal amount on December 1, 2023.</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fair value of the LVMH Note was considered a Level 3 valuation in the fair value hierarchy.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Non-Financial Assets and Liabilities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Company’s non-financial assets that are measured at fair value on a nonrecurring basis include long-lived assets, which consist primarily of property and equipment and operating lease assets. The Company reviews these assets for impairment whenever events or changes in circumstances indicate that their carrying value may not be fully recoverable. For assets that are not recoverable, an impairment loss is recognized equal to the difference between the carrying amount of the asset or asset group and its estimated fair value. For operating lease assets, the Company determines the fair value of the assets by discounting the estimated market rental rates over the remaining term of the lease. These fair value measurements are considered level 3 measurements in the fair value hierarchy. </w:t>
      </w:r>
      <w:r>
        <w:rPr>
          <w:rFonts w:ascii="Times New Roman;Times;serif" w:hAnsi="Times New Roman;Times;serif"/>
          <w:color w:val="212529"/>
          <w:sz w:val="20"/>
          <w:shd w:fill="FFFFFF" w:val="clear"/>
        </w:rPr>
        <w:t xml:space="preserve">During fiscal 2024, the Company recorded a $1.3 million impairment charge primarily related to leasehold improvements, furniture and fixtures, computer hardware and operating lease assets at certain DKNY, Karl Lagerfeld and Vilebrequin stores as a result of the performance of these stores. </w:t>
      </w:r>
    </w:p>
    <w:p>
      <w:pPr>
        <w:pStyle w:val="TextBody"/>
        <w:bidi w:val="0"/>
        <w:spacing w:before="0" w:after="240"/>
        <w:ind w:left="0" w:right="0" w:hanging="0"/>
        <w:jc w:val="both"/>
        <w:rPr>
          <w:color w:val="212529"/>
          <w:shd w:fill="FFFFFF" w:val="clear"/>
        </w:rPr>
      </w:pPr>
      <w:r>
        <w:rPr>
          <w:color w:val="212529"/>
          <w:shd w:fill="FFFFFF" w:val="clea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5 – LEASES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leases retail stores, warehouses, distribution centers, office space and certain equipment. Leases with an initial term of 12 months or less are not recorded on the balance sheet. The Company recognizes lease expense for these leases on a straight-line basis over the lease term.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Most leases are for a term of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ten years.  Some leases include one or more options to renew, with renewal terms that can extend the lease term from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ten years.  Several of the Company’s retail store leases include an option to terminate the lease based on failure to achieve a specified sales volume. The exercise of lease renewal options is generally at the Company’s sole discretion. The exercise of lease termination options is generally by mutual agreement between the Company and the lessor. </w:t>
      </w:r>
    </w:p>
    <w:p>
      <w:pPr>
        <w:pStyle w:val="TextBody"/>
        <w:bidi w:val="0"/>
        <w:spacing w:before="0" w:after="24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1007" w:name="Tc_2unuoj3pYEakuXxm5kXlag_11_2"/>
      <w:bookmarkStart w:id="1008" w:name="Tc_L8gcOUXOgUutDLXwvt4mmQ_11_0"/>
      <w:bookmarkStart w:id="1009" w:name="Tc_ZQ-fc-xsGE6peDu1ZYlZEg_10_0"/>
      <w:bookmarkStart w:id="1010" w:name="Tc_4Vm1W19p3U2qRb-QSw2UyQ_9_2"/>
      <w:bookmarkStart w:id="1011" w:name="Tc_ITHA46JwXUCbMdSJUF27Dg_9_0"/>
      <w:bookmarkStart w:id="1012" w:name="Tc_FNXYh5INqUWTA6Y1B6zAgQ_8_0"/>
      <w:bookmarkStart w:id="1013" w:name="Tc_3Fg2KHjc6ECDYZdI0Afjtg_7_0"/>
      <w:bookmarkStart w:id="1014" w:name="Tc_L3eD2v_6ZESllYxEVfzdxg_6_0"/>
      <w:bookmarkStart w:id="1015" w:name="Tc_nElEjvaacUWAo4R8ZiESjw_5_0"/>
      <w:bookmarkStart w:id="1016" w:name="Tc_dnVpZ3qwkk-WiGDuFGl_3g_4_0"/>
      <w:bookmarkStart w:id="1017" w:name="Tc_VTMxydFsIEug4FmwVp1X3Q_3_2"/>
      <w:bookmarkStart w:id="1018" w:name="Tc_xWa62YMAdk2YZPRlHIfP1Q_3_0"/>
      <w:bookmarkStart w:id="1019" w:name="Tc_Gl1JVqB9PE2-VQsetQ7BFA_2_2"/>
      <w:bookmarkStart w:id="1020" w:name="Tc_UoT7JzCHfkKVpG96B_tb8A_1_2"/>
      <w:bookmarkStart w:id="1021" w:name="Tc_tlXVGx5QUkeSdk5Q4NaAPw_1_0"/>
      <w:bookmarkStart w:id="1022" w:name="_836005a6_c4a2_424a_92e3_e8a37ee62022"/>
      <w:bookmarkStart w:id="1023" w:name="Tc_8KW1_x7L4EyU_5IVaC6Llw_10_10"/>
      <w:bookmarkStart w:id="1024" w:name="Tc_gk9PNvPvx0aZHelGHQsG5w_10_7"/>
      <w:bookmarkStart w:id="1025" w:name="Tc_JxzVel68FUm25uL0KdGBlQ_10_4"/>
      <w:bookmarkStart w:id="1026" w:name="Tc_74W6uIu8TE-5zhQhVmnBXw_10_0"/>
      <w:bookmarkStart w:id="1027" w:name="Tc_nFbyL0QRIEyA6Tsh4XM19A_9_0"/>
      <w:bookmarkStart w:id="1028" w:name="Tc_TNQaf6JnekKnZLpNnwd7eA_8_10"/>
      <w:bookmarkStart w:id="1029" w:name="Tc_oPkv1dd6lkC6gEDpRGqyDA_8_7"/>
      <w:bookmarkStart w:id="1030" w:name="Tc_ZaVHXxkjJUKxgmYxSHrshw_8_4"/>
      <w:bookmarkStart w:id="1031" w:name="Tc_KAZIOhLt5EGgFqZE32AnAA_8_0"/>
      <w:bookmarkStart w:id="1032" w:name="Tc_VLQ-DXM8lUGIQXleP-N77A_7_0"/>
      <w:bookmarkStart w:id="1033" w:name="Tc_liRT7U6RuUWAC5VU2VriOw_5_10"/>
      <w:bookmarkStart w:id="1034" w:name="Tc_o79lusFhBUCZBEUUtvFkXQ_5_7"/>
      <w:bookmarkStart w:id="1035" w:name="Tc_WdTQmHy1vUyUyPF53PpOfg_5_4"/>
      <w:bookmarkStart w:id="1036" w:name="Tc_fLAKbzszlkiC4lH2oFgr8A_5_0"/>
      <w:bookmarkStart w:id="1037" w:name="Tc_w7KrKlf5pUmHb4YTAWt8ww_4_0"/>
      <w:bookmarkStart w:id="1038" w:name="Tc_G6qAaep59km7MK3UqjWDwQ_3_4"/>
      <w:bookmarkStart w:id="1039" w:name="Tc_HxgjkPU1okeX2nFrPwYR9Q_2_10"/>
      <w:bookmarkStart w:id="1040" w:name="Tc_TZT3AoMmM0W_uyqUWe6mMg_2_7"/>
      <w:bookmarkStart w:id="1041" w:name="Tc_LPMp-bTviUy4A4UmYVXcFg_2_4"/>
      <w:bookmarkStart w:id="1042" w:name="Tc_dOsBX1qeqUSZCFPFVE_Ksg_2_2"/>
      <w:bookmarkStart w:id="1043" w:name="Tc_CTEoSC19g0m0I2nOWYtoUA_2_0"/>
      <w:bookmarkStart w:id="1044" w:name="_fbb4c741_8c65_40f4_a2b5_1acb2730c71d"/>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r>
        <w:rPr>
          <w:rFonts w:ascii="Times New Roman;Times;serif" w:hAnsi="Times New Roman;Times;serif"/>
          <w:sz w:val="20"/>
        </w:rPr>
        <w:t>Certain of the Company’s lease agreements include rental payments based on a percentage of retail sales over contractual levels and others include rental payments adjusted periodically for inflation. The Company’s leases do not contain any material residual value guarantees or material restrictive covenants.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Company’s operating lease assets and liabilities as of July 31, 2024, July 31, 2023 and January 31, 2024 consist of the following:</w:t>
      </w:r>
    </w:p>
    <w:tbl>
      <w:tblPr>
        <w:tblW w:w="9048" w:type="dxa"/>
        <w:jc w:val="left"/>
        <w:tblInd w:w="0" w:type="dxa"/>
        <w:tblLayout w:type="fixed"/>
        <w:tblCellMar>
          <w:top w:w="0" w:type="dxa"/>
          <w:left w:w="0" w:type="dxa"/>
          <w:bottom w:w="0" w:type="dxa"/>
          <w:right w:w="0" w:type="dxa"/>
        </w:tblCellMar>
      </w:tblPr>
      <w:tblGrid>
        <w:gridCol w:w="1861"/>
        <w:gridCol w:w="109"/>
        <w:gridCol w:w="3121"/>
        <w:gridCol w:w="109"/>
        <w:gridCol w:w="233"/>
        <w:gridCol w:w="862"/>
        <w:gridCol w:w="109"/>
        <w:gridCol w:w="233"/>
        <w:gridCol w:w="862"/>
        <w:gridCol w:w="109"/>
        <w:gridCol w:w="277"/>
        <w:gridCol w:w="1163"/>
      </w:tblGrid>
      <w:tr>
        <w:trPr/>
        <w:tc>
          <w:tcPr>
            <w:tcW w:w="1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181735" cy="175260"/>
                      <wp:effectExtent l="0" t="0" r="0" b="0"/>
                      <wp:wrapNone/>
                      <wp:docPr id="75" name="Frame75"/>
                      <a:graphic xmlns:a="http://schemas.openxmlformats.org/drawingml/2006/main">
                        <a:graphicData uri="http://schemas.microsoft.com/office/word/2010/wordprocessingShape">
                          <wps:wsp>
                            <wps:cNvSpPr txBox="1"/>
                            <wps:spPr>
                              <a:xfrm>
                                <a:off x="0" y="0"/>
                                <a:ext cx="1181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9215" cy="175260"/>
                      <wp:effectExtent l="0" t="0" r="0" b="0"/>
                      <wp:wrapNone/>
                      <wp:docPr id="76" name="Frame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981835" cy="175260"/>
                      <wp:effectExtent l="0" t="0" r="0" b="0"/>
                      <wp:wrapNone/>
                      <wp:docPr id="77" name="Frame77"/>
                      <a:graphic xmlns:a="http://schemas.openxmlformats.org/drawingml/2006/main">
                        <a:graphicData uri="http://schemas.microsoft.com/office/word/2010/wordprocessingShape">
                          <wps:wsp>
                            <wps:cNvSpPr txBox="1"/>
                            <wps:spPr>
                              <a:xfrm>
                                <a:off x="0" y="0"/>
                                <a:ext cx="1981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9215" cy="175260"/>
                      <wp:effectExtent l="0" t="0" r="0" b="0"/>
                      <wp:wrapNone/>
                      <wp:docPr id="78" name="Frame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47955" cy="175260"/>
                      <wp:effectExtent l="0" t="0" r="0" b="0"/>
                      <wp:wrapNone/>
                      <wp:docPr id="79" name="Frame79"/>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47370" cy="175260"/>
                      <wp:effectExtent l="0" t="0" r="0" b="0"/>
                      <wp:wrapNone/>
                      <wp:docPr id="80" name="Frame80"/>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9215" cy="175260"/>
                      <wp:effectExtent l="0" t="0" r="0" b="0"/>
                      <wp:wrapNone/>
                      <wp:docPr id="81" name="Frame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47955" cy="175260"/>
                      <wp:effectExtent l="0" t="0" r="0" b="0"/>
                      <wp:wrapNone/>
                      <wp:docPr id="82" name="Frame82"/>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547370" cy="175260"/>
                      <wp:effectExtent l="0" t="0" r="0" b="0"/>
                      <wp:wrapNone/>
                      <wp:docPr id="83" name="Frame83"/>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9215" cy="175260"/>
                      <wp:effectExtent l="0" t="0" r="0" b="0"/>
                      <wp:wrapNone/>
                      <wp:docPr id="84" name="Frame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75895" cy="175260"/>
                      <wp:effectExtent l="0" t="0" r="0" b="0"/>
                      <wp:wrapNone/>
                      <wp:docPr id="85" name="Frame85"/>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738505" cy="175260"/>
                      <wp:effectExtent l="0" t="0" r="0" b="0"/>
                      <wp:wrapNone/>
                      <wp:docPr id="86" name="Frame86"/>
                      <a:graphic xmlns:a="http://schemas.openxmlformats.org/drawingml/2006/main">
                        <a:graphicData uri="http://schemas.microsoft.com/office/word/2010/wordprocessingShape">
                          <wps:wsp>
                            <wps:cNvSpPr txBox="1"/>
                            <wps:spPr>
                              <a:xfrm>
                                <a:off x="0" y="0"/>
                                <a:ext cx="738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163" w:type="dxa"/>
            <w:tcBorders/>
            <w:vAlign w:val="center"/>
          </w:tcPr>
          <w:p>
            <w:pPr>
              <w:pStyle w:val="TableContents"/>
              <w:bidi w:val="0"/>
              <w:spacing w:before="0" w:after="0"/>
              <w:ind w:left="0" w:right="0" w:hanging="0"/>
              <w:jc w:val="left"/>
              <w:rPr/>
            </w:pPr>
            <w:r>
              <w:rPr/>
              <w:t>​</w:t>
            </w:r>
          </w:p>
        </w:tc>
      </w:tr>
      <w:tr>
        <w:trPr/>
        <w:tc>
          <w:tcPr>
            <w:tcW w:w="18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Leases</w:t>
            </w:r>
          </w:p>
        </w:tc>
        <w:tc>
          <w:tcPr>
            <w:tcW w:w="109" w:type="dxa"/>
            <w:tcBorders/>
            <w:vAlign w:val="center"/>
          </w:tcPr>
          <w:p>
            <w:pPr>
              <w:pStyle w:val="TableContents"/>
              <w:bidi w:val="0"/>
              <w:spacing w:before="0" w:after="0"/>
              <w:ind w:left="0" w:right="0" w:hanging="0"/>
              <w:jc w:val="left"/>
              <w:rPr/>
            </w:pPr>
            <w:r>
              <w:rPr/>
              <w:t>​</w:t>
            </w:r>
          </w:p>
        </w:tc>
        <w:tc>
          <w:tcPr>
            <w:tcW w:w="31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Classification</w:t>
            </w:r>
          </w:p>
        </w:tc>
        <w:tc>
          <w:tcPr>
            <w:tcW w:w="109" w:type="dxa"/>
            <w:tcBorders/>
            <w:vAlign w:val="center"/>
          </w:tcPr>
          <w:p>
            <w:pPr>
              <w:pStyle w:val="TableContents"/>
              <w:bidi w:val="0"/>
              <w:spacing w:before="0" w:after="0"/>
              <w:ind w:left="0" w:right="0" w:hanging="0"/>
              <w:jc w:val="left"/>
              <w:rPr/>
            </w:pPr>
            <w:r>
              <w:rPr/>
              <w:t>​</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31, 2024</w:t>
            </w:r>
          </w:p>
        </w:tc>
        <w:tc>
          <w:tcPr>
            <w:tcW w:w="109" w:type="dxa"/>
            <w:tcBorders/>
            <w:vAlign w:val="center"/>
          </w:tcPr>
          <w:p>
            <w:pPr>
              <w:pStyle w:val="TableContents"/>
              <w:bidi w:val="0"/>
              <w:spacing w:before="0" w:after="0"/>
              <w:ind w:left="0" w:right="0" w:hanging="0"/>
              <w:jc w:val="center"/>
              <w:rPr/>
            </w:pPr>
            <w:r>
              <w:rPr/>
              <w:t>​</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31, 2023</w:t>
            </w:r>
          </w:p>
        </w:tc>
        <w:tc>
          <w:tcPr>
            <w:tcW w:w="109" w:type="dxa"/>
            <w:tcBorders/>
            <w:vAlign w:val="center"/>
          </w:tcPr>
          <w:p>
            <w:pPr>
              <w:pStyle w:val="TableContents"/>
              <w:bidi w:val="0"/>
              <w:spacing w:before="0" w:after="0"/>
              <w:ind w:left="0" w:right="0" w:hanging="0"/>
              <w:jc w:val="center"/>
              <w:rPr/>
            </w:pPr>
            <w:r>
              <w:rPr/>
              <w:t>​</w:t>
            </w:r>
          </w:p>
        </w:tc>
        <w:tc>
          <w:tcPr>
            <w:tcW w:w="1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 2024</w:t>
            </w:r>
          </w:p>
        </w:tc>
      </w:tr>
      <w:tr>
        <w:trPr/>
        <w:tc>
          <w:tcPr>
            <w:tcW w:w="9048"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18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848"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109" w:type="dxa"/>
            <w:tcBorders/>
            <w:shd w:fill="CCEEFF" w:val="clear"/>
            <w:vAlign w:val="center"/>
          </w:tcPr>
          <w:p>
            <w:pPr>
              <w:pStyle w:val="TableContents"/>
              <w:bidi w:val="0"/>
              <w:spacing w:before="0" w:after="0"/>
              <w:ind w:left="0" w:right="0" w:hanging="0"/>
              <w:jc w:val="left"/>
              <w:rPr/>
            </w:pPr>
            <w:r>
              <w:rPr/>
              <w:t>​</w:t>
            </w:r>
          </w:p>
        </w:tc>
        <w:tc>
          <w:tcPr>
            <w:tcW w:w="312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163" w:type="dxa"/>
            <w:tcBorders/>
            <w:shd w:fill="CCEEFF" w:val="clear"/>
            <w:vAlign w:val="center"/>
          </w:tcPr>
          <w:p>
            <w:pPr>
              <w:pStyle w:val="TableContents"/>
              <w:bidi w:val="0"/>
              <w:spacing w:before="0" w:after="0"/>
              <w:ind w:left="0" w:right="0" w:hanging="0"/>
              <w:jc w:val="left"/>
              <w:rPr/>
            </w:pPr>
            <w:r>
              <w:rPr/>
              <w:t>​</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w:t>
            </w:r>
          </w:p>
        </w:tc>
        <w:tc>
          <w:tcPr>
            <w:tcW w:w="109" w:type="dxa"/>
            <w:tcBorders/>
            <w:vAlign w:val="center"/>
          </w:tcPr>
          <w:p>
            <w:pPr>
              <w:pStyle w:val="TableContents"/>
              <w:bidi w:val="0"/>
              <w:spacing w:before="0" w:after="0"/>
              <w:ind w:left="0" w:right="0" w:hanging="0"/>
              <w:jc w:val="left"/>
              <w:rPr/>
            </w:pPr>
            <w:r>
              <w:rPr/>
              <w:t>​</w:t>
            </w:r>
          </w:p>
        </w:tc>
        <w:tc>
          <w:tcPr>
            <w:tcW w:w="312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assets</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204,008</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229,723</w:t>
            </w:r>
          </w:p>
        </w:tc>
        <w:tc>
          <w:tcPr>
            <w:tcW w:w="109"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216,886</w:t>
            </w:r>
          </w:p>
        </w:tc>
      </w:tr>
      <w:tr>
        <w:trPr/>
        <w:tc>
          <w:tcPr>
            <w:tcW w:w="18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2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163" w:type="dxa"/>
            <w:tcBorders/>
            <w:shd w:fill="CCEEFF" w:val="clear"/>
            <w:vAlign w:val="center"/>
          </w:tcPr>
          <w:p>
            <w:pPr>
              <w:pStyle w:val="TableContents"/>
              <w:bidi w:val="0"/>
              <w:spacing w:before="0" w:after="0"/>
              <w:ind w:left="0" w:right="0" w:hanging="0"/>
              <w:jc w:val="left"/>
              <w:rPr/>
            </w:pPr>
            <w:r>
              <w:rPr/>
              <w:t>​</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109" w:type="dxa"/>
            <w:tcBorders/>
            <w:vAlign w:val="center"/>
          </w:tcPr>
          <w:p>
            <w:pPr>
              <w:pStyle w:val="TableContents"/>
              <w:bidi w:val="0"/>
              <w:spacing w:before="0" w:after="0"/>
              <w:ind w:left="0" w:right="0" w:hanging="0"/>
              <w:jc w:val="left"/>
              <w:rPr/>
            </w:pPr>
            <w:r>
              <w:rPr/>
              <w:t>​</w:t>
            </w:r>
          </w:p>
        </w:tc>
        <w:tc>
          <w:tcPr>
            <w:tcW w:w="31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163" w:type="dxa"/>
            <w:tcBorders/>
            <w:vAlign w:val="center"/>
          </w:tcPr>
          <w:p>
            <w:pPr>
              <w:pStyle w:val="TableContents"/>
              <w:bidi w:val="0"/>
              <w:spacing w:before="0" w:after="0"/>
              <w:ind w:left="0" w:right="0" w:hanging="0"/>
              <w:jc w:val="left"/>
              <w:rPr/>
            </w:pPr>
            <w:r>
              <w:rPr/>
              <w:t>​</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operating</w:t>
            </w:r>
          </w:p>
        </w:tc>
        <w:tc>
          <w:tcPr>
            <w:tcW w:w="109" w:type="dxa"/>
            <w:tcBorders/>
            <w:shd w:fill="CCEEFF" w:val="clear"/>
            <w:vAlign w:val="center"/>
          </w:tcPr>
          <w:p>
            <w:pPr>
              <w:pStyle w:val="TableContents"/>
              <w:bidi w:val="0"/>
              <w:spacing w:before="0" w:after="0"/>
              <w:ind w:left="0" w:right="0" w:hanging="0"/>
              <w:jc w:val="left"/>
              <w:rPr/>
            </w:pPr>
            <w:r>
              <w:rPr/>
              <w:t>​</w:t>
            </w:r>
          </w:p>
        </w:tc>
        <w:tc>
          <w:tcPr>
            <w:tcW w:w="312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operating lease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54,983</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54,563</w:t>
            </w:r>
          </w:p>
        </w:tc>
        <w:tc>
          <w:tcPr>
            <w:tcW w:w="109"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56,587</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operating</w:t>
            </w:r>
          </w:p>
        </w:tc>
        <w:tc>
          <w:tcPr>
            <w:tcW w:w="109" w:type="dxa"/>
            <w:tcBorders/>
            <w:vAlign w:val="center"/>
          </w:tcPr>
          <w:p>
            <w:pPr>
              <w:pStyle w:val="TableContents"/>
              <w:bidi w:val="0"/>
              <w:spacing w:before="0" w:after="0"/>
              <w:ind w:left="0" w:right="0" w:hanging="0"/>
              <w:jc w:val="left"/>
              <w:rPr/>
            </w:pPr>
            <w:r>
              <w:rPr/>
              <w:t>​</w:t>
            </w:r>
          </w:p>
        </w:tc>
        <w:tc>
          <w:tcPr>
            <w:tcW w:w="312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operating lease liabilities</w:t>
            </w:r>
          </w:p>
        </w:tc>
        <w:tc>
          <w:tcPr>
            <w:tcW w:w="109"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163,750</w:t>
            </w:r>
          </w:p>
        </w:tc>
        <w:tc>
          <w:tcPr>
            <w:tcW w:w="109"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192,981</w:t>
            </w:r>
          </w:p>
        </w:tc>
        <w:tc>
          <w:tcPr>
            <w:tcW w:w="109"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178,247</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312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218,733</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247,544</w:t>
            </w:r>
          </w:p>
        </w:tc>
        <w:tc>
          <w:tcPr>
            <w:tcW w:w="109" w:type="dxa"/>
            <w:tcBorders/>
            <w:shd w:fill="CCEEFF" w:val="clear"/>
            <w:vAlign w:val="center"/>
          </w:tcPr>
          <w:p>
            <w:pPr>
              <w:pStyle w:val="TableContents"/>
              <w:bidi w:val="0"/>
              <w:spacing w:before="0" w:after="0"/>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234,834</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recorded lease costs of $18.0 million and $36.2 million during the three and six months ended July 31, 2024. The Company recorded lease costs of $18.3 million and $36.9 million during the three and six months ended July 31, 2023. Lease costs are recorded within selling, general and administrative expenses in the Company’s condensed consolidated statements of operations and comprehensive income. The Company recorded variable lease costs and short-term lease costs of $5.8 million and $11.1 million for the three and six months ended July 31, 2024. The Company recorded variable lease costs and short-term lease costs of $5.5 million and $11.5 million for the three and six months ended July 31, 2023. Short-term lease costs are immaterial.</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July 31, 2024, the Company’s maturity of operating lease liabilities in the years ending up to January 31, 2029 and thereafter are as follows:</w:t>
      </w:r>
    </w:p>
    <w:p>
      <w:pPr>
        <w:pStyle w:val="TextBody"/>
        <w:bidi w:val="0"/>
        <w:spacing w:before="0" w:after="240"/>
        <w:ind w:left="0" w:right="0" w:hanging="0"/>
        <w:jc w:val="both"/>
        <w:rPr/>
      </w:pPr>
      <w:r>
        <w:rPr/>
        <w:t>​</w:t>
      </w:r>
    </w:p>
    <w:tbl>
      <w:tblPr>
        <w:tblW w:w="3980" w:type="dxa"/>
        <w:jc w:val="left"/>
        <w:tblInd w:w="0" w:type="dxa"/>
        <w:tblLayout w:type="fixed"/>
        <w:tblCellMar>
          <w:top w:w="0" w:type="dxa"/>
          <w:left w:w="0" w:type="dxa"/>
          <w:bottom w:w="0" w:type="dxa"/>
          <w:right w:w="0" w:type="dxa"/>
        </w:tblCellMar>
      </w:tblPr>
      <w:tblGrid>
        <w:gridCol w:w="2686"/>
        <w:gridCol w:w="109"/>
        <w:gridCol w:w="228"/>
        <w:gridCol w:w="957"/>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705610" cy="175260"/>
                      <wp:effectExtent l="0" t="0" r="0" b="0"/>
                      <wp:wrapNone/>
                      <wp:docPr id="87" name="Frame87"/>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9215" cy="175260"/>
                      <wp:effectExtent l="0" t="0" r="0" b="0"/>
                      <wp:wrapNone/>
                      <wp:docPr id="88" name="Frame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44780" cy="175260"/>
                      <wp:effectExtent l="0" t="0" r="0" b="0"/>
                      <wp:wrapNone/>
                      <wp:docPr id="89" name="Frame89"/>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07695" cy="175260"/>
                      <wp:effectExtent l="0" t="0" r="0" b="0"/>
                      <wp:wrapNone/>
                      <wp:docPr id="90" name="Frame90"/>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Year Ending January 31,</w:t>
            </w:r>
          </w:p>
        </w:tc>
        <w:tc>
          <w:tcPr>
            <w:tcW w:w="109"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26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109"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35,991</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9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64,545</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51,764</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9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41,120</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27,887</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After 2029</w:t>
            </w:r>
          </w:p>
        </w:tc>
        <w:tc>
          <w:tcPr>
            <w:tcW w:w="109"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45,051</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109"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266,358</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Interest</w:t>
            </w:r>
          </w:p>
        </w:tc>
        <w:tc>
          <w:tcPr>
            <w:tcW w:w="109"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47,625</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Present value of lease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218,733</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July 31, 2024, there are no material leases that are legally binding but have not yet commenced.</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July 31, 2024, the weighted average remaining lease term related to operating leases is 4.9 years. The weighted average discount rate related to operating leases is 6.5%.</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Cash paid for amounts included in the measurement of operating lease liabilities was $38.0 million and $39.3 million during the six months ended July 31, 2024 and 2023, respectively. Right-of-use assets obtained in exchange for lease obligations were $16.1 million and $18.1 million during the six months ended July 31, 2024 and 2023,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6 – NET INCOME PER COMMON SHARE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Basic net income per common share has been computed using the weighted average number of common shares outstanding during each period. Diluted net income per share, when applicable, is computed using the weighted average number of common shares and potential dilutive common shares, consisting of unvested restricted stock unit awards outstanding during the period. A nominal amount of shares of common stock have been excluded from the diluted net income per share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1045" w:name="Tc_jMGMtR-dg02HnB4q531hrA_13_11"/>
      <w:bookmarkStart w:id="1046" w:name="Tc_wBXRvSjlAkOdnjR0e-Wj0g_13_8"/>
      <w:bookmarkStart w:id="1047" w:name="Tc_0xdAbsGsckmuf9mbRZR5dg_13_5"/>
      <w:bookmarkStart w:id="1048" w:name="Tc_MV1EMFmBM0C4gGwlrI_IUw_13_2"/>
      <w:bookmarkStart w:id="1049" w:name="Tc_x1TkedjgrU-bK4CWiHIftA_13_0"/>
      <w:bookmarkStart w:id="1050" w:name="Tc_oGQwlksOG0uKF6cN43SV8w_12_0"/>
      <w:bookmarkStart w:id="1051" w:name="Tc_9bTjV73lvUeNIQchjG83mg_11_0"/>
      <w:bookmarkStart w:id="1052" w:name="Tc_si-gP8Nh0UeajQVQjViU_w_10_0"/>
      <w:bookmarkStart w:id="1053" w:name="Tc_ZvF9qNqjbUurof0b8PfrKA_9_0"/>
      <w:bookmarkStart w:id="1054" w:name="Tc_Axvw9Vblmkqs-8Bm2rlbFg_7_11"/>
      <w:bookmarkStart w:id="1055" w:name="Tc_SqlYODzucEmYSqOhk_NC7Q_7_8"/>
      <w:bookmarkStart w:id="1056" w:name="Tc_ZQ4XVjC_KkGYqzSE1vm4jw_7_5"/>
      <w:bookmarkStart w:id="1057" w:name="Tc_uIKIdzQgoEqTD6hANoFPYg_7_2"/>
      <w:bookmarkStart w:id="1058" w:name="Tc_6rrQEkCNv0axsz-G0_RnFg_7_0"/>
      <w:bookmarkStart w:id="1059" w:name="Tc_LoqfaXMINEiktx_8ot8H-A_6_0"/>
      <w:bookmarkStart w:id="1060" w:name="Tc_vhYXkUKtBUqVV3thI56_4Q_5_0"/>
      <w:bookmarkStart w:id="1061" w:name="Tc_lNJNz4bc2km-ouW8R3ysHg_4_11"/>
      <w:bookmarkStart w:id="1062" w:name="Tc_HQc2cVxg-U2ZKLpxrfUHwA_4_8"/>
      <w:bookmarkStart w:id="1063" w:name="Tc_6TV85O8yhECBs0dFs-EcDg_4_5"/>
      <w:bookmarkStart w:id="1064" w:name="Tc_orp1fznWtEOwIGBF1o-fxw_4_2"/>
      <w:bookmarkStart w:id="1065" w:name="Tc_nEwUr2rV8kiYbS2m0YqUiw_4_0"/>
      <w:bookmarkStart w:id="1066" w:name="Tc_u25-rhGHFE-I07o0vj-aiQ_3_2"/>
      <w:bookmarkStart w:id="1067" w:name="Tc_Bvx9y5ufWEWkT9GzxMoZYw_2_11"/>
      <w:bookmarkStart w:id="1068" w:name="Tc_VjMFZ7hiekS6cYEudDCY4Q_2_8"/>
      <w:bookmarkStart w:id="1069" w:name="Tc_0go3wSvOx0qyE-7J8-2yuA_2_5"/>
      <w:bookmarkStart w:id="1070" w:name="Tc_mz5GtQ30l0eb5c3IjPF5SA_2_2"/>
      <w:bookmarkStart w:id="1071" w:name="Tc_03ZGCUTOx0q9f31eE9QKSQ_1_8"/>
      <w:bookmarkStart w:id="1072" w:name="Tc_x3o_MUGMpkyEFmKMTkcuSQ_1_2"/>
      <w:bookmarkStart w:id="1073" w:name="_b6084586_f397_4bef_9c7a_cdec9e320b43"/>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r>
        <w:rPr>
          <w:rFonts w:ascii="Times New Roman;Times;serif" w:hAnsi="Times New Roman;Times;serif"/>
          <w:sz w:val="20"/>
        </w:rPr>
        <w:t>calculation for the three and six months ended July 31, 2024. Approximately 106,000 and 312,500 shares of common stock have been excluded from the diluted net income per share calculation for the three and six months ended July 31, 2023. All share-based payments outstanding that vest based on the achievement of performance conditions, and for which the respective performance conditions have not been achieved, have been excluded from the diluted per share calculation.</w:t>
      </w:r>
    </w:p>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following table reconciles the numerators and denominators used in the calculation of basic and diluted net income per share:</w:t>
      </w:r>
    </w:p>
    <w:tbl>
      <w:tblPr>
        <w:tblW w:w="9608" w:type="dxa"/>
        <w:jc w:val="left"/>
        <w:tblInd w:w="0" w:type="dxa"/>
        <w:tblLayout w:type="fixed"/>
        <w:tblCellMar>
          <w:top w:w="0" w:type="dxa"/>
          <w:left w:w="0" w:type="dxa"/>
          <w:bottom w:w="0" w:type="dxa"/>
          <w:right w:w="0" w:type="dxa"/>
        </w:tblCellMar>
      </w:tblPr>
      <w:tblGrid>
        <w:gridCol w:w="4531"/>
        <w:gridCol w:w="326"/>
        <w:gridCol w:w="229"/>
        <w:gridCol w:w="734"/>
        <w:gridCol w:w="354"/>
        <w:gridCol w:w="229"/>
        <w:gridCol w:w="734"/>
        <w:gridCol w:w="326"/>
        <w:gridCol w:w="211"/>
        <w:gridCol w:w="676"/>
        <w:gridCol w:w="326"/>
        <w:gridCol w:w="211"/>
        <w:gridCol w:w="721"/>
      </w:tblGrid>
      <w:tr>
        <w:trPr/>
        <w:tc>
          <w:tcPr>
            <w:tcW w:w="4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877185" cy="175260"/>
                      <wp:effectExtent l="0" t="0" r="0" b="0"/>
                      <wp:wrapNone/>
                      <wp:docPr id="91" name="Frame91"/>
                      <a:graphic xmlns:a="http://schemas.openxmlformats.org/drawingml/2006/main">
                        <a:graphicData uri="http://schemas.microsoft.com/office/word/2010/wordprocessingShape">
                          <wps:wsp>
                            <wps:cNvSpPr txBox="1"/>
                            <wps:spPr>
                              <a:xfrm>
                                <a:off x="0" y="0"/>
                                <a:ext cx="2877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7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466090" cy="175260"/>
                      <wp:effectExtent l="0" t="0" r="0" b="0"/>
                      <wp:wrapNone/>
                      <wp:docPr id="92" name="Frame92"/>
                      <a:graphic xmlns:a="http://schemas.openxmlformats.org/drawingml/2006/main">
                        <a:graphicData uri="http://schemas.microsoft.com/office/word/2010/wordprocessingShape">
                          <wps:wsp>
                            <wps:cNvSpPr txBox="1"/>
                            <wps:spPr>
                              <a:xfrm>
                                <a:off x="0" y="0"/>
                                <a:ext cx="466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24790" cy="175260"/>
                      <wp:effectExtent l="0" t="0" r="0" b="0"/>
                      <wp:wrapNone/>
                      <wp:docPr id="93" name="Frame93"/>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1"/>
              <w:ind w:left="0" w:right="0" w:hanging="0"/>
              <w:jc w:val="left"/>
              <w:rPr/>
            </w:pPr>
            <w:r>
              <w:rPr/>
              <w:t>​</w:t>
            </w:r>
          </w:p>
        </w:tc>
        <w:tc>
          <w:tcPr>
            <w:tcW w:w="7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466090" cy="175260"/>
                      <wp:effectExtent l="0" t="0" r="0" b="0"/>
                      <wp:wrapNone/>
                      <wp:docPr id="94" name="Frame94"/>
                      <a:graphic xmlns:a="http://schemas.openxmlformats.org/drawingml/2006/main">
                        <a:graphicData uri="http://schemas.microsoft.com/office/word/2010/wordprocessingShape">
                          <wps:wsp>
                            <wps:cNvSpPr txBox="1"/>
                            <wps:spPr>
                              <a:xfrm>
                                <a:off x="0" y="0"/>
                                <a:ext cx="466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429260" cy="175260"/>
                      <wp:effectExtent l="0" t="0" r="0" b="0"/>
                      <wp:wrapNone/>
                      <wp:docPr id="95" name="Frame9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010" cy="175260"/>
                      <wp:effectExtent l="0" t="0" r="0" b="0"/>
                      <wp:wrapNone/>
                      <wp:docPr id="96" name="Frame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457835" cy="175260"/>
                      <wp:effectExtent l="0" t="0" r="0" b="0"/>
                      <wp:wrapNone/>
                      <wp:docPr id="97" name="Frame97"/>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8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July 31, </w:t>
            </w:r>
          </w:p>
        </w:tc>
        <w:tc>
          <w:tcPr>
            <w:tcW w:w="326" w:type="dxa"/>
            <w:tcBorders/>
            <w:vAlign w:val="center"/>
          </w:tcPr>
          <w:p>
            <w:pPr>
              <w:pStyle w:val="TableContents"/>
              <w:bidi w:val="0"/>
              <w:spacing w:before="0" w:after="1"/>
              <w:ind w:left="0" w:right="0" w:hanging="0"/>
              <w:jc w:val="left"/>
              <w:rPr/>
            </w:pPr>
            <w:r>
              <w:rPr/>
              <w:t>​</w:t>
            </w:r>
          </w:p>
        </w:tc>
        <w:tc>
          <w:tcPr>
            <w:tcW w:w="214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July 31, </w:t>
            </w:r>
          </w:p>
        </w:tc>
      </w:tr>
      <w:tr>
        <w:trPr/>
        <w:tc>
          <w:tcPr>
            <w:tcW w:w="45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6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54" w:type="dxa"/>
            <w:tcBorders/>
            <w:vAlign w:val="center"/>
          </w:tcPr>
          <w:p>
            <w:pPr>
              <w:pStyle w:val="TableContents"/>
              <w:bidi w:val="0"/>
              <w:spacing w:before="0" w:after="1"/>
              <w:ind w:left="0" w:right="0" w:hanging="0"/>
              <w:jc w:val="left"/>
              <w:rPr/>
            </w:pPr>
            <w:r>
              <w:rPr/>
              <w:t>    </w:t>
            </w:r>
          </w:p>
        </w:tc>
        <w:tc>
          <w:tcPr>
            <w:tcW w:w="96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9608"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5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751" w:type="dxa"/>
            <w:gridSpan w:val="11"/>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(In</w:t>
            </w:r>
            <w:r>
              <w:rPr>
                <w:rFonts w:ascii="Times New Roman;Times;serif" w:hAnsi="Times New Roman;Times;serif"/>
                <w:sz w:val="16"/>
              </w:rPr>
              <w:t> </w:t>
            </w:r>
            <w:r>
              <w:rPr>
                <w:rFonts w:ascii="Times New Roman;Times;serif" w:hAnsi="Times New Roman;Times;serif"/>
                <w:b/>
                <w:sz w:val="16"/>
              </w:rPr>
              <w:t>thousands, except share and per share amounts)</w:t>
            </w:r>
          </w:p>
        </w:tc>
      </w:tr>
      <w:tr>
        <w:trPr/>
        <w:tc>
          <w:tcPr>
            <w:tcW w:w="45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attributable to G-III Apparel Group, Ltd.</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24,212</w:t>
            </w:r>
          </w:p>
        </w:tc>
        <w:tc>
          <w:tcPr>
            <w:tcW w:w="354"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16,438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30,014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19,674</w:t>
            </w:r>
          </w:p>
        </w:tc>
      </w:tr>
      <w:tr>
        <w:trPr/>
        <w:tc>
          <w:tcPr>
            <w:tcW w:w="45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net income per share:</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734"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73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r>
      <w:tr>
        <w:trPr/>
        <w:tc>
          <w:tcPr>
            <w:tcW w:w="45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common shares</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44,569</w:t>
            </w:r>
          </w:p>
        </w:tc>
        <w:tc>
          <w:tcPr>
            <w:tcW w:w="354" w:type="dxa"/>
            <w:tcBorders/>
            <w:shd w:fill="CCEEFF" w:val="clear"/>
            <w:vAlign w:val="center"/>
          </w:tcPr>
          <w:p>
            <w:pPr>
              <w:pStyle w:val="TableContents"/>
              <w:bidi w:val="0"/>
              <w:spacing w:before="0" w:after="1"/>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45,714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45,022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45,996</w:t>
            </w:r>
          </w:p>
        </w:tc>
      </w:tr>
      <w:tr>
        <w:trPr/>
        <w:tc>
          <w:tcPr>
            <w:tcW w:w="45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net income per share</w:t>
            </w:r>
          </w:p>
        </w:tc>
        <w:tc>
          <w:tcPr>
            <w:tcW w:w="326" w:type="dxa"/>
            <w:tcBorders/>
            <w:vAlign w:val="center"/>
          </w:tcPr>
          <w:p>
            <w:pPr>
              <w:pStyle w:val="TableContents"/>
              <w:bidi w:val="0"/>
              <w:spacing w:before="0" w:after="1"/>
              <w:ind w:left="0" w:right="0" w:hanging="0"/>
              <w:jc w:val="left"/>
              <w:rPr/>
            </w:pPr>
            <w:r>
              <w:rPr/>
              <w:t>​</w:t>
            </w:r>
          </w:p>
        </w:tc>
        <w:tc>
          <w:tcPr>
            <w:tcW w:w="22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0.54</w:t>
            </w:r>
          </w:p>
        </w:tc>
        <w:tc>
          <w:tcPr>
            <w:tcW w:w="354" w:type="dxa"/>
            <w:tcBorders/>
            <w:vAlign w:val="center"/>
          </w:tcPr>
          <w:p>
            <w:pPr>
              <w:pStyle w:val="TableContents"/>
              <w:bidi w:val="0"/>
              <w:spacing w:before="0" w:after="1"/>
              <w:ind w:left="0" w:right="0" w:hanging="0"/>
              <w:jc w:val="left"/>
              <w:rPr/>
            </w:pPr>
            <w:r>
              <w:rPr/>
              <w:t>​</w:t>
            </w:r>
          </w:p>
        </w:tc>
        <w:tc>
          <w:tcPr>
            <w:tcW w:w="22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0.43</w:t>
            </w:r>
          </w:p>
        </w:tc>
      </w:tr>
      <w:tr>
        <w:trPr/>
        <w:tc>
          <w:tcPr>
            <w:tcW w:w="45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734"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73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left"/>
              <w:rPr/>
            </w:pPr>
            <w:r>
              <w:rPr/>
              <w:t>​</w:t>
            </w:r>
          </w:p>
        </w:tc>
      </w:tr>
      <w:tr>
        <w:trPr/>
        <w:tc>
          <w:tcPr>
            <w:tcW w:w="45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 net income per share:</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734"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73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r>
      <w:tr>
        <w:trPr/>
        <w:tc>
          <w:tcPr>
            <w:tcW w:w="45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common shares</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7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44,569</w:t>
            </w:r>
          </w:p>
        </w:tc>
        <w:tc>
          <w:tcPr>
            <w:tcW w:w="354"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7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45,714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45,022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45,996</w:t>
            </w:r>
          </w:p>
        </w:tc>
      </w:tr>
      <w:tr>
        <w:trPr/>
        <w:tc>
          <w:tcPr>
            <w:tcW w:w="45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Dilutive restricted stock unit awards and stock options</w:t>
            </w:r>
          </w:p>
        </w:tc>
        <w:tc>
          <w:tcPr>
            <w:tcW w:w="326" w:type="dxa"/>
            <w:tcBorders/>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914</w:t>
            </w:r>
          </w:p>
        </w:tc>
        <w:tc>
          <w:tcPr>
            <w:tcW w:w="354" w:type="dxa"/>
            <w:tcBorders/>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996</w:t>
            </w:r>
          </w:p>
        </w:tc>
      </w:tr>
      <w:tr>
        <w:trPr/>
        <w:tc>
          <w:tcPr>
            <w:tcW w:w="45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 common shares</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45,483</w:t>
            </w:r>
          </w:p>
        </w:tc>
        <w:tc>
          <w:tcPr>
            <w:tcW w:w="354" w:type="dxa"/>
            <w:tcBorders/>
            <w:shd w:fill="CCEEFF" w:val="clear"/>
            <w:vAlign w:val="center"/>
          </w:tcPr>
          <w:p>
            <w:pPr>
              <w:pStyle w:val="TableContents"/>
              <w:bidi w:val="0"/>
              <w:spacing w:before="0" w:after="1"/>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46,570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46,105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46,992</w:t>
            </w:r>
          </w:p>
        </w:tc>
      </w:tr>
      <w:tr>
        <w:trPr/>
        <w:tc>
          <w:tcPr>
            <w:tcW w:w="45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 net income per share</w:t>
            </w:r>
          </w:p>
        </w:tc>
        <w:tc>
          <w:tcPr>
            <w:tcW w:w="326" w:type="dxa"/>
            <w:tcBorders/>
            <w:vAlign w:val="center"/>
          </w:tcPr>
          <w:p>
            <w:pPr>
              <w:pStyle w:val="TableContents"/>
              <w:bidi w:val="0"/>
              <w:spacing w:before="0" w:after="1"/>
              <w:ind w:left="0" w:right="0" w:hanging="0"/>
              <w:jc w:val="left"/>
              <w:rPr/>
            </w:pPr>
            <w:r>
              <w:rPr/>
              <w:t>​</w:t>
            </w:r>
          </w:p>
        </w:tc>
        <w:tc>
          <w:tcPr>
            <w:tcW w:w="22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0.53</w:t>
            </w:r>
          </w:p>
        </w:tc>
        <w:tc>
          <w:tcPr>
            <w:tcW w:w="354" w:type="dxa"/>
            <w:tcBorders/>
            <w:vAlign w:val="center"/>
          </w:tcPr>
          <w:p>
            <w:pPr>
              <w:pStyle w:val="TableContents"/>
              <w:bidi w:val="0"/>
              <w:spacing w:before="0" w:after="1"/>
              <w:ind w:left="0" w:right="0" w:hanging="0"/>
              <w:jc w:val="left"/>
              <w:rPr/>
            </w:pPr>
            <w:r>
              <w:rPr/>
              <w:t>​</w:t>
            </w:r>
          </w:p>
        </w:tc>
        <w:tc>
          <w:tcPr>
            <w:tcW w:w="22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0.42</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bookmarkStart w:id="1074" w:name="_023a5ae0_2ad4_475e_bfd8_71ac6a2013cf"/>
      <w:bookmarkStart w:id="1075" w:name="Tc_3noWH_lhwUSTq3nDq35JUw_12_8"/>
      <w:bookmarkStart w:id="1076" w:name="Tc_ApL7_RAPBUyIoPLaBbzDZg_12_5"/>
      <w:bookmarkStart w:id="1077" w:name="Tc_Tz-Di4-KB0yA7UWt9XrUEA_12_2"/>
      <w:bookmarkStart w:id="1078" w:name="Tc_ahKIJ1sQXEqQUO0HAi8LTA_12_0"/>
      <w:bookmarkStart w:id="1079" w:name="Tc_Loj1-z9yzUK6-n3fL3x4iQ_11_0"/>
      <w:bookmarkStart w:id="1080" w:name="Tc_gKVb_gybykqVuiFoefsprQ_10_9"/>
      <w:bookmarkStart w:id="1081" w:name="Tc_xvxcb4ESHkuS63MydGDkFA_10_3"/>
      <w:bookmarkStart w:id="1082" w:name="Tc_7GRTk--adU-6e4dwUs_XHw_10_0"/>
      <w:bookmarkStart w:id="1083" w:name="Tc_l9T03Npn6ESOaeSHnU2ZaQ_9_0"/>
      <w:bookmarkStart w:id="1084" w:name="Tc__VrQVI8s7UqWOL8t6PF9SQ_8_0"/>
      <w:bookmarkStart w:id="1085" w:name="Tc_444PkexuMEyGWEUqrId0kg_7_3"/>
      <w:bookmarkStart w:id="1086" w:name="Tc_6astaelQWUmnkYQf9nZEeQ_7_0"/>
      <w:bookmarkStart w:id="1087" w:name="Tc_4dGchzCTMkawuvuzEaj36w_6_0"/>
      <w:bookmarkStart w:id="1088" w:name="Tc__j_uq84kvUGYqf1viXUvjw_5_0"/>
      <w:bookmarkStart w:id="1089" w:name="Tc_SGVuof9nskeYntPbKcDydw_4_9"/>
      <w:bookmarkStart w:id="1090" w:name="Tc_J5FgV7rAD0uB5dE34L3tfQ_4_3"/>
      <w:bookmarkStart w:id="1091" w:name="Tc_29JJ1dA890eE4W3cfIdSYg_4_0"/>
      <w:bookmarkStart w:id="1092" w:name="Tc_Qx6CfS19QEqcnoJXWkQK-A_3_8"/>
      <w:bookmarkStart w:id="1093" w:name="Tc_tuY_PMOCB0O2TTDc1fDJ0A_3_5"/>
      <w:bookmarkStart w:id="1094" w:name="Tc_2CASHmmSsUGgL0Z7kNxXKg_3_2"/>
      <w:bookmarkStart w:id="1095" w:name="Tc_hf3vxRrCc0iBBERirCTYlQ_3_0"/>
      <w:bookmarkStart w:id="1096" w:name="Tc_cfKMCDOD6U-0wvpysyyJew_2_2"/>
      <w:bookmarkStart w:id="1097" w:name="Tc_AmoKdO_AH02m0UIgXEeQlQ_1_8"/>
      <w:bookmarkStart w:id="1098" w:name="Tc_ZF-i6EM06k-h1bOa_ZNmxw_1_5"/>
      <w:bookmarkStart w:id="1099" w:name="Tc_zEaA6PRaS0WCvsthqiYnfQ_1_2"/>
      <w:bookmarkStart w:id="1100" w:name="_879dac8c_0ce4_4c86_918e_8341a66a081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 7 – NOTES PAYABLE</w:t>
      </w:r>
    </w:p>
    <w:p>
      <w:pPr>
        <w:pStyle w:val="TextBody"/>
        <w:bidi w:val="0"/>
        <w:spacing w:before="0" w:after="240"/>
        <w:ind w:left="0" w:right="0" w:hanging="0"/>
        <w:jc w:val="both"/>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Long-term debt consists of the following:</w:t>
      </w:r>
    </w:p>
    <w:tbl>
      <w:tblPr>
        <w:tblW w:w="7444" w:type="dxa"/>
        <w:jc w:val="left"/>
        <w:tblInd w:w="0" w:type="dxa"/>
        <w:tblLayout w:type="fixed"/>
        <w:tblCellMar>
          <w:top w:w="0" w:type="dxa"/>
          <w:left w:w="0" w:type="dxa"/>
          <w:bottom w:w="0" w:type="dxa"/>
          <w:right w:w="0" w:type="dxa"/>
        </w:tblCellMar>
      </w:tblPr>
      <w:tblGrid>
        <w:gridCol w:w="2836"/>
        <w:gridCol w:w="326"/>
        <w:gridCol w:w="229"/>
        <w:gridCol w:w="866"/>
        <w:gridCol w:w="326"/>
        <w:gridCol w:w="229"/>
        <w:gridCol w:w="866"/>
        <w:gridCol w:w="326"/>
        <w:gridCol w:w="277"/>
        <w:gridCol w:w="1163"/>
      </w:tblGrid>
      <w:tr>
        <w:trPr/>
        <w:tc>
          <w:tcPr>
            <w:tcW w:w="2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800860" cy="175260"/>
                      <wp:effectExtent l="0" t="0" r="0" b="0"/>
                      <wp:wrapNone/>
                      <wp:docPr id="98" name="Frame98"/>
                      <a:graphic xmlns:a="http://schemas.openxmlformats.org/drawingml/2006/main">
                        <a:graphicData uri="http://schemas.microsoft.com/office/word/2010/wordprocessingShape">
                          <wps:wsp>
                            <wps:cNvSpPr txBox="1"/>
                            <wps:spPr>
                              <a:xfrm>
                                <a:off x="0" y="0"/>
                                <a:ext cx="1800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9" name="Frame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45415" cy="175260"/>
                      <wp:effectExtent l="0" t="0" r="0" b="0"/>
                      <wp:wrapNone/>
                      <wp:docPr id="100" name="Frame100"/>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549910" cy="175260"/>
                      <wp:effectExtent l="0" t="0" r="0" b="0"/>
                      <wp:wrapNone/>
                      <wp:docPr id="101" name="Frame101"/>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102" name="Frame1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45415" cy="175260"/>
                      <wp:effectExtent l="0" t="0" r="0" b="0"/>
                      <wp:wrapNone/>
                      <wp:docPr id="103" name="Frame103"/>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549910" cy="175260"/>
                      <wp:effectExtent l="0" t="0" r="0" b="0"/>
                      <wp:wrapNone/>
                      <wp:docPr id="104" name="Frame104"/>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105" name="Frame1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75895" cy="175260"/>
                      <wp:effectExtent l="0" t="0" r="0" b="0"/>
                      <wp:wrapNone/>
                      <wp:docPr id="106" name="Frame106"/>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738505" cy="175260"/>
                      <wp:effectExtent l="0" t="0" r="0" b="0"/>
                      <wp:wrapNone/>
                      <wp:docPr id="107" name="Frame107"/>
                      <a:graphic xmlns:a="http://schemas.openxmlformats.org/drawingml/2006/main">
                        <a:graphicData uri="http://schemas.microsoft.com/office/word/2010/wordprocessingShape">
                          <wps:wsp>
                            <wps:cNvSpPr txBox="1"/>
                            <wps:spPr>
                              <a:xfrm>
                                <a:off x="0" y="0"/>
                                <a:ext cx="738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31, 2024</w:t>
            </w:r>
          </w:p>
        </w:tc>
        <w:tc>
          <w:tcPr>
            <w:tcW w:w="326" w:type="dxa"/>
            <w:tcBorders/>
            <w:vAlign w:val="center"/>
          </w:tcPr>
          <w:p>
            <w:pPr>
              <w:pStyle w:val="TableContents"/>
              <w:bidi w:val="0"/>
              <w:spacing w:before="0" w:after="0"/>
              <w:ind w:left="0" w:right="0" w:hanging="0"/>
              <w:jc w:val="left"/>
              <w:rPr/>
            </w:pPr>
            <w:r>
              <w:rPr/>
              <w:t>    </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31, 2023</w:t>
            </w:r>
          </w:p>
        </w:tc>
        <w:tc>
          <w:tcPr>
            <w:tcW w:w="326" w:type="dxa"/>
            <w:tcBorders/>
            <w:vAlign w:val="center"/>
          </w:tcPr>
          <w:p>
            <w:pPr>
              <w:pStyle w:val="TableContents"/>
              <w:bidi w:val="0"/>
              <w:spacing w:before="0" w:after="0"/>
              <w:ind w:left="0" w:right="0" w:hanging="0"/>
              <w:jc w:val="left"/>
              <w:rPr/>
            </w:pPr>
            <w:r>
              <w:rPr/>
              <w:t>    </w:t>
            </w:r>
          </w:p>
        </w:tc>
        <w:tc>
          <w:tcPr>
            <w:tcW w:w="1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 2024</w:t>
            </w:r>
          </w:p>
        </w:tc>
      </w:tr>
      <w:tr>
        <w:trPr/>
        <w:tc>
          <w:tcPr>
            <w:tcW w:w="7444"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28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282"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Secured Notes</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400,000</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400,000</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400,000</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LVMH Note</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163" w:type="dxa"/>
            <w:tcBorders/>
            <w:vAlign w:val="center"/>
          </w:tcPr>
          <w:p>
            <w:pPr>
              <w:pStyle w:val="TableContents"/>
              <w:bidi w:val="0"/>
              <w:spacing w:before="0" w:after="0"/>
              <w:ind w:left="0" w:right="0" w:hanging="0"/>
              <w:jc w:val="right"/>
              <w:rPr/>
            </w:pPr>
            <w:r>
              <w:rPr/>
              <w:t>—</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Unsecured loans</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7,760</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9,913</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1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8,791</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Overdraft facilities</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7,906</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2,202</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1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2,651</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credit facility</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8,213</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8,939</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415,666</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470,328</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1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420,381</w:t>
            </w:r>
          </w:p>
        </w:tc>
      </w:tr>
      <w:tr>
        <w:trPr/>
        <w:tc>
          <w:tcPr>
            <w:tcW w:w="283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Less: Net debt issuance costs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(1,698)</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(3,397)</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1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(2,548)</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 discount</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(895)</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163" w:type="dxa"/>
            <w:tcBorders/>
            <w:vAlign w:val="center"/>
          </w:tcPr>
          <w:p>
            <w:pPr>
              <w:pStyle w:val="TableContents"/>
              <w:bidi w:val="0"/>
              <w:spacing w:before="0" w:after="0"/>
              <w:ind w:left="0" w:right="0" w:hanging="0"/>
              <w:jc w:val="right"/>
              <w:rPr/>
            </w:pPr>
            <w:r>
              <w:rPr/>
              <w:t>—</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long-term debt</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(11,427)</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(62,732)</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(15,026)</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2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402,541</w:t>
            </w:r>
          </w:p>
        </w:tc>
        <w:tc>
          <w:tcPr>
            <w:tcW w:w="326" w:type="dxa"/>
            <w:tcBorders/>
            <w:vAlign w:val="center"/>
          </w:tcPr>
          <w:p>
            <w:pPr>
              <w:pStyle w:val="TableContents"/>
              <w:bidi w:val="0"/>
              <w:spacing w:before="0" w:after="0"/>
              <w:ind w:left="0" w:right="0" w:hanging="0"/>
              <w:jc w:val="left"/>
              <w:rPr/>
            </w:pPr>
            <w:r>
              <w:rPr/>
              <w:t>​</w:t>
            </w:r>
          </w:p>
        </w:tc>
        <w:tc>
          <w:tcPr>
            <w:tcW w:w="22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403,304</w:t>
            </w:r>
          </w:p>
        </w:tc>
        <w:tc>
          <w:tcPr>
            <w:tcW w:w="326" w:type="dxa"/>
            <w:tcBorders/>
            <w:vAlign w:val="center"/>
          </w:tcPr>
          <w:p>
            <w:pPr>
              <w:pStyle w:val="TableContents"/>
              <w:bidi w:val="0"/>
              <w:spacing w:before="0" w:after="0"/>
              <w:ind w:left="0" w:right="0" w:hanging="0"/>
              <w:jc w:val="left"/>
              <w:rPr/>
            </w:pPr>
            <w:r>
              <w:rPr/>
              <w:t>​</w:t>
            </w:r>
          </w:p>
        </w:tc>
        <w:tc>
          <w:tcPr>
            <w:tcW w:w="27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3"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402,807</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rFonts w:ascii="Times New Roman;Times;serif" w:hAnsi="Times New Roman;Times;serif"/>
                <w:sz w:val="13"/>
              </w:rPr>
            </w:pPr>
            <w:r>
              <w:rPr>
                <w:rFonts w:ascii="Times New Roman;Times;serif" w:hAnsi="Times New Roman;Times;serif"/>
                <w:sz w:val="13"/>
              </w:rPr>
              <w:t>(1)</w:t>
            </w:r>
          </w:p>
        </w:tc>
        <w:tc>
          <w:tcPr>
            <w:tcW w:w="996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7"/>
              </w:rPr>
              <w:t>Does not include debt issuance costs, net of amortization, totaling $5.4</w:t>
            </w:r>
            <w:r>
              <w:rPr>
                <w:caps w:val="false"/>
                <w:smallCaps w:val="false"/>
              </w:rPr>
              <w:t xml:space="preserve"> </w:t>
            </w:r>
            <w:r>
              <w:rPr>
                <w:rFonts w:ascii="Times New Roman;Times;serif" w:hAnsi="Times New Roman;Times;serif"/>
                <w:b w:val="false"/>
                <w:i w:val="false"/>
                <w:caps w:val="false"/>
                <w:smallCaps w:val="false"/>
                <w:sz w:val="17"/>
              </w:rPr>
              <w:t>million, $3.2</w:t>
            </w:r>
            <w:r>
              <w:rPr>
                <w:caps w:val="false"/>
                <w:smallCaps w:val="false"/>
              </w:rPr>
              <w:t xml:space="preserve"> </w:t>
            </w:r>
            <w:r>
              <w:rPr>
                <w:rFonts w:ascii="Times New Roman;Times;serif" w:hAnsi="Times New Roman;Times;serif"/>
                <w:b w:val="false"/>
                <w:i w:val="false"/>
                <w:caps w:val="false"/>
                <w:smallCaps w:val="false"/>
                <w:sz w:val="17"/>
              </w:rPr>
              <w:t>million and $2.4</w:t>
            </w:r>
            <w:r>
              <w:rPr>
                <w:caps w:val="false"/>
                <w:smallCaps w:val="false"/>
              </w:rPr>
              <w:t xml:space="preserve"> </w:t>
            </w:r>
            <w:r>
              <w:rPr>
                <w:rFonts w:ascii="Times New Roman;Times;serif" w:hAnsi="Times New Roman;Times;serif"/>
                <w:b w:val="false"/>
                <w:i w:val="false"/>
                <w:caps w:val="false"/>
                <w:smallCaps w:val="false"/>
                <w:sz w:val="17"/>
              </w:rPr>
              <w:t>million as of July 31, 2024, July 31, 2023 and January 31, 2024, respectively, related to the revolving credit facility. These debt issuance costs have been deferred and are classified in assets in the accompanying condensed consolidated balance sheets in accordance with ASC 835.</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Senior Secured Notes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August 2020, the Company completed a private debt offering of $400 million aggregate principal amount of its 7.875% Senior Secured Notes due August 2025 (the “Notes”). The terms of the Notes are governed by an indenture (the “Indenture”), among the Company, the guarantors party thereto and U.S. Bank, National Association, as trustee and collateral agent (the “Collateral Agent”). The net proceeds of the Notes were used (i) to repay the $300 million that was outstanding under the Company’s prior term loan facility due 2022 (the “Term Loan”), (ii) to pay related fees and expenses and (iii) for general corporate purposes.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Notes bear interest at a rate of 7.875% per year payable semi-annually in arrears on February 15 and August 15 of each year.</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Notes are unconditionally guaranteed on a senior-priority secured basis by the Company’s current and future wholly-owned domestic subsidiaries that guarantee any of the Company’s credit facilities, including the Company’s ABL facility (the “ABL Facility”) pursuant to the ABL Credit Agreement, or certain future capital markets indebtedness of the Company or the guarantors.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Notes and the related guarantees are secured by (i) first priority liens on the Company’s Cash Flow Priority Collateral (as defined in the Indenture), and (ii) a second-priority lien on the Company’s ABL Priority Collateral (as defined in the Indenture), in each case subject to permitted liens described in the Indenture.</w:t>
      </w:r>
    </w:p>
    <w:p>
      <w:pPr>
        <w:pStyle w:val="TextBody"/>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issuance of the Notes and execution of the Indenture, the Company and the Guarantors entered into a pledge and security agreement (the “Pledge and Security Agreement”), among the Company, the Guarantors and the Collateral Agent.</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Notes are subject to the terms of the intercreditor agreement which governs the relative rights of the secured parties in respect of the ABL Facility and the Notes (the “Intercreditor Agreement”). The Intercreditor Agreement restricts the actions permitted to be taken by the Collateral Agent with respect to the Collateral on behalf of the holders of the Notes. </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may redeem some or all of the Notes at any time and from time to time at the redemption prices set forth in the Indenture, plus accrued and unpaid interest, if any, to, but excluding, the applicable redemption date. </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the Company experiences a Change of Control (as defined in the Indenture), the Company is required to offer to repurchase the Notes at 101% of the principal amount of such Notes plus accrued and unpaid interest, if any, to, but excluding, the date of repurchase.</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Indenture contains covenants that, among other things, limit the Company’s ability and the ability of its restricted subsidiaries to incur or guarantee additional indebtedness, pay dividends or make other restricted payments, make certain investments, incur restrictions on the ability of the Company’s restricted subsidiaries that are not guarantors to pay dividends or make certain other payments, create or incur certain liens, sell assets and subsidiary stock, impair the security interests, transfer all or substantially all of the Company’s assets or enter into merger or consolidation transactions, and enter into transactions with affiliates. The Indenture provides for customary events of default which include (subject in certain cases to customary grace and cure periods), among others, nonpayment of principal or interest, breach of other agreements in the Indenture, failure to pay certain other indebtedness, failure of certain guarantees to be enforceable, failure to perfect certain collateral securing the Notes, failure to pay certain final judgments, and certain events of bankruptcy or insolvency.</w:t>
      </w:r>
    </w:p>
    <w:p>
      <w:pPr>
        <w:pStyle w:val="TextBody"/>
        <w:shd w:fill="FFFFFF" w:val="clear"/>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incurred debt issuance costs totaling $8.5 million related to the Notes. In accordance with ASC 835, the debt issuance costs have been deferred and are presented as a contra-liability, offsetting the outstanding balance of the Notes, and are amortized over the remaining life of the Notes.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Third Amended and Restated ABL Credit Agreement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June 4, 2024, the Company’s subsidiaries, G-III Leather Fashions, Inc., Riviera Sun, Inc., AM Retail Group, Inc. and The Donna Karan Company Store LLC (collectively, the “Borrowers”), entered into the third amended and restated credit agreement (the “Third ABL Credit Agreement”) with the lenders named therein and with JPMorgan Chase Bank, N.A., as administrative agent. The Third ABL Credit Agreement is a five-year senior secured asset-based revolving credit facility providing for borrowings in an aggregate principal amount of up to $700 million. The Company and certain of its wholly-owned domestic subsidiaries, as well as G-III Apparel Canada ULC (collectively, the “Guarantors”), are guarantors under the Third ABL Credit Agreement.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Third ABL Credit Agreement amends and restates the Second Amended Credit Agreement, dated as of August 7, 2020 (as amended, supplemented or otherwise modified from time to time prior to June 4, 2024, the “Second Credit Agreement”), by and among the Borrowers and the Guarantors, the lenders from time-to-time party thereto, and JPMorgan Chase Bank, N.A., in its capacity as the administrative agent thereunder. The Second Credit Agreement provided for borrowings of up to $650 million and was due to expire on August 7, 2025. The Third ABL Credit Agreement extends the maturity date to June 2029, subject to a springing maturity date as defined within the credit agreement.  </w:t>
      </w:r>
    </w:p>
    <w:p>
      <w:pPr>
        <w:pStyle w:val="TextBody"/>
        <w:bidi w:val="0"/>
        <w:spacing w:before="0" w:after="0"/>
        <w:ind w:left="0" w:right="0" w:hanging="0"/>
        <w:jc w:val="both"/>
        <w:rPr>
          <w:shd w:fill="FFFF00" w:val="clear"/>
        </w:rPr>
      </w:pPr>
      <w:r>
        <w:rPr>
          <w:shd w:fill="FFFF00" w:val="clea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Amounts available under the Third ABL Credit Agreement are subject to borrowing base formulas and overadvances as specified in the Third ABL Credit Agreement. Borrowings bear interest, at the Borrowers’ option, at Adjusted Term Secured Overnight Financing Rate (“SOFR”) plus a margin of 1.50% to 2.00%, or the alternate base rate plus a margin of 0.50% to 1.00% (defined as the greatest of (i) the “prime rate” of JPMorgan Chase Bank, N.A. from time to time, (ii) the federal funds rate plus 0.5% and (iii) SOFR for a borrowing with an interest period of one month plus 1.00%), with the applicable margin determined based on the Borrowers’ average daily availability under the Third ABL Credit Agreement.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Third ABL Credit Agreement is secured by specified assets of the Borrowers and the Guarantors. In addition to paying interest on any outstanding borrowings under the Third ABL Credit Agreement, the Company is required to pay a commitment fee to the lenders under the credit agreement with respect to the unutilized commitments. The commitment fee accrues at a tiered rate equal to 0.375% per annum on the average daily amount of the available commitments when the average usage is less than 50% of the total available commitments and decreases to 0.25% per annum on the average daily amount of the available commitments when the average usage is greater than or equal to 50% of the total available commitments.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Third ABL Credit Agreement contains covenants that, among other things, restrict the Company’s ability to, subject to specified exceptions, incur additional debt; incur liens; sell or dispose of certain assets; merge with other companies; liquidate or dissolve the Company; acquire other companies; make loans, advances, or guarantees; and make certain investments. In certain circumstances, the revolving credit facility also requires the Company to maintain a fixed charge coverage ratio, as defined in the agreement, not less than 1.00 to 1.00 for each period of twelve consecutive fiscal months of the Company. As of July 31, 2024, the Company was in compliance with these covenants.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 of July 31, 2024, the Company had no borrowings outstanding under the Third ABL Credit Agreement. The Third ABL Credit Agreement also includes amounts available for letters of credit. As of July 31, 2024, there were outstanding trade and standby letters of credit amounting to $6.3 million and $2.9 million, respectively.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At the date of the refinancing of the Second ABL Credit Agreement, the Company had $1.9 million of unamortized debt issuance costs remaining from the Second ABL Credit Agreement. There was no extinguishment of any amount of the unamortized debt issuance costs remaining from the Second ABL Credit Agreement. The Company incurred new debt issuance costs totaling $3.8 million related to the Third ABL Credit Agreement. The Company has a total of $5.6 million debt issuance costs related to its Third ABL Credit Agreement. As permitted under ASC 835, the debt issuance costs have been deferred and are presented as an asset which is amortized ratably over the term of the Third ABL Credit Agreement.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LVMH Note</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 a portion of the consideration for the acquisition of DKNY and Donna Karan, the Company issued to LVMH a junior lien secured promissory note in the principal amount of $125.0 million that bore interest at the rate of 2% per year. $75.0 million of the principal amount of the LVMH Note was paid on June 1, 2023 and the remaining $50.0 million of such principal amount was paid on December 1, 2023.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ASC 820 required the LVMH Note to be recorded at fair value at issuance. As a result, the Company recorded a $40.0 million debt discount. This discount was amortized as interest expense using the effective interest method over the term of the LVMH Note.</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Unsecured Loans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Several of the Company’s foreign entities borrow funds under various unsecured loans of which a portion is to provide funding for operations in the normal course of business while other loans are European state backed loans as part of COVID-19 relief programs. In the aggregate, the Company is currently required to make quarterly installment payments of principal in the amount of €0.6 million under these loans. Interest on the outstanding principal amount of the unsecured loans accrues at a fixed rate equal to 0% to 5.0% per annum, payable on either a quarterly or monthly basis. As of July 31, 2024, the Company had an aggregate outstanding balance of €7.2 million ($7.8 million) under these unsecured loans. </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i/>
          <w:sz w:val="20"/>
        </w:rPr>
      </w:pPr>
      <w:bookmarkStart w:id="1101" w:name="_Hlk143859581"/>
      <w:bookmarkEnd w:id="1101"/>
      <w:r>
        <w:rPr>
          <w:rFonts w:ascii="Times New Roman;Times;serif" w:hAnsi="Times New Roman;Times;serif"/>
          <w:i/>
          <w:sz w:val="20"/>
        </w:rPr>
        <w:t>Overdraft Facilities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fiscal 2021 and 2025, certain of the Company’s foreign entities entered into overdraft facilities that allow for applicable bank accounts to be in a negative position up to a certain maximum overdraft. These uncommitted overdraft facilities with HSBC Bank allow for an aggregate maximum overdraft of €10 million. Interest on drawn balances accrues at a rate equal to the Euro Interbank Offered Rate plus a margin of 1.75% per annum, payable quarterly. The facility may be cancelled at any time by the Company or HSBC Bank. As part of a COVID-19 relief program, certain of the Company’s foreign entities entered into several state backed overdraft facilities with UBS Bank in Switzerland for an aggregate of CHF 4.7 million at varying interest rates of 0% to 0.5%. As of July 31, 2024, the Company had an aggregate of €7.4 million ($7.9 million) drawn under these various facilities.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Foreign Credit Facility</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KLH has a credit agreement with ABN AMRO Bank N.V. with a credit limit of €15.0 million which is secured by specified assets of KLH. Borrowings bear interest at the Euro Interbank Offered Rate plus a margin of 1.7%. As of July 31, 2024, KLH had no borrowings outstanding under this credit facility.</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 8 – REVENUE RECOGNITION</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Disaggregation of Revenue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accordance with ASC 606 – </w:t>
      </w:r>
      <w:r>
        <w:rPr>
          <w:rFonts w:ascii="Times New Roman;Times;serif" w:hAnsi="Times New Roman;Times;serif"/>
          <w:i/>
          <w:sz w:val="20"/>
        </w:rPr>
        <w:t>Revenue from Contracts with Customers</w:t>
      </w:r>
      <w:r>
        <w:rPr>
          <w:rFonts w:ascii="Times New Roman;Times;serif" w:hAnsi="Times New Roman;Times;serif"/>
          <w:sz w:val="20"/>
        </w:rPr>
        <w:t>, the Company discloses its revenues by segment. Each segment presents its own characteristics with respect to the timing of revenue recognition and the type of customer. In addition, disaggregating revenues using a segment basis is consistent with how the Company’s Chief Operating Decision Maker manages the Company. The Company has identified the wholesale operations segment and the retail operations segment as distinct sources of revenue.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 xml:space="preserve">Wholesale Operations Segment. </w:t>
      </w:r>
      <w:r>
        <w:rPr>
          <w:rFonts w:ascii="Times New Roman;Times;serif" w:hAnsi="Times New Roman;Times;serif"/>
          <w:sz w:val="20"/>
        </w:rPr>
        <w:t xml:space="preserve">Wholesale revenues include sales of products to retailers under owned, licensed and private label brands, as well as sales related to the Vilebrequin and Karl Lagerfeld businesses, including from retail stores operated by Vilebrequin and Karl Lagerfeld, other than sales of product under the Karl Lagerfeld Paris brand generated by the Company’s retail stores and digital outlets. Wholesale revenues from sales of products are recognized when control transfers to the customer. The Company considers control to have been transferred when the Company has transferred physical possession of the product, the Company has a right to payment for the product, the customer has legal title to the product and the customer has the significant risks and rewards of the product. Wholesale revenues are adjusted by variable consideration arising from implicit or explicit obligations. Wholesale revenues also include revenues from license agreements related to the DKNY, Donna Karan, Karl Lagerfeld, G.H. Bass, Andrew Marc, Vilebrequin and Sonia Rykiel trademarks owned by the Company.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 xml:space="preserve">Retail Operations Segment. </w:t>
      </w:r>
      <w:r>
        <w:rPr>
          <w:rFonts w:ascii="Times New Roman;Times;serif" w:hAnsi="Times New Roman;Times;serif"/>
          <w:sz w:val="20"/>
        </w:rPr>
        <w:t xml:space="preserve">Retail store revenues are generated by direct sales to consumers through Company-operated stores and product sales through the Company’s digital channels for the DKNY, Donna Karan, Karl Lagerfeld Paris, G.H. Bass and Wilsons Leather businesses. Retail stores primarily consist of DKNY and Karl Lagerfeld Paris retail stores, substantially all of which are operated as outlet stores. Retail operations segment revenues are recognized at the point of sale when the customer takes possession of the goods and tenders payment. Digital revenues primarily consist of sales to consumers through the Company’s digital platforms. Digital revenue is recognized when a customer takes possession of the goods. Retail sales are recorded net of applicable sales tax.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Contract Liabilities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Company’s contract liabilities, which are recorded within accrued expenses in the accompanying condensed consolidated balance sheets, primarily consist of gift card liabilities and advance payments from licensees. In some of its retail concepts, the Company also offers a limited loyalty program where customers accumulate points redeemable for cash discount certificates that expire 90 days after issuance. Total contract liabilities were $5.1 million, $4.6 million and $5.2 million at July 31, 2024, July 31, 2023 and January 31, 2024, respectively. The Company recognized $3.4 million in revenue for the three months ended July 31, 2024 related to contract liabilities that existed at April 30, 2024. The Company recognized $4.0 million in revenue for the six months ended July 31, 2024 related to contract liabilities that existed at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January 31, 2024. There were no contract assets recorded as of July 31, 2024, July 31, 2023 and January 31, 2024. Substantially all of the advance payments from licensees as of July 31, 2024 are expected to be recognized as revenue within the next twelve months.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102" w:name="Tc_SEErBrvWa0iJwLQe1nBauA_9_11"/>
      <w:bookmarkStart w:id="1103" w:name="Tc_ZLY8MSgt70W9DZgi_B9esA_9_9"/>
      <w:bookmarkStart w:id="1104" w:name="Tc_sLFQstvLUkSxIuy3yzFjqQ_9_8"/>
      <w:bookmarkStart w:id="1105" w:name="Tc__OaymKYZM0eZ7AjhCuwTVA_9_5"/>
      <w:bookmarkStart w:id="1106" w:name="Tc_zVnXTpknaE2istvo_GHlMg_9_2"/>
      <w:bookmarkStart w:id="1107" w:name="Tc_ResNFjayxkaQUBlxt1YTGg_9_0"/>
      <w:bookmarkStart w:id="1108" w:name="Tc_l1NdcY6eQ0y-yHffiQDqUg_8_9"/>
      <w:bookmarkStart w:id="1109" w:name="Tc_-TjkISvN8Ua7vl14GtV5aA_8_0"/>
      <w:bookmarkStart w:id="1110" w:name="Tc_Bf_U3O98DkKIJHhICS6uOQ_7_9"/>
      <w:bookmarkStart w:id="1111" w:name="Tc_8SPpJfvDKUClYY93YB7t9g_7_0"/>
      <w:bookmarkStart w:id="1112" w:name="Tc_03DZF7EO70aFVcqgZZQdZw_6_9"/>
      <w:bookmarkStart w:id="1113" w:name="Tc_om_Tc1OLkE-ZCbI8q7kwmQ_6_0"/>
      <w:bookmarkStart w:id="1114" w:name="Tc_zbqYn8Aoj0SVUZgyBD2r0Q_5_0"/>
      <w:bookmarkStart w:id="1115" w:name="Tc_Qrew4f4fnEmboGx3-TlHIw_4_11"/>
      <w:bookmarkStart w:id="1116" w:name="Tc_XY_dKYzha0iuHtpngDTdBg_4_8"/>
      <w:bookmarkStart w:id="1117" w:name="Tc_0FTN3EGxw0m9Ok7Jy_g0dQ_4_5"/>
      <w:bookmarkStart w:id="1118" w:name="Tc_jF677THe7EOpm61kEzUpkw_4_2"/>
      <w:bookmarkStart w:id="1119" w:name="Tc_XId4QfqjcU6CZyFziMByXQ_4_0"/>
      <w:bookmarkStart w:id="1120" w:name="Tc_wXx-7vKVNEGw1wPvfvwssA_3_2"/>
      <w:bookmarkStart w:id="1121" w:name="Tc_2q5zcIvyiUyYnUG-d4LH0g_2_11"/>
      <w:bookmarkStart w:id="1122" w:name="Tc_uTsnen_IJUOVtM5J0m979Q_2_8"/>
      <w:bookmarkStart w:id="1123" w:name="Tc_ZoWMKny5jUOW851Ax0aehQ_2_5"/>
      <w:bookmarkStart w:id="1124" w:name="Tc_f-ZM7TN8WECnM7raSm-RJw_2_2"/>
      <w:bookmarkStart w:id="1125" w:name="Tc_TNiAWa9mEk--kck404b3cA_1_2"/>
      <w:bookmarkStart w:id="1126" w:name="_d29d9ee0_1553_43df_81ba_deaac2db9777"/>
      <w:bookmarkStart w:id="1127" w:name="Tc_qWvgkignI0iRaKaWAE3iSw_9_11"/>
      <w:bookmarkStart w:id="1128" w:name="Tc_zGbgY42YYkenWVfzYNCaLQ_9_9"/>
      <w:bookmarkStart w:id="1129" w:name="Tc_hKmGSoXms0KAmabMBBstZw_9_8"/>
      <w:bookmarkStart w:id="1130" w:name="Tc_W6DWuF84J0W_EBuVnv4VJw_9_5"/>
      <w:bookmarkStart w:id="1131" w:name="Tc_qUiIj8qKSEGTiKbHfVedeQ_9_2"/>
      <w:bookmarkStart w:id="1132" w:name="Tc_a3EOtsEWvUyN6xVCi6cZ_g_9_0"/>
      <w:bookmarkStart w:id="1133" w:name="Tc_A9zeB45-yUyCsyPlslaixg_8_9"/>
      <w:bookmarkStart w:id="1134" w:name="Tc_esWt_8b--UqvpjzwsYcluw_8_0"/>
      <w:bookmarkStart w:id="1135" w:name="Tc_vup8KBdFnEm2G1vpsRl9HQ_7_9"/>
      <w:bookmarkStart w:id="1136" w:name="Tc_BdulR8t_KkKFNlO43Z-B0w_7_0"/>
      <w:bookmarkStart w:id="1137" w:name="Tc_sgc9KiAAgUO4Fz_jbf6-0A_6_9"/>
      <w:bookmarkStart w:id="1138" w:name="Tc_V20Md4AWXUiOMi1rZ9vD_g_6_0"/>
      <w:bookmarkStart w:id="1139" w:name="Tc_p7QO4JzOOEGO5GneF5_gRA_5_0"/>
      <w:bookmarkStart w:id="1140" w:name="Tc_RqXwaAHoxUGYh4QtzXfKGQ_4_11"/>
      <w:bookmarkStart w:id="1141" w:name="Tc_rxHbVCPLHk6E2StG7yJetA_4_8"/>
      <w:bookmarkStart w:id="1142" w:name="Tc_9w45x4xq8Ue8A77HL0mUZw_4_5"/>
      <w:bookmarkStart w:id="1143" w:name="Tc_pS38ODPLrUOucJvQj3w5Pw_4_2"/>
      <w:bookmarkStart w:id="1144" w:name="Tc_q290A_mcuE-dyupTo38LNg_4_0"/>
      <w:bookmarkStart w:id="1145" w:name="Tc_MuRoJgJvk0KCoDv84pEWNg_3_2"/>
      <w:bookmarkStart w:id="1146" w:name="Tc_-WD2MW955Ua_daw9-45NcA_2_11"/>
      <w:bookmarkStart w:id="1147" w:name="Tc_YsWTleK_XEK4kfihdtKs_g_2_8"/>
      <w:bookmarkStart w:id="1148" w:name="Tc_0-kjNx_VV0aHiTldk2Bw9g_2_5"/>
      <w:bookmarkStart w:id="1149" w:name="Tc_cVP4HtK6j0Oy2Bib66VVSQ_2_2"/>
      <w:bookmarkStart w:id="1150" w:name="Tc_-QF8J3e7YkyptnR4BCkogA_1_2"/>
      <w:bookmarkStart w:id="1151" w:name="_25566d4f_70c5_4b5c_8f40_d24f8d33c5f8"/>
      <w:bookmarkStart w:id="1152" w:name="Tc_n3GB0xzeM02NCeQ4Ka9IJw_9_11"/>
      <w:bookmarkStart w:id="1153" w:name="Tc_cQ2fY-f8AEaVXhqMYziQ8w_9_9"/>
      <w:bookmarkStart w:id="1154" w:name="Tc_3nQua6JmKkKBCnOuw01AJA_9_8"/>
      <w:bookmarkStart w:id="1155" w:name="Tc_sTAVSx9J0USMLIfo0koCxg_9_5"/>
      <w:bookmarkStart w:id="1156" w:name="Tc_52YZWfTtb02ZKLK-MosrGg_9_2"/>
      <w:bookmarkStart w:id="1157" w:name="Tc_K0T_zFlx4U6rsuvEegL5ag_9_0"/>
      <w:bookmarkStart w:id="1158" w:name="Tc_eykbYCUpCEix2DHhtybLJQ_8_9"/>
      <w:bookmarkStart w:id="1159" w:name="Tc_G2qkUfYsEkytdrsy-E9FcA_8_0"/>
      <w:bookmarkStart w:id="1160" w:name="Tc_O-4_B8te40y5P10I5Ycx3A_7_9"/>
      <w:bookmarkStart w:id="1161" w:name="Tc_-8KfEomKtUi57fkDTGLk8Q_7_0"/>
      <w:bookmarkStart w:id="1162" w:name="Tc_L2kpK-A8J0m_pkmSe0h7RA_6_9"/>
      <w:bookmarkStart w:id="1163" w:name="Tc_vkdTNkH0AkKUcXFrj_vpxg_6_0"/>
      <w:bookmarkStart w:id="1164" w:name="Tc_ZOpFny8VIkS74ZQh0Z8Oqw_5_0"/>
      <w:bookmarkStart w:id="1165" w:name="Tc_BpLe2n8v80uv0_1j1yZ3xQ_4_11"/>
      <w:bookmarkStart w:id="1166" w:name="Tc_dLAVAQCBHk6Wka7nomMa6A_4_8"/>
      <w:bookmarkStart w:id="1167" w:name="Tc_z90wKhirjUu29Sm3xtQRmQ_4_5"/>
      <w:bookmarkStart w:id="1168" w:name="Tc_5IrctSHo10aALquYu3O1Sg_4_2"/>
      <w:bookmarkStart w:id="1169" w:name="Tc_twEuikZ_DUmUe94qZVEnQQ_4_0"/>
      <w:bookmarkStart w:id="1170" w:name="Tc_yVDerapGh0-1M-Tis4kD4A_3_2"/>
      <w:bookmarkStart w:id="1171" w:name="Tc_gTaazFXCyEO8CggfjoX7hA_2_11"/>
      <w:bookmarkStart w:id="1172" w:name="Tc_JhI3hm5c1ECndhoScshu0g_2_8"/>
      <w:bookmarkStart w:id="1173" w:name="Tc_rOw02xY8KU-Yjf4mPgnxNQ_2_5"/>
      <w:bookmarkStart w:id="1174" w:name="Tc_rUXKx0jYJECDa15uZsEztg_2_2"/>
      <w:bookmarkStart w:id="1175" w:name="Tc_Q6TqrAAEnEKBLOesiGTQDQ_1_2"/>
      <w:bookmarkStart w:id="1176" w:name="_4e3b0e27_44ed_4574_80e4_7309f32123ab"/>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r>
        <w:rPr>
          <w:rFonts w:ascii="Times New Roman;Times;serif" w:hAnsi="Times New Roman;Times;serif"/>
          <w:b/>
          <w:sz w:val="20"/>
        </w:rPr>
        <w:t>NOTE 9 – SEGMENTS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Company’s reportable segments are business units that offer products through different channels of distribution. The Company has two reportable segments: wholesale operations and retail operations. The wholesale operations segment includes sales of products to retailers under owned, licensed and private label brands, as well as sales related to the Vilebrequin and Karl Lagerfeld businesses, including from retail stores operated by Vilebrequin and Karl Lagerfeld, other than sales of product under the Karl Lagerfeld Paris brand generated by the Company’s retail stores and digital outlets. Wholesale revenues also include royalty revenues from license agreements related to the DKNY, Donna Karan, Karl Lagerfeld, Vilebrequin, G.H. Bass, Andrew Marc and Sonia Rykiel trademarks owned by the Company. The retail operations segment consists primarily of direct sales to consumers through Company-operated stores, which consists primarily of DKNY and Karl Lagerfeld Paris stores, as well as the digital channels for DKNY, Donna Karan, Karl Lagerfeld Paris, G.H. Bass and Wilsons Leather. Substantially all DKNY and Karl Lagerfeld Paris stores are operated as outlet stores.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following segment information is presented for the three and six month periods indicated below: </w:t>
      </w:r>
    </w:p>
    <w:p>
      <w:pPr>
        <w:pStyle w:val="TextBody"/>
        <w:bidi w:val="0"/>
        <w:spacing w:before="0" w:after="240"/>
        <w:ind w:left="0" w:right="0" w:hanging="0"/>
        <w:jc w:val="both"/>
        <w:rPr/>
      </w:pPr>
      <w:r>
        <w:rPr/>
        <w:t>​</w:t>
      </w:r>
    </w:p>
    <w:tbl>
      <w:tblPr>
        <w:tblW w:w="9111" w:type="dxa"/>
        <w:jc w:val="left"/>
        <w:tblInd w:w="0" w:type="dxa"/>
        <w:tblLayout w:type="fixed"/>
        <w:tblCellMar>
          <w:top w:w="0" w:type="dxa"/>
          <w:left w:w="0" w:type="dxa"/>
          <w:bottom w:w="0" w:type="dxa"/>
          <w:right w:w="0" w:type="dxa"/>
        </w:tblCellMar>
      </w:tblPr>
      <w:tblGrid>
        <w:gridCol w:w="3736"/>
        <w:gridCol w:w="326"/>
        <w:gridCol w:w="211"/>
        <w:gridCol w:w="781"/>
        <w:gridCol w:w="326"/>
        <w:gridCol w:w="211"/>
        <w:gridCol w:w="691"/>
        <w:gridCol w:w="326"/>
        <w:gridCol w:w="239"/>
        <w:gridCol w:w="901"/>
        <w:gridCol w:w="326"/>
        <w:gridCol w:w="211"/>
        <w:gridCol w:w="826"/>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372360" cy="175260"/>
                      <wp:effectExtent l="0" t="0" r="0" b="0"/>
                      <wp:wrapNone/>
                      <wp:docPr id="108" name="Frame108"/>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495935" cy="175260"/>
                      <wp:effectExtent l="0" t="0" r="0" b="0"/>
                      <wp:wrapNone/>
                      <wp:docPr id="109" name="Frame10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10" name="Frame1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438785" cy="175260"/>
                      <wp:effectExtent l="0" t="0" r="0" b="0"/>
                      <wp:wrapNone/>
                      <wp:docPr id="111" name="Frame11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572135" cy="175260"/>
                      <wp:effectExtent l="0" t="0" r="0" b="0"/>
                      <wp:wrapNone/>
                      <wp:docPr id="112" name="Frame11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13" name="Frame1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524510" cy="175260"/>
                      <wp:effectExtent l="0" t="0" r="0" b="0"/>
                      <wp:wrapNone/>
                      <wp:docPr id="114" name="Frame11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04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July 31, 2024</w:t>
            </w:r>
          </w:p>
        </w:tc>
      </w:tr>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Wholesale</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Elimination </w:t>
            </w:r>
            <w:r>
              <w:rPr>
                <w:rFonts w:ascii="Times New Roman;Times;serif" w:hAnsi="Times New Roman;Times;serif"/>
                <w:b/>
                <w:sz w:val="12"/>
              </w:rPr>
              <w:t>(1)</w:t>
            </w:r>
          </w:p>
        </w:tc>
        <w:tc>
          <w:tcPr>
            <w:tcW w:w="326" w:type="dxa"/>
            <w:tcBorders/>
            <w:vAlign w:val="center"/>
          </w:tcPr>
          <w:p>
            <w:pPr>
              <w:pStyle w:val="TableContents"/>
              <w:bidi w:val="0"/>
              <w:spacing w:before="0" w:after="0"/>
              <w:ind w:left="0" w:right="0" w:hanging="0"/>
              <w:jc w:val="left"/>
              <w:rPr/>
            </w:pPr>
            <w:r>
              <w:rPr/>
              <w:t>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9111"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049"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620,311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37,198</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644,755</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364,658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16,977</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(12,754)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368,881</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255,653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20,221</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275,874</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207,442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21,588</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229,030</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956</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5,380</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profit (loss)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43,787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(2,323)</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41,464</w:t>
            </w:r>
          </w:p>
        </w:tc>
      </w:tr>
    </w:tbl>
    <w:p>
      <w:pPr>
        <w:pStyle w:val="TextBody"/>
        <w:bidi w:val="0"/>
        <w:spacing w:before="0" w:after="0"/>
        <w:ind w:left="0" w:right="0" w:hanging="0"/>
        <w:jc w:val="left"/>
        <w:rPr/>
      </w:pPr>
      <w:r>
        <w:rPr/>
        <w:t>​</w:t>
      </w:r>
    </w:p>
    <w:tbl>
      <w:tblPr>
        <w:tblW w:w="9111" w:type="dxa"/>
        <w:jc w:val="left"/>
        <w:tblInd w:w="0" w:type="dxa"/>
        <w:tblLayout w:type="fixed"/>
        <w:tblCellMar>
          <w:top w:w="0" w:type="dxa"/>
          <w:left w:w="0" w:type="dxa"/>
          <w:bottom w:w="0" w:type="dxa"/>
          <w:right w:w="0" w:type="dxa"/>
        </w:tblCellMar>
      </w:tblPr>
      <w:tblGrid>
        <w:gridCol w:w="3736"/>
        <w:gridCol w:w="326"/>
        <w:gridCol w:w="211"/>
        <w:gridCol w:w="781"/>
        <w:gridCol w:w="326"/>
        <w:gridCol w:w="211"/>
        <w:gridCol w:w="691"/>
        <w:gridCol w:w="326"/>
        <w:gridCol w:w="239"/>
        <w:gridCol w:w="901"/>
        <w:gridCol w:w="326"/>
        <w:gridCol w:w="211"/>
        <w:gridCol w:w="826"/>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372360" cy="175260"/>
                      <wp:effectExtent l="0" t="0" r="0" b="0"/>
                      <wp:wrapNone/>
                      <wp:docPr id="115" name="Frame115"/>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495935" cy="175260"/>
                      <wp:effectExtent l="0" t="0" r="0" b="0"/>
                      <wp:wrapNone/>
                      <wp:docPr id="116" name="Frame11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7010" cy="175260"/>
                      <wp:effectExtent l="0" t="0" r="0" b="0"/>
                      <wp:wrapNone/>
                      <wp:docPr id="117" name="Frame1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438785" cy="175260"/>
                      <wp:effectExtent l="0" t="0" r="0" b="0"/>
                      <wp:wrapNone/>
                      <wp:docPr id="118" name="Frame11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572135" cy="175260"/>
                      <wp:effectExtent l="0" t="0" r="0" b="0"/>
                      <wp:wrapNone/>
                      <wp:docPr id="119" name="Frame119"/>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010" cy="175260"/>
                      <wp:effectExtent l="0" t="0" r="0" b="0"/>
                      <wp:wrapNone/>
                      <wp:docPr id="120" name="Frame1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524510" cy="175260"/>
                      <wp:effectExtent l="0" t="0" r="0" b="0"/>
                      <wp:wrapNone/>
                      <wp:docPr id="121" name="Frame12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04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July 31, 2023</w:t>
            </w:r>
          </w:p>
        </w:tc>
      </w:tr>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Wholesale</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Elimination </w:t>
            </w:r>
            <w:r>
              <w:rPr>
                <w:rFonts w:ascii="Times New Roman;Times;serif" w:hAnsi="Times New Roman;Times;serif"/>
                <w:b/>
                <w:sz w:val="12"/>
              </w:rPr>
              <w:t>(1)</w:t>
            </w:r>
          </w:p>
        </w:tc>
        <w:tc>
          <w:tcPr>
            <w:tcW w:w="326" w:type="dxa"/>
            <w:tcBorders/>
            <w:vAlign w:val="center"/>
          </w:tcPr>
          <w:p>
            <w:pPr>
              <w:pStyle w:val="TableContents"/>
              <w:bidi w:val="0"/>
              <w:spacing w:before="0" w:after="0"/>
              <w:ind w:left="0" w:right="0" w:hanging="0"/>
              <w:jc w:val="left"/>
              <w:rPr/>
            </w:pPr>
            <w:r>
              <w:rPr/>
              <w:t>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9111"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049"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639,184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34,341</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659,761</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379,884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16,988</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(13,764)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383,108</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259,300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17,353</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276,653</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216,489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22,718</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239,207</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5,959</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profit (loss)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37,784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(6,297)</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31,487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9516" w:type="dxa"/>
        <w:jc w:val="left"/>
        <w:tblInd w:w="0" w:type="dxa"/>
        <w:tblLayout w:type="fixed"/>
        <w:tblCellMar>
          <w:top w:w="0" w:type="dxa"/>
          <w:left w:w="0" w:type="dxa"/>
          <w:bottom w:w="0" w:type="dxa"/>
          <w:right w:w="0" w:type="dxa"/>
        </w:tblCellMar>
      </w:tblPr>
      <w:tblGrid>
        <w:gridCol w:w="3736"/>
        <w:gridCol w:w="326"/>
        <w:gridCol w:w="211"/>
        <w:gridCol w:w="931"/>
        <w:gridCol w:w="326"/>
        <w:gridCol w:w="211"/>
        <w:gridCol w:w="796"/>
        <w:gridCol w:w="326"/>
        <w:gridCol w:w="239"/>
        <w:gridCol w:w="901"/>
        <w:gridCol w:w="326"/>
        <w:gridCol w:w="211"/>
        <w:gridCol w:w="976"/>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372360" cy="175260"/>
                      <wp:effectExtent l="0" t="0" r="0" b="0"/>
                      <wp:wrapNone/>
                      <wp:docPr id="122" name="Frame122"/>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591185" cy="175260"/>
                      <wp:effectExtent l="0" t="0" r="0" b="0"/>
                      <wp:wrapNone/>
                      <wp:docPr id="123" name="Frame12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7010" cy="175260"/>
                      <wp:effectExtent l="0" t="0" r="0" b="0"/>
                      <wp:wrapNone/>
                      <wp:docPr id="124" name="Frame1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505460" cy="175260"/>
                      <wp:effectExtent l="0" t="0" r="0" b="0"/>
                      <wp:wrapNone/>
                      <wp:docPr id="125" name="Frame12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572135" cy="175260"/>
                      <wp:effectExtent l="0" t="0" r="0" b="0"/>
                      <wp:wrapNone/>
                      <wp:docPr id="126" name="Frame12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7010" cy="175260"/>
                      <wp:effectExtent l="0" t="0" r="0" b="0"/>
                      <wp:wrapNone/>
                      <wp:docPr id="127" name="Frame1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19760" cy="175260"/>
                      <wp:effectExtent l="0" t="0" r="0" b="0"/>
                      <wp:wrapNone/>
                      <wp:docPr id="128" name="Frame128"/>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54"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July 31, 2024</w:t>
            </w:r>
          </w:p>
        </w:tc>
      </w:tr>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Wholesale</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Elimination </w:t>
            </w:r>
            <w:r>
              <w:rPr>
                <w:rFonts w:ascii="Times New Roman;Times;serif" w:hAnsi="Times New Roman;Times;serif"/>
                <w:b/>
                <w:sz w:val="12"/>
              </w:rPr>
              <w:t>(1)</w:t>
            </w:r>
          </w:p>
        </w:tc>
        <w:tc>
          <w:tcPr>
            <w:tcW w:w="326" w:type="dxa"/>
            <w:tcBorders/>
            <w:vAlign w:val="center"/>
          </w:tcPr>
          <w:p>
            <w:pPr>
              <w:pStyle w:val="TableContents"/>
              <w:bidi w:val="0"/>
              <w:spacing w:before="0" w:after="0"/>
              <w:ind w:left="0" w:right="0" w:hanging="0"/>
              <w:jc w:val="left"/>
              <w:rPr/>
            </w:pPr>
            <w:r>
              <w:rPr/>
              <w:t>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9516"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54"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1,218,075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67,727</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1,254,502</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717,885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33,150</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(31,300)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719,735</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500,190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34,577</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534,767</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423,017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42,634</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465,651</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2,710</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14,148</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profit (loss)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65,735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(10,767)</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54,968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177" w:name="Tc_8O1NDTjJikybYIRQZZLVIw_10_11"/>
      <w:bookmarkStart w:id="1178" w:name="Tc_XcrD35FZ2kWjeNLhRTUQIw_10_8"/>
      <w:bookmarkStart w:id="1179" w:name="Tc_OOzQi0yC50iu7BI_-Sp57Q_10_5"/>
      <w:bookmarkStart w:id="1180" w:name="Tc_11tW5lCV3kCTY7DeBfodJw_10_2"/>
      <w:bookmarkStart w:id="1181" w:name="Tc_rR67vw2lxkyUNuUo_r2thw_10_0"/>
      <w:bookmarkStart w:id="1182" w:name="Tc_x7iWTRJ2UkOcBdjNVAgwBA_9_0"/>
      <w:bookmarkStart w:id="1183" w:name="Tc_IzSkPAUmqECx35DC1kQJGw_8_12"/>
      <w:bookmarkStart w:id="1184" w:name="Tc_8idFHjhWVkiJ_xTBDClPFg_8_11"/>
      <w:bookmarkStart w:id="1185" w:name="Tc_QW6x5A2V2UeIBR8euQitBw_8_9"/>
      <w:bookmarkStart w:id="1186" w:name="Tc_SkllQrqWtkCWEBvy0PxuCg_8_8"/>
      <w:bookmarkStart w:id="1187" w:name="Tc_GwIbSXQ-BUmzCUZLYb-GoQ_8_6"/>
      <w:bookmarkStart w:id="1188" w:name="Tc_JPnHl-yUYEKnnwZTWCIs0w_8_5"/>
      <w:bookmarkStart w:id="1189" w:name="Tc_kjzQGr6eoUuquL5rMBr3gw_8_3"/>
      <w:bookmarkStart w:id="1190" w:name="Tc_df3q6LMjBUWxsjJd2iU4TA_8_2"/>
      <w:bookmarkStart w:id="1191" w:name="Tc_ef-nswZeykioOcitP3hBuw_8_0"/>
      <w:bookmarkStart w:id="1192" w:name="Tc_WlaMtadEqkq8mYBuk1EjSg_6_11"/>
      <w:bookmarkStart w:id="1193" w:name="Tc_AorFnc5lx02S1mqKROIPnw_6_8"/>
      <w:bookmarkStart w:id="1194" w:name="Tc_sGrgQDrpKUa8tKHWpwXPpw_6_5"/>
      <w:bookmarkStart w:id="1195" w:name="Tc_y2miwxPE_EeyC65OG1y3_Q_6_2"/>
      <w:bookmarkStart w:id="1196" w:name="Tc_1kExy5wI8US7FZVCQ228PQ_6_0"/>
      <w:bookmarkStart w:id="1197" w:name="Tc_aUyxhT-sckm-WPd3Ge2e4w_5_0"/>
      <w:bookmarkStart w:id="1198" w:name="Tc_f1nsLM2AWEy0kV2D1cRG3g_4_11"/>
      <w:bookmarkStart w:id="1199" w:name="Tc_21dpJHYkp0m6YbFGdL2suw_4_8"/>
      <w:bookmarkStart w:id="1200" w:name="Tc_6sHIGPH24kqre--gmrxscQ_4_5"/>
      <w:bookmarkStart w:id="1201" w:name="Tc_ib8MYweGe0qoI23qJbTDYw_4_2"/>
      <w:bookmarkStart w:id="1202" w:name="Tc_Kx5lBIGkQUyX21418ixQEQ_4_0"/>
      <w:bookmarkStart w:id="1203" w:name="Tc_zLOhFhGAJ0q2vLa45KEpVw_3_2"/>
      <w:bookmarkStart w:id="1204" w:name="Tc_ELnlG9oA30ieq7HPtmuJXQ_2_11"/>
      <w:bookmarkStart w:id="1205" w:name="Tc_tu0u97JUOEu07JM6LuVwLQ_2_8"/>
      <w:bookmarkStart w:id="1206" w:name="Tc_E2GsG_VjSk2kDu6G-plzFw_2_5"/>
      <w:bookmarkStart w:id="1207" w:name="Tc_HAmXRnWv_0SRWhun4k9MVg_2_2"/>
      <w:bookmarkStart w:id="1208" w:name="Tc_E2Oyoxnpy0aZ2liqPNjmMQ_1_8"/>
      <w:bookmarkStart w:id="1209" w:name="Tc_9GN9N_IX2kGuSYnlXDPLMw_1_2"/>
      <w:bookmarkStart w:id="1210" w:name="_3c1cfa32_0a27_494b_ba4a_5d17dcbc7fd4"/>
      <w:bookmarkStart w:id="1211" w:name="Tc_iEZVcvn3V0iBb_KNA04yOQ_9_11"/>
      <w:bookmarkStart w:id="1212" w:name="Tc_ynOVdhZe0UWo8xSo3GeEQQ_9_9"/>
      <w:bookmarkStart w:id="1213" w:name="Tc_vOuizqDQ_UmIM2D66HUKnA_9_8"/>
      <w:bookmarkStart w:id="1214" w:name="Tc_x-cRGbdCakOK8MgI5OA1SQ_9_5"/>
      <w:bookmarkStart w:id="1215" w:name="Tc_cOesKL1C7kC1V1b03tXn9A_9_2"/>
      <w:bookmarkStart w:id="1216" w:name="Tc_s2lEdQdeVUaql5tig91AVA_9_0"/>
      <w:bookmarkStart w:id="1217" w:name="Tc_2eoeKkt1eEK7SxpNoz1l-g_8_9"/>
      <w:bookmarkStart w:id="1218" w:name="Tc_sIQnPhcV2UWtCpJE5ggbuQ_8_0"/>
      <w:bookmarkStart w:id="1219" w:name="Tc_iG3N6ntHgk2i3wne7ANF4Q_7_9"/>
      <w:bookmarkStart w:id="1220" w:name="Tc_HY8bT4XhJEub2CLPTPBsiA_7_0"/>
      <w:bookmarkStart w:id="1221" w:name="Tc_sx0E9aJnA0eU7Yl5uxG4jg_6_9"/>
      <w:bookmarkStart w:id="1222" w:name="Tc_4d9E6sLCS0222ZjgjLRgpQ_6_0"/>
      <w:bookmarkStart w:id="1223" w:name="Tc_orH0_3qdlUCQ1OwfzmR4lg_5_0"/>
      <w:bookmarkStart w:id="1224" w:name="Tc_NKegokXgGUSV3he5Gqb1Ag_4_11"/>
      <w:bookmarkStart w:id="1225" w:name="Tc_H4wJoBUpIkqvg_qnjMsV9w_4_8"/>
      <w:bookmarkStart w:id="1226" w:name="Tc_ckmp05QCh0eIGISrLB0fFQ_4_5"/>
      <w:bookmarkStart w:id="1227" w:name="Tc_mK5uBxbAi0CacRP27S70WA_4_2"/>
      <w:bookmarkStart w:id="1228" w:name="Tc_LrToFWNn7UyCqFphQ9gwyA_4_0"/>
      <w:bookmarkStart w:id="1229" w:name="Tc_uctFc_KDQEiW5T5Bu3uQeQ_3_2"/>
      <w:bookmarkStart w:id="1230" w:name="Tc_1SlrjzVVcEGgCg5RUUNFXA_2_11"/>
      <w:bookmarkStart w:id="1231" w:name="Tc_RLGa1UUkokS337qOWa89Kw_2_8"/>
      <w:bookmarkStart w:id="1232" w:name="Tc_522V3rqiDkmVN2OOC_74MQ_2_5"/>
      <w:bookmarkStart w:id="1233" w:name="Tc_7CtDcEWXyUmr2CZgxCC_og_2_2"/>
      <w:bookmarkStart w:id="1234" w:name="Tc_QC43jIf0nUuvkiDTbSDo3w_1_2"/>
      <w:bookmarkStart w:id="1235" w:name="_9438a7e2_b79c_4eac_8f72_db192601d7db"/>
      <w:bookmarkStart w:id="1236" w:name="Tc_8O1NDTjJikybYIRQZZLVIw_10_11"/>
      <w:bookmarkStart w:id="1237" w:name="Tc_XcrD35FZ2kWjeNLhRTUQIw_10_8"/>
      <w:bookmarkStart w:id="1238" w:name="Tc_OOzQi0yC50iu7BI_-Sp57Q_10_5"/>
      <w:bookmarkStart w:id="1239" w:name="Tc_11tW5lCV3kCTY7DeBfodJw_10_2"/>
      <w:bookmarkStart w:id="1240" w:name="Tc_rR67vw2lxkyUNuUo_r2thw_10_0"/>
      <w:bookmarkStart w:id="1241" w:name="Tc_x7iWTRJ2UkOcBdjNVAgwBA_9_0"/>
      <w:bookmarkStart w:id="1242" w:name="Tc_IzSkPAUmqECx35DC1kQJGw_8_12"/>
      <w:bookmarkStart w:id="1243" w:name="Tc_8idFHjhWVkiJ_xTBDClPFg_8_11"/>
      <w:bookmarkStart w:id="1244" w:name="Tc_QW6x5A2V2UeIBR8euQitBw_8_9"/>
      <w:bookmarkStart w:id="1245" w:name="Tc_SkllQrqWtkCWEBvy0PxuCg_8_8"/>
      <w:bookmarkStart w:id="1246" w:name="Tc_GwIbSXQ-BUmzCUZLYb-GoQ_8_6"/>
      <w:bookmarkStart w:id="1247" w:name="Tc_JPnHl-yUYEKnnwZTWCIs0w_8_5"/>
      <w:bookmarkStart w:id="1248" w:name="Tc_kjzQGr6eoUuquL5rMBr3gw_8_3"/>
      <w:bookmarkStart w:id="1249" w:name="Tc_df3q6LMjBUWxsjJd2iU4TA_8_2"/>
      <w:bookmarkStart w:id="1250" w:name="Tc_ef-nswZeykioOcitP3hBuw_8_0"/>
      <w:bookmarkStart w:id="1251" w:name="Tc_WlaMtadEqkq8mYBuk1EjSg_6_11"/>
      <w:bookmarkStart w:id="1252" w:name="Tc_AorFnc5lx02S1mqKROIPnw_6_8"/>
      <w:bookmarkStart w:id="1253" w:name="Tc_sGrgQDrpKUa8tKHWpwXPpw_6_5"/>
      <w:bookmarkStart w:id="1254" w:name="Tc_y2miwxPE_EeyC65OG1y3_Q_6_2"/>
      <w:bookmarkStart w:id="1255" w:name="Tc_1kExy5wI8US7FZVCQ228PQ_6_0"/>
      <w:bookmarkStart w:id="1256" w:name="Tc_aUyxhT-sckm-WPd3Ge2e4w_5_0"/>
      <w:bookmarkStart w:id="1257" w:name="Tc_f1nsLM2AWEy0kV2D1cRG3g_4_11"/>
      <w:bookmarkStart w:id="1258" w:name="Tc_21dpJHYkp0m6YbFGdL2suw_4_8"/>
      <w:bookmarkStart w:id="1259" w:name="Tc_6sHIGPH24kqre--gmrxscQ_4_5"/>
      <w:bookmarkStart w:id="1260" w:name="Tc_ib8MYweGe0qoI23qJbTDYw_4_2"/>
      <w:bookmarkStart w:id="1261" w:name="Tc_Kx5lBIGkQUyX21418ixQEQ_4_0"/>
      <w:bookmarkStart w:id="1262" w:name="Tc_zLOhFhGAJ0q2vLa45KEpVw_3_2"/>
      <w:bookmarkStart w:id="1263" w:name="Tc_ELnlG9oA30ieq7HPtmuJXQ_2_11"/>
      <w:bookmarkStart w:id="1264" w:name="Tc_tu0u97JUOEu07JM6LuVwLQ_2_8"/>
      <w:bookmarkStart w:id="1265" w:name="Tc_E2GsG_VjSk2kDu6G-plzFw_2_5"/>
      <w:bookmarkStart w:id="1266" w:name="Tc_HAmXRnWv_0SRWhun4k9MVg_2_2"/>
      <w:bookmarkStart w:id="1267" w:name="Tc_E2Oyoxnpy0aZ2liqPNjmMQ_1_8"/>
      <w:bookmarkStart w:id="1268" w:name="Tc_9GN9N_IX2kGuSYnlXDPLMw_1_2"/>
      <w:bookmarkStart w:id="1269" w:name="_3c1cfa32_0a27_494b_ba4a_5d17dcbc7fd4"/>
      <w:bookmarkStart w:id="1270" w:name="Tc_iEZVcvn3V0iBb_KNA04yOQ_9_11"/>
      <w:bookmarkStart w:id="1271" w:name="Tc_ynOVdhZe0UWo8xSo3GeEQQ_9_9"/>
      <w:bookmarkStart w:id="1272" w:name="Tc_vOuizqDQ_UmIM2D66HUKnA_9_8"/>
      <w:bookmarkStart w:id="1273" w:name="Tc_x-cRGbdCakOK8MgI5OA1SQ_9_5"/>
      <w:bookmarkStart w:id="1274" w:name="Tc_cOesKL1C7kC1V1b03tXn9A_9_2"/>
      <w:bookmarkStart w:id="1275" w:name="Tc_s2lEdQdeVUaql5tig91AVA_9_0"/>
      <w:bookmarkStart w:id="1276" w:name="Tc_2eoeKkt1eEK7SxpNoz1l-g_8_9"/>
      <w:bookmarkStart w:id="1277" w:name="Tc_sIQnPhcV2UWtCpJE5ggbuQ_8_0"/>
      <w:bookmarkStart w:id="1278" w:name="Tc_iG3N6ntHgk2i3wne7ANF4Q_7_9"/>
      <w:bookmarkStart w:id="1279" w:name="Tc_HY8bT4XhJEub2CLPTPBsiA_7_0"/>
      <w:bookmarkStart w:id="1280" w:name="Tc_sx0E9aJnA0eU7Yl5uxG4jg_6_9"/>
      <w:bookmarkStart w:id="1281" w:name="Tc_4d9E6sLCS0222ZjgjLRgpQ_6_0"/>
      <w:bookmarkStart w:id="1282" w:name="Tc_orH0_3qdlUCQ1OwfzmR4lg_5_0"/>
      <w:bookmarkStart w:id="1283" w:name="Tc_NKegokXgGUSV3he5Gqb1Ag_4_11"/>
      <w:bookmarkStart w:id="1284" w:name="Tc_H4wJoBUpIkqvg_qnjMsV9w_4_8"/>
      <w:bookmarkStart w:id="1285" w:name="Tc_ckmp05QCh0eIGISrLB0fFQ_4_5"/>
      <w:bookmarkStart w:id="1286" w:name="Tc_mK5uBxbAi0CacRP27S70WA_4_2"/>
      <w:bookmarkStart w:id="1287" w:name="Tc_LrToFWNn7UyCqFphQ9gwyA_4_0"/>
      <w:bookmarkStart w:id="1288" w:name="Tc_uctFc_KDQEiW5T5Bu3uQeQ_3_2"/>
      <w:bookmarkStart w:id="1289" w:name="Tc_1SlrjzVVcEGgCg5RUUNFXA_2_11"/>
      <w:bookmarkStart w:id="1290" w:name="Tc_RLGa1UUkokS337qOWa89Kw_2_8"/>
      <w:bookmarkStart w:id="1291" w:name="Tc_522V3rqiDkmVN2OOC_74MQ_2_5"/>
      <w:bookmarkStart w:id="1292" w:name="Tc_7CtDcEWXyUmr2CZgxCC_og_2_2"/>
      <w:bookmarkStart w:id="1293" w:name="Tc_QC43jIf0nUuvkiDTbSDo3w_1_2"/>
      <w:bookmarkStart w:id="1294" w:name="_9438a7e2_b79c_4eac_8f72_db192601d7db"/>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p>
    <w:tbl>
      <w:tblPr>
        <w:tblW w:w="9516" w:type="dxa"/>
        <w:jc w:val="left"/>
        <w:tblInd w:w="0" w:type="dxa"/>
        <w:tblLayout w:type="fixed"/>
        <w:tblCellMar>
          <w:top w:w="0" w:type="dxa"/>
          <w:left w:w="0" w:type="dxa"/>
          <w:bottom w:w="0" w:type="dxa"/>
          <w:right w:w="0" w:type="dxa"/>
        </w:tblCellMar>
      </w:tblPr>
      <w:tblGrid>
        <w:gridCol w:w="3736"/>
        <w:gridCol w:w="326"/>
        <w:gridCol w:w="211"/>
        <w:gridCol w:w="931"/>
        <w:gridCol w:w="326"/>
        <w:gridCol w:w="211"/>
        <w:gridCol w:w="796"/>
        <w:gridCol w:w="326"/>
        <w:gridCol w:w="239"/>
        <w:gridCol w:w="901"/>
        <w:gridCol w:w="326"/>
        <w:gridCol w:w="211"/>
        <w:gridCol w:w="976"/>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372360" cy="175260"/>
                      <wp:effectExtent l="0" t="0" r="0" b="0"/>
                      <wp:wrapNone/>
                      <wp:docPr id="129" name="Frame129"/>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591185" cy="175260"/>
                      <wp:effectExtent l="0" t="0" r="0" b="0"/>
                      <wp:wrapNone/>
                      <wp:docPr id="130" name="Frame13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7010" cy="175260"/>
                      <wp:effectExtent l="0" t="0" r="0" b="0"/>
                      <wp:wrapNone/>
                      <wp:docPr id="131" name="Frame1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505460" cy="175260"/>
                      <wp:effectExtent l="0" t="0" r="0" b="0"/>
                      <wp:wrapNone/>
                      <wp:docPr id="132" name="Frame13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572135" cy="175260"/>
                      <wp:effectExtent l="0" t="0" r="0" b="0"/>
                      <wp:wrapNone/>
                      <wp:docPr id="133" name="Frame13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7010" cy="175260"/>
                      <wp:effectExtent l="0" t="0" r="0" b="0"/>
                      <wp:wrapNone/>
                      <wp:docPr id="134" name="Frame1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19760" cy="175260"/>
                      <wp:effectExtent l="0" t="0" r="0" b="0"/>
                      <wp:wrapNone/>
                      <wp:docPr id="135" name="Frame135"/>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54"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July 31, 2023</w:t>
            </w:r>
          </w:p>
        </w:tc>
      </w:tr>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Wholesale</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Elimination </w:t>
            </w:r>
            <w:r>
              <w:rPr>
                <w:rFonts w:ascii="Times New Roman;Times;serif" w:hAnsi="Times New Roman;Times;serif"/>
                <w:b/>
                <w:sz w:val="12"/>
              </w:rPr>
              <w:t>(1)</w:t>
            </w:r>
          </w:p>
        </w:tc>
        <w:tc>
          <w:tcPr>
            <w:tcW w:w="326" w:type="dxa"/>
            <w:tcBorders/>
            <w:vAlign w:val="center"/>
          </w:tcPr>
          <w:p>
            <w:pPr>
              <w:pStyle w:val="TableContents"/>
              <w:bidi w:val="0"/>
              <w:spacing w:before="0" w:after="0"/>
              <w:ind w:left="0" w:right="0" w:hanging="0"/>
              <w:jc w:val="left"/>
              <w:rPr/>
            </w:pPr>
            <w:r>
              <w:rPr/>
              <w:t>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9516"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54"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1,226,086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64,558</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1,266,350</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732,354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31,837</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(24,294)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739,897</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493,732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32,721</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526,453</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420,578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46,590</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467,168</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10,772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1,763</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12,535</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profit (loss)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62,382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(15,632)</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46,750</w:t>
            </w:r>
          </w:p>
        </w:tc>
      </w:tr>
    </w:tbl>
    <w:p>
      <w:pPr>
        <w:pStyle w:val="TextBody"/>
        <w:bidi w:val="0"/>
        <w:spacing w:before="0" w:after="0"/>
        <w:ind w:left="0" w:right="0" w:hanging="0"/>
        <w:jc w:val="left"/>
        <w:rPr/>
      </w:pPr>
      <w:r>
        <w:rPr/>
        <w:t>​</w:t>
      </w:r>
    </w:p>
    <w:p>
      <w:pPr>
        <w:pStyle w:val="TextBody"/>
        <w:bidi w:val="0"/>
        <w:ind w:left="0" w:right="0" w:hanging="0"/>
        <w:jc w:val="both"/>
        <w:rPr>
          <w:rFonts w:ascii="Times New Roman;Times;serif" w:hAnsi="Times New Roman;Times;serif"/>
          <w:sz w:val="20"/>
        </w:rPr>
      </w:pPr>
      <w:r>
        <w:rPr>
          <w:rFonts w:ascii="Times New Roman;Times;serif" w:hAnsi="Times New Roman;Times;serif"/>
          <w:sz w:val="14"/>
        </w:rPr>
        <w:t>(1)</w:t>
      </w:r>
      <w:r>
        <w:rPr>
          <w:rFonts w:ascii="Times New Roman;Times;serif" w:hAnsi="Times New Roman;Times;serif"/>
          <w:sz w:val="18"/>
        </w:rPr>
        <w:t>Represents intersegment sales to the Company’s retail operations segment.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total net sales by licensed and proprietary product sales for each of the Company’s reportable segments are as follows:</w:t>
      </w:r>
    </w:p>
    <w:p>
      <w:pPr>
        <w:pStyle w:val="TextBody"/>
        <w:bidi w:val="0"/>
        <w:spacing w:before="0" w:after="0"/>
        <w:ind w:left="0" w:right="0" w:hanging="0"/>
        <w:jc w:val="both"/>
        <w:rPr/>
      </w:pPr>
      <w:r>
        <w:rPr/>
        <w:t>​</w:t>
      </w:r>
    </w:p>
    <w:tbl>
      <w:tblPr>
        <w:tblW w:w="7534" w:type="dxa"/>
        <w:jc w:val="left"/>
        <w:tblInd w:w="0" w:type="dxa"/>
        <w:tblLayout w:type="fixed"/>
        <w:tblCellMar>
          <w:top w:w="0" w:type="dxa"/>
          <w:left w:w="0" w:type="dxa"/>
          <w:bottom w:w="0" w:type="dxa"/>
          <w:right w:w="0" w:type="dxa"/>
        </w:tblCellMar>
      </w:tblPr>
      <w:tblGrid>
        <w:gridCol w:w="1711"/>
        <w:gridCol w:w="326"/>
        <w:gridCol w:w="233"/>
        <w:gridCol w:w="862"/>
        <w:gridCol w:w="326"/>
        <w:gridCol w:w="233"/>
        <w:gridCol w:w="862"/>
        <w:gridCol w:w="326"/>
        <w:gridCol w:w="211"/>
        <w:gridCol w:w="931"/>
        <w:gridCol w:w="326"/>
        <w:gridCol w:w="211"/>
        <w:gridCol w:w="976"/>
      </w:tblGrid>
      <w:tr>
        <w:trPr/>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086485" cy="175260"/>
                      <wp:effectExtent l="0" t="0" r="0" b="0"/>
                      <wp:wrapNone/>
                      <wp:docPr id="136" name="Frame136"/>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547370" cy="175260"/>
                      <wp:effectExtent l="0" t="0" r="0" b="0"/>
                      <wp:wrapNone/>
                      <wp:docPr id="137" name="Frame137"/>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7010" cy="175260"/>
                      <wp:effectExtent l="0" t="0" r="0" b="0"/>
                      <wp:wrapNone/>
                      <wp:docPr id="138"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547370" cy="175260"/>
                      <wp:effectExtent l="0" t="0" r="0" b="0"/>
                      <wp:wrapNone/>
                      <wp:docPr id="139" name="Frame139"/>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591185" cy="175260"/>
                      <wp:effectExtent l="0" t="0" r="0" b="0"/>
                      <wp:wrapNone/>
                      <wp:docPr id="140" name="Frame14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7010" cy="175260"/>
                      <wp:effectExtent l="0" t="0" r="0" b="0"/>
                      <wp:wrapNone/>
                      <wp:docPr id="141" name="Frame1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19760" cy="175260"/>
                      <wp:effectExtent l="0" t="0" r="0" b="0"/>
                      <wp:wrapNone/>
                      <wp:docPr id="142" name="Frame142"/>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1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0"/>
              <w:ind w:left="0" w:right="0" w:hanging="0"/>
              <w:jc w:val="left"/>
              <w:rPr/>
            </w:pPr>
            <w:r>
              <w:rPr/>
              <w:t>​</w:t>
            </w:r>
          </w:p>
        </w:tc>
        <w:tc>
          <w:tcPr>
            <w:tcW w:w="265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17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31, 2024</w:t>
            </w:r>
          </w:p>
        </w:tc>
        <w:tc>
          <w:tcPr>
            <w:tcW w:w="326" w:type="dxa"/>
            <w:tcBorders/>
            <w:vAlign w:val="center"/>
          </w:tcPr>
          <w:p>
            <w:pPr>
              <w:pStyle w:val="TableContents"/>
              <w:bidi w:val="0"/>
              <w:spacing w:before="0" w:after="0"/>
              <w:ind w:left="0" w:right="0" w:hanging="0"/>
              <w:jc w:val="left"/>
              <w:rPr/>
            </w:pPr>
            <w:r>
              <w:rPr/>
              <w:t>    </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31, 2023</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31, 2024</w:t>
            </w:r>
          </w:p>
        </w:tc>
        <w:tc>
          <w:tcPr>
            <w:tcW w:w="326" w:type="dxa"/>
            <w:tcBorders/>
            <w:vAlign w:val="center"/>
          </w:tcPr>
          <w:p>
            <w:pPr>
              <w:pStyle w:val="TableContents"/>
              <w:bidi w:val="0"/>
              <w:spacing w:before="0" w:after="0"/>
              <w:ind w:left="0" w:right="0" w:hanging="0"/>
              <w:jc w:val="left"/>
              <w:rPr/>
            </w:pPr>
            <w:r>
              <w:rPr/>
              <w:t>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31, 2023</w:t>
            </w:r>
          </w:p>
        </w:tc>
      </w:tr>
      <w:tr>
        <w:trPr/>
        <w:tc>
          <w:tcPr>
            <w:tcW w:w="7534"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7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97"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Licensed brands</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286,898</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338,656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548,765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636,661</w:t>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Proprietary brands</w:t>
            </w:r>
          </w:p>
        </w:tc>
        <w:tc>
          <w:tcPr>
            <w:tcW w:w="326"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333,413</w:t>
            </w:r>
          </w:p>
        </w:tc>
        <w:tc>
          <w:tcPr>
            <w:tcW w:w="326"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300,528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669,310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589,425</w:t>
            </w:r>
          </w:p>
        </w:tc>
      </w:tr>
      <w:tr>
        <w:trPr/>
        <w:tc>
          <w:tcPr>
            <w:tcW w:w="1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Wholesale 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620,311</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639,184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1,218,075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1,226,086</w:t>
            </w:r>
          </w:p>
        </w:tc>
      </w:tr>
      <w:tr>
        <w:trPr/>
        <w:tc>
          <w:tcPr>
            <w:tcW w:w="17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1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Licensed brands</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Proprietary brands</w:t>
            </w:r>
          </w:p>
        </w:tc>
        <w:tc>
          <w:tcPr>
            <w:tcW w:w="326"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37,198</w:t>
            </w:r>
          </w:p>
        </w:tc>
        <w:tc>
          <w:tcPr>
            <w:tcW w:w="326"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34,341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67,727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64,558</w:t>
            </w:r>
          </w:p>
        </w:tc>
      </w:tr>
      <w:tr>
        <w:trPr/>
        <w:tc>
          <w:tcPr>
            <w:tcW w:w="1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Retail 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37,198</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64,558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10 – STOCKHOLDERS’ EQUITY</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the three months ended July 31, 2024, the Company issued no shares of common stock and utilized 99,585 shares of treasury stock in connection with the vesting of equity awards. For the three months ended July 31, 2023, the Company issued no shares of common stock and utilized 601,907 shares of treasury stock in connection with the vesting of equity awards. For the six months ended July 31, 2024, the Company issued no shares of common stock and utilized 366,714 shares of treasury stock in connection with the vesting of equity awards. For the six months ended July 31, 2023, the Company issued no shares of common stock and utilized 603,971 shares of treasury stock in connection with the vesting of equity awards.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 11 – FABCO</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April 17, 2024, the Company acquired from Amlon Capital B.V. (“Amlon”) the remaining 25% interest in Fabco that it did not previously own for $0.2 million. Additionally, at the date of the transaction, there were $1.2 million of payables due from Fabco to Amlon. As settlement of a portion of the outstanding payables, the Company issued a non-interest bearing promissory note to Amlon in the principal amount of $0.6 million of which $0.4 million of the principal amount is due and payable on April 17, 2025 and $0.2 million of the principal amount is due and payable on April 17, 2026. The promissory note is classified in notes payable in the Company’s condensed consolidated balance sheet as of July 31, 2024. The remaining $0.6 million of payables due to Amlon was forgiven, resulting in the Company recognizing a gain of $0.6 million within other (loss) income in the Company’s condensed consolidated statements of income and comprehensive income.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Since the Company controlled Fabco prior to this transaction and continues to control Fabco after the transaction, the Company accounted for the change in its ownership interest in Fabco as an equity transaction, which was reflected as a reduction of the noncontrolling interest with a corresponding decrease to additional paid in capital as a result of losses incurred by Fabco. No gain or loss was recognized in the Company’s condensed consolidated statements of income and comprehensive income as a result of this transaction.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1295" w:name="_2ac306dc_38db_4fb8_bd58_3d23043adbc0"/>
      <w:bookmarkEnd w:id="1295"/>
      <w:r>
        <w:rPr>
          <w:rFonts w:ascii="Times New Roman;Times;serif" w:hAnsi="Times New Roman;Times;serif"/>
          <w:b/>
          <w:sz w:val="20"/>
        </w:rPr>
        <w:t>NOTE 12 – AWWG INVESTMENT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May 2024, the Company acquired a 12.1% minority interest in AWWG Investments B.V. (“AWWG”) for €50 million ($53.6 million). AWWG is a global fashion group and premier platform for international brands. AWWG owns a portfolio of brands including Hackett, Pepe Jeans and Façonnable. The Company intends to leverage AWWG’s expertise with AWWG becoming the agent for Karl Lagerfeld, DKNY and Donna Karan in Spain and Portugal. This investment is intended to accelerate several of the Company’s priorities including expanding its international business and identifying opportunities for growth of its owned brands.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July 31, 2024, the Company accounts for its investment in AWWG using the cost method. Investments recorded using the cost method will be assessed for any decrease in value that has occurred that is other than temporary and the other than temporary decrease shall be recognized. The Company will continue to evaluate its ability to significantly influence operational and financial policy to establish a basis for converting the investment accounted for using the cost method to the equity method of valuation in accordance with ASC 323. The investment is classified in other assets, net in the Company’s condensed consolidated balance sheet as of July 31, 2024.</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July 2024, the Company acquired an additional 6.6% minority interest in AWWG for €27.1 million ($29.1 million), increasing its total ownership interest to 18.7%. The investment in AWWG is owned by G-III Foreign Holdings B.V., a wholly-owned subsidiary of the Company. G-III Foreign Holdings B.V. reports results on a calendar year basis rather than on the January 31 fiscal year basis used by the Company. Accordingly, the AWWG investment will be accounted for under the equity method of accounting in the Company’s fiscal quarter ending October 31, 2024. The additional investment is classified in other assets, net in the Company’s condensed consolidated balance sheet as of July 31, 2024.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bookmarkStart w:id="1296" w:name="_Hlk168051877"/>
      <w:bookmarkStart w:id="1297" w:name="_48f6f641_9f6a_452a_9837_7ae2e25a192d"/>
      <w:bookmarkEnd w:id="1296"/>
      <w:bookmarkEnd w:id="1297"/>
      <w:r>
        <w:rPr>
          <w:rFonts w:ascii="Times New Roman;Times;serif" w:hAnsi="Times New Roman;Times;serif"/>
          <w:b/>
          <w:sz w:val="20"/>
        </w:rPr>
        <w:t>NOTE 13 – RECENT ADOPTED AND ISSUED ACCOUNTING PRONOUNCEMENTS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Recently Adopted Accounting Guidance</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 was no accounting guidance adopted during the three months ended July 31, 2024.</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Issued Accounting Guidance Being Evaluated for Adoption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In November 2023, the Financial Accounting Standards Board (“FASB”) issued Accounting Standard Update (“</w:t>
      </w:r>
      <w:r>
        <w:rPr>
          <w:rFonts w:ascii="Times New Roman;Times;serif" w:hAnsi="Times New Roman;Times;serif"/>
          <w:sz w:val="20"/>
        </w:rPr>
        <w:t>ASU”)</w:t>
      </w:r>
      <w:r>
        <w:rPr>
          <w:rFonts w:ascii="Times New Roman;Times;serif" w:hAnsi="Times New Roman;Times;serif"/>
          <w:sz w:val="20"/>
          <w:shd w:fill="FFFFFF" w:val="clear"/>
        </w:rPr>
        <w:t xml:space="preserve"> 2023-07, “Segment Reporting (Topic 280): Improvements to Reportable Segment Disclosures”. The ASU expands the scope and frequency of segment disclosures and introduces the concept of a “significant expense principle,” which requires entities to disclose significant expense categories and amounts that are regularly provided to the chief operating decision maker (“CODM”) and included within the reported measure of a segment’s profit or loss. The ASU also changes current disclosure requirements by allowing entities to report multiple measures of a segment’s profit or loss, provided the reported measures are used by the CODM to assess performance and allocate resources and that the measure closest to GAAP is also provided. Finally, the ASU requires all segment profit or loss and assets disclosures to be provided on both an annual and interim basis and requires entities to disclose the title and position of the individual identified as the CODM. ASU 2023-07 is effective for fiscal years beginning after December 15, 2023, and interim periods within fiscal years beginning after December 15, 2024 and shall be applied retrospectively to all periods presented in the financial statements. The Company is currently evaluating the standard and determining the extent of additional interim and annual segment disclosures that may be required.</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 xml:space="preserve">In December 2023, the FASB issued </w:t>
      </w:r>
      <w:r>
        <w:rPr>
          <w:rFonts w:ascii="Times New Roman;Times;serif" w:hAnsi="Times New Roman;Times;serif"/>
          <w:sz w:val="20"/>
        </w:rPr>
        <w:t>ASU 2023-09</w:t>
      </w:r>
      <w:r>
        <w:rPr>
          <w:rFonts w:ascii="Times New Roman;Times;serif" w:hAnsi="Times New Roman;Times;serif"/>
          <w:sz w:val="20"/>
          <w:shd w:fill="FFFFFF" w:val="clear"/>
        </w:rPr>
        <w:t xml:space="preserve">, “Income Taxes (Topic 740): Improvements to Income Tax Disclosures”. The ASU requires public companies to disclose, on an annual basis, a tabular reconciliation of the effective tax rate to the statutory rate for federal, state and foreign income taxes. It also requires greater detail about individual reconciling items in the rate reconciliation to the extent the impact of those items exceeds a specified threshold. In addition, the ASU requires public companies to disclose their income tax payments (net of refunds received), disaggregated between federal, state/local and foreign jurisdictions. </w:t>
      </w:r>
      <w:r>
        <w:rPr>
          <w:rFonts w:ascii="Times New Roman;Times;serif" w:hAnsi="Times New Roman;Times;serif"/>
          <w:sz w:val="20"/>
        </w:rPr>
        <w:t>ASU 2023-09</w:t>
      </w:r>
      <w:r>
        <w:rPr>
          <w:rFonts w:ascii="Times New Roman;Times;serif" w:hAnsi="Times New Roman;Times;serif"/>
          <w:sz w:val="20"/>
          <w:shd w:fill="FFFFFF" w:val="clear"/>
        </w:rPr>
        <w:t> is effective for fiscal years beginning after December 15, 2024. Early adoption is permitted. The Company is currently evaluating the standard and determining the extent of additional disclosures that may be required.</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298" w:name="_Hlk174972821"/>
      <w:bookmarkEnd w:id="1298"/>
      <w:r>
        <w:rPr>
          <w:rFonts w:ascii="Times New Roman;Times;serif" w:hAnsi="Times New Roman;Times;serif"/>
          <w:b/>
          <w:sz w:val="20"/>
        </w:rPr>
        <w:t>NOTE 14 – SUBSEQUENT EVENTS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Senior Secured Notes Redemption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August 2024, the Company used cash on hand and borrowings from its revolving credit facility to make a $400.7 million voluntary payment to redeem the entire $400 million principal amount of its Senior Secured Notes due August 2025 at a redemption price equal to 100% of the principal amount of the Notes plus accrued interest. </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299" w:name="Item2ManagementsDiscussion_401041"/>
      <w:bookmarkStart w:id="1300" w:name="_2246cf78_f628_4f07_b308_2826b0a67df7"/>
      <w:bookmarkEnd w:id="1299"/>
      <w:bookmarkEnd w:id="1300"/>
      <w:r>
        <w:rPr>
          <w:rFonts w:ascii="Times New Roman;Times;serif" w:hAnsi="Times New Roman;Times;serif"/>
          <w:b/>
          <w:sz w:val="20"/>
        </w:rPr>
        <w:t>Item 2.         Management’s Discussion and Analysis of Financial Condition and Results of Operations.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Unless the context otherwise requires, “G-III,” “us,” “we” and “our” refer to G-III Apparel Group, Ltd. and its subsidiaries. References to fiscal years refer to the year ended or ending on January 31 of that year. For example, our fiscal year ending January 31, 2025 is referred to as “fiscal 2025.”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KLH, Vilebrequin, Sonia Rykiel and Fabco report results on a calendar year basis rather than on the January 31 fiscal year basis used by G-III. Accordingly, the results of KLH, Vilebrequin, Sonia Rykiel and Fabco are included in the financial statements for the quarter ended or ending closest to G-III’s fiscal quarter end. For example, with respect to our results for the six-month period ended July 31, 2024, the results of KLH, Vilebrequin, Sonia Rykiel and Fabco are included for the six-month period ended June 30, 2024. Our retail operations segment uses a 52/53-week fiscal year. For fiscal 2025 and 2024, the three and six-month periods for the retail operations segment were each 13-week and 26-week periods and ended on August 3, 2024 and July 29, 2023, respectively.</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Various statements contained in this Form 10-Q, in future filings by us with the SEC, in our press releases and in oral statements made from time to time by us or on our behalf constitute “forward-looking statements” within the meaning of the Private Securities Litigation Reform Act of 1995. Forward-looking statements are based on current expectations and are indicated by words or phrases such as “anticipate,” “estimate,” “expect,” “will,” “project,” “we believe,” “is or remains optimistic,” “currently envisions,” “forecasts,” “goal” and similar words or phrases and involve known and unknown risks, uncertainties and other factors that may cause actual results, performance or achievements to be materially different from the future results, performance or achievements expressed in or implied by such forward-looking statements. Forward-looking statements also include representations of our expectations or beliefs concerning future events that involve risks and uncertainties, including, but not limited to, the following:</w:t>
      </w:r>
    </w:p>
    <w:p>
      <w:pPr>
        <w:pStyle w:val="TextBody"/>
        <w:bidi w:val="0"/>
        <w:spacing w:before="0" w:after="24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failure to maintain our material license agreements could cause us to lose significant revenues and have a material adverse effect on our results of operations;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are able to increase the sales of our other products, acquire new businesses and/or enter into other license agreements covering different products, the limited extension period of the amended Calvin Klein and Tommy Hilfiger license agreements could cause a significant decrease in our net sales and have a material adverse effect on our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adverse change in our relationship with PVH Corp. and its Calvin Klein or Tommy Hilfiger brands would have a material adverse effect on our results of operations;</w:t>
            </w:r>
          </w:p>
        </w:tc>
      </w:tr>
    </w:tbl>
    <w:tbl>
      <w:tblPr>
        <w:tblW w:w="5766" w:type="dxa"/>
        <w:jc w:val="left"/>
        <w:tblInd w:w="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dependence on the strategies and reputation of our licensors;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our wholesale operations including, among others, maintaining the image of our proprietary brands and business practices of our customers that could adversely affect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significant customer concentration, and the risk that the loss of one of our largest customers could adversely affect our business;</w:t>
            </w:r>
          </w:p>
        </w:tc>
      </w:tr>
    </w:tbl>
    <w:tbl>
      <w:tblPr>
        <w:tblW w:w="4251" w:type="dxa"/>
        <w:jc w:val="left"/>
        <w:tblInd w:w="0" w:type="dxa"/>
        <w:tblLayout w:type="fixed"/>
        <w:tblCellMar>
          <w:top w:w="28" w:type="dxa"/>
          <w:left w:w="28" w:type="dxa"/>
          <w:bottom w:w="28" w:type="dxa"/>
          <w:right w:w="28" w:type="dxa"/>
        </w:tblCellMar>
      </w:tblPr>
      <w:tblGrid>
        <w:gridCol w:w="124"/>
        <w:gridCol w:w="256"/>
        <w:gridCol w:w="38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our retail operations segment;</w:t>
            </w:r>
          </w:p>
        </w:tc>
      </w:tr>
    </w:tbl>
    <w:tbl>
      <w:tblPr>
        <w:tblW w:w="8076" w:type="dxa"/>
        <w:jc w:val="left"/>
        <w:tblInd w:w="0" w:type="dxa"/>
        <w:tblLayout w:type="fixed"/>
        <w:tblCellMar>
          <w:top w:w="28" w:type="dxa"/>
          <w:left w:w="28" w:type="dxa"/>
          <w:bottom w:w="28" w:type="dxa"/>
          <w:right w:w="28" w:type="dxa"/>
        </w:tblCellMar>
      </w:tblPr>
      <w:tblGrid>
        <w:gridCol w:w="124"/>
        <w:gridCol w:w="256"/>
        <w:gridCol w:w="76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achieve operating enhancements and cost reductions from our retail operations;</w:t>
            </w:r>
          </w:p>
        </w:tc>
      </w:tr>
    </w:tbl>
    <w:tbl>
      <w:tblPr>
        <w:tblW w:w="3606" w:type="dxa"/>
        <w:jc w:val="left"/>
        <w:tblInd w:w="0" w:type="dxa"/>
        <w:tblLayout w:type="fixed"/>
        <w:tblCellMar>
          <w:top w:w="28" w:type="dxa"/>
          <w:left w:w="28" w:type="dxa"/>
          <w:bottom w:w="28" w:type="dxa"/>
          <w:right w:w="28" w:type="dxa"/>
        </w:tblCellMar>
      </w:tblPr>
      <w:tblGrid>
        <w:gridCol w:w="124"/>
        <w:gridCol w:w="256"/>
        <w:gridCol w:w="3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dependence on existing management;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make strategic acquisitions and possible disruptions from acquisitions, including our ownership of the entire Karl Lagerfeld business, and the risks associated with such acquisitions on our ability to maintain an effective internal control environment;</w:t>
            </w:r>
          </w:p>
        </w:tc>
      </w:tr>
    </w:tbl>
    <w:tbl>
      <w:tblPr>
        <w:tblW w:w="2961" w:type="dxa"/>
        <w:jc w:val="left"/>
        <w:tblInd w:w="0" w:type="dxa"/>
        <w:tblLayout w:type="fixed"/>
        <w:tblCellMar>
          <w:top w:w="28" w:type="dxa"/>
          <w:left w:w="28" w:type="dxa"/>
          <w:bottom w:w="28" w:type="dxa"/>
          <w:right w:w="28" w:type="dxa"/>
        </w:tblCellMar>
      </w:tblPr>
      <w:tblGrid>
        <w:gridCol w:w="124"/>
        <w:gridCol w:w="256"/>
        <w:gridCol w:w="25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need for additional financing;</w:t>
            </w:r>
          </w:p>
        </w:tc>
      </w:tr>
    </w:tbl>
    <w:tbl>
      <w:tblPr>
        <w:tblW w:w="8166" w:type="dxa"/>
        <w:jc w:val="left"/>
        <w:tblInd w:w="0" w:type="dxa"/>
        <w:tblLayout w:type="fixed"/>
        <w:tblCellMar>
          <w:top w:w="28" w:type="dxa"/>
          <w:left w:w="28" w:type="dxa"/>
          <w:bottom w:w="28" w:type="dxa"/>
          <w:right w:w="28" w:type="dxa"/>
        </w:tblCellMar>
      </w:tblPr>
      <w:tblGrid>
        <w:gridCol w:w="124"/>
        <w:gridCol w:w="256"/>
        <w:gridCol w:w="7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seasonal nature of our business and effect of unseasonable or extreme weather on our business;</w:t>
            </w:r>
          </w:p>
        </w:tc>
      </w:tr>
    </w:tbl>
    <w:tbl>
      <w:tblPr>
        <w:tblW w:w="6381" w:type="dxa"/>
        <w:jc w:val="left"/>
        <w:tblInd w:w="0" w:type="dxa"/>
        <w:tblLayout w:type="fixed"/>
        <w:tblCellMar>
          <w:top w:w="28" w:type="dxa"/>
          <w:left w:w="28" w:type="dxa"/>
          <w:bottom w:w="28" w:type="dxa"/>
          <w:right w:w="28" w:type="dxa"/>
        </w:tblCellMar>
      </w:tblPr>
      <w:tblGrid>
        <w:gridCol w:w="124"/>
        <w:gridCol w:w="256"/>
        <w:gridCol w:w="6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possible adverse effects from disruptions to the worldwide supply chain;</w:t>
            </w:r>
          </w:p>
        </w:tc>
      </w:tr>
    </w:tbl>
    <w:tbl>
      <w:tblPr>
        <w:tblW w:w="5691" w:type="dxa"/>
        <w:jc w:val="left"/>
        <w:tblInd w:w="0" w:type="dxa"/>
        <w:tblLayout w:type="fixed"/>
        <w:tblCellMar>
          <w:top w:w="28" w:type="dxa"/>
          <w:left w:w="28" w:type="dxa"/>
          <w:bottom w:w="28" w:type="dxa"/>
          <w:right w:w="28" w:type="dxa"/>
        </w:tblCellMar>
      </w:tblPr>
      <w:tblGrid>
        <w:gridCol w:w="124"/>
        <w:gridCol w:w="256"/>
        <w:gridCol w:w="5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availability and quality of materials used in our products;</w:t>
            </w:r>
          </w:p>
        </w:tc>
      </w:tr>
    </w:tbl>
    <w:tbl>
      <w:tblPr>
        <w:tblW w:w="5871" w:type="dxa"/>
        <w:jc w:val="left"/>
        <w:tblInd w:w="0" w:type="dxa"/>
        <w:tblLayout w:type="fixed"/>
        <w:tblCellMar>
          <w:top w:w="28" w:type="dxa"/>
          <w:left w:w="28" w:type="dxa"/>
          <w:bottom w:w="28" w:type="dxa"/>
          <w:right w:w="28" w:type="dxa"/>
        </w:tblCellMar>
      </w:tblPr>
      <w:tblGrid>
        <w:gridCol w:w="124"/>
        <w:gridCol w:w="256"/>
        <w:gridCol w:w="54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need to protect our trademarks and other intellectual property;</w:t>
            </w:r>
          </w:p>
        </w:tc>
      </w:tr>
    </w:tbl>
    <w:tbl>
      <w:tblPr>
        <w:tblW w:w="7881" w:type="dxa"/>
        <w:jc w:val="left"/>
        <w:tblInd w:w="0" w:type="dxa"/>
        <w:tblLayout w:type="fixed"/>
        <w:tblCellMar>
          <w:top w:w="28" w:type="dxa"/>
          <w:left w:w="28" w:type="dxa"/>
          <w:bottom w:w="28" w:type="dxa"/>
          <w:right w:w="28" w:type="dxa"/>
        </w:tblCellMar>
      </w:tblPr>
      <w:tblGrid>
        <w:gridCol w:w="124"/>
        <w:gridCol w:w="256"/>
        <w:gridCol w:w="75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that our licensees may not generate expected sales or maintain the value of our brands;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the current economic and credit environment on us, our customers, suppliers and vendors, including without limitation, the effects of inflationary cost pressures and higher interest rates;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effects of war, acts of terrorism, natural disasters or public health crises could adversely affect our business and results of operations, including the wars in Ukraine and the Middle East;</w:t>
            </w:r>
          </w:p>
        </w:tc>
      </w:tr>
    </w:tbl>
    <w:tbl>
      <w:tblPr>
        <w:tblW w:w="3951" w:type="dxa"/>
        <w:jc w:val="left"/>
        <w:tblInd w:w="0" w:type="dxa"/>
        <w:tblLayout w:type="fixed"/>
        <w:tblCellMar>
          <w:top w:w="28" w:type="dxa"/>
          <w:left w:w="28" w:type="dxa"/>
          <w:bottom w:w="28" w:type="dxa"/>
          <w:right w:w="28" w:type="dxa"/>
        </w:tblCellMar>
      </w:tblPr>
      <w:tblGrid>
        <w:gridCol w:w="124"/>
        <w:gridCol w:w="256"/>
        <w:gridCol w:w="3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dependence on foreign manufacturers;</w:t>
            </w:r>
          </w:p>
        </w:tc>
      </w:tr>
    </w:tbl>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666" w:type="dxa"/>
        <w:jc w:val="left"/>
        <w:tblInd w:w="0" w:type="dxa"/>
        <w:tblLayout w:type="fixed"/>
        <w:tblCellMar>
          <w:top w:w="28" w:type="dxa"/>
          <w:left w:w="28" w:type="dxa"/>
          <w:bottom w:w="28" w:type="dxa"/>
          <w:right w:w="28" w:type="dxa"/>
        </w:tblCellMar>
      </w:tblPr>
      <w:tblGrid>
        <w:gridCol w:w="124"/>
        <w:gridCol w:w="256"/>
        <w:gridCol w:w="9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of expansion into foreign markets, conducting business internationally and exposures to foreign currencies;</w:t>
            </w:r>
          </w:p>
        </w:tc>
      </w:tr>
    </w:tbl>
    <w:tbl>
      <w:tblPr>
        <w:tblW w:w="6861" w:type="dxa"/>
        <w:jc w:val="left"/>
        <w:tblInd w:w="0" w:type="dxa"/>
        <w:tblLayout w:type="fixed"/>
        <w:tblCellMar>
          <w:top w:w="28" w:type="dxa"/>
          <w:left w:w="28" w:type="dxa"/>
          <w:bottom w:w="28" w:type="dxa"/>
          <w:right w:w="28" w:type="dxa"/>
        </w:tblCellMar>
      </w:tblPr>
      <w:tblGrid>
        <w:gridCol w:w="124"/>
        <w:gridCol w:w="256"/>
        <w:gridCol w:w="6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the implementation of the national security law in Hong Kong;</w:t>
            </w:r>
          </w:p>
        </w:tc>
      </w:tr>
    </w:tbl>
    <w:tbl>
      <w:tblPr>
        <w:tblW w:w="6936" w:type="dxa"/>
        <w:jc w:val="left"/>
        <w:tblInd w:w="0" w:type="dxa"/>
        <w:tblLayout w:type="fixed"/>
        <w:tblCellMar>
          <w:top w:w="28" w:type="dxa"/>
          <w:left w:w="28" w:type="dxa"/>
          <w:bottom w:w="28" w:type="dxa"/>
          <w:right w:w="28" w:type="dxa"/>
        </w:tblCellMar>
      </w:tblPr>
      <w:tblGrid>
        <w:gridCol w:w="124"/>
        <w:gridCol w:w="256"/>
        <w:gridCol w:w="6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need to successfully upgrade, maintain and secure our information systems;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exposure to consumer privacy, cybersecurity and fraud concerns, including as a result of a remote working environment;</w:t>
            </w:r>
          </w:p>
        </w:tc>
      </w:tr>
    </w:tbl>
    <w:tbl>
      <w:tblPr>
        <w:tblW w:w="5406" w:type="dxa"/>
        <w:jc w:val="left"/>
        <w:tblInd w:w="0" w:type="dxa"/>
        <w:tblLayout w:type="fixed"/>
        <w:tblCellMar>
          <w:top w:w="28" w:type="dxa"/>
          <w:left w:w="28" w:type="dxa"/>
          <w:bottom w:w="28" w:type="dxa"/>
          <w:right w:w="28" w:type="dxa"/>
        </w:tblCellMar>
      </w:tblPr>
      <w:tblGrid>
        <w:gridCol w:w="124"/>
        <w:gridCol w:w="256"/>
        <w:gridCol w:w="5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possible adverse effects of data security or privacy breaches;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on our business of the imposition of tariffs by the United States government and the escalation of trade tensions between countries;</w:t>
            </w:r>
          </w:p>
        </w:tc>
      </w:tr>
    </w:tbl>
    <w:tbl>
      <w:tblPr>
        <w:tblW w:w="8406" w:type="dxa"/>
        <w:jc w:val="left"/>
        <w:tblInd w:w="0" w:type="dxa"/>
        <w:tblLayout w:type="fixed"/>
        <w:tblCellMar>
          <w:top w:w="28" w:type="dxa"/>
          <w:left w:w="28" w:type="dxa"/>
          <w:bottom w:w="28" w:type="dxa"/>
          <w:right w:w="28" w:type="dxa"/>
        </w:tblCellMar>
      </w:tblPr>
      <w:tblGrid>
        <w:gridCol w:w="124"/>
        <w:gridCol w:w="256"/>
        <w:gridCol w:w="8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tax legislation or exposure to additional tax liabilities that could impact our business;</w:t>
            </w:r>
          </w:p>
        </w:tc>
      </w:tr>
    </w:tbl>
    <w:tbl>
      <w:tblPr>
        <w:tblW w:w="5931" w:type="dxa"/>
        <w:jc w:val="left"/>
        <w:tblInd w:w="0" w:type="dxa"/>
        <w:tblLayout w:type="fixed"/>
        <w:tblCellMar>
          <w:top w:w="28" w:type="dxa"/>
          <w:left w:w="28" w:type="dxa"/>
          <w:bottom w:w="28" w:type="dxa"/>
          <w:right w:w="28" w:type="dxa"/>
        </w:tblCellMar>
      </w:tblPr>
      <w:tblGrid>
        <w:gridCol w:w="124"/>
        <w:gridCol w:w="256"/>
        <w:gridCol w:w="5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regulations applicable to us as a U.S. public company;</w:t>
            </w:r>
          </w:p>
        </w:tc>
      </w:tr>
    </w:tbl>
    <w:tbl>
      <w:tblPr>
        <w:tblW w:w="5106" w:type="dxa"/>
        <w:jc w:val="left"/>
        <w:tblInd w:w="0" w:type="dxa"/>
        <w:tblLayout w:type="fixed"/>
        <w:tblCellMar>
          <w:top w:w="28" w:type="dxa"/>
          <w:left w:w="28" w:type="dxa"/>
          <w:bottom w:w="28" w:type="dxa"/>
          <w:right w:w="28" w:type="dxa"/>
        </w:tblCellMar>
      </w:tblPr>
      <w:tblGrid>
        <w:gridCol w:w="124"/>
        <w:gridCol w:w="256"/>
        <w:gridCol w:w="4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focus on corporate responsibility issues by stakeholders;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effect on the price of our stock if actual results are worse than financial forecasts or if we are unable to provide financial forecasts;</w:t>
            </w:r>
          </w:p>
        </w:tc>
      </w:tr>
    </w:tbl>
    <w:tbl>
      <w:tblPr>
        <w:tblW w:w="4281" w:type="dxa"/>
        <w:jc w:val="left"/>
        <w:tblInd w:w="0" w:type="dxa"/>
        <w:tblLayout w:type="fixed"/>
        <w:tblCellMar>
          <w:top w:w="28" w:type="dxa"/>
          <w:left w:w="28" w:type="dxa"/>
          <w:bottom w:w="28" w:type="dxa"/>
          <w:right w:w="28" w:type="dxa"/>
        </w:tblCellMar>
      </w:tblPr>
      <w:tblGrid>
        <w:gridCol w:w="124"/>
        <w:gridCol w:w="256"/>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the price of our common stock;</w:t>
            </w:r>
          </w:p>
        </w:tc>
      </w:tr>
    </w:tbl>
    <w:tbl>
      <w:tblPr>
        <w:tblW w:w="8976" w:type="dxa"/>
        <w:jc w:val="left"/>
        <w:tblInd w:w="0" w:type="dxa"/>
        <w:tblLayout w:type="fixed"/>
        <w:tblCellMar>
          <w:top w:w="28" w:type="dxa"/>
          <w:left w:w="28" w:type="dxa"/>
          <w:bottom w:w="28" w:type="dxa"/>
          <w:right w:w="28" w:type="dxa"/>
        </w:tblCellMar>
      </w:tblPr>
      <w:tblGrid>
        <w:gridCol w:w="124"/>
        <w:gridCol w:w="256"/>
        <w:gridCol w:w="8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our trademarks or other intangibles may require us to record charges against earnings; and</w:t>
            </w:r>
          </w:p>
        </w:tc>
      </w:tr>
    </w:tbl>
    <w:tbl>
      <w:tblPr>
        <w:tblW w:w="3186" w:type="dxa"/>
        <w:jc w:val="left"/>
        <w:tblInd w:w="0" w:type="dxa"/>
        <w:tblLayout w:type="fixed"/>
        <w:tblCellMar>
          <w:top w:w="28" w:type="dxa"/>
          <w:left w:w="28" w:type="dxa"/>
          <w:bottom w:w="28" w:type="dxa"/>
          <w:right w:w="28" w:type="dxa"/>
        </w:tblCellMar>
      </w:tblPr>
      <w:tblGrid>
        <w:gridCol w:w="124"/>
        <w:gridCol w:w="256"/>
        <w:gridCol w:w="2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indebtedness.</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forward-looking statements are based largely on our expectations and judgments and are subject to a number of risks and uncertainties, many of which are unforeseeable and beyond our control. A detailed discussion of significant risk factors that have the potential to cause our actual results to differ materially from our expectations is described under the heading “Risk Factors” in our Annual Report on Form 10-K for the year ended January 31, 2024. We undertake no obligation to publicly update or revise any forward-looking statements, whether as a result of new information, future events or otherwise, except as required by law.</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bookmarkStart w:id="1301" w:name="_Hlk167102937"/>
      <w:bookmarkEnd w:id="1301"/>
      <w:r>
        <w:rPr>
          <w:rFonts w:ascii="Times New Roman;Times;serif" w:hAnsi="Times New Roman;Times;serif"/>
          <w:b/>
          <w:sz w:val="20"/>
        </w:rPr>
        <w:t>Overview</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G-III designs, sources and markets an extensive range of apparel, including outerwear, dresses, sportswear, swimwear, women’s suits and women’s performance wear, as well as women’s handbags, footwear, small leather goods, cold weather accessories and luggage. G-III has a substantial portfolio of more than 30 licensed and proprietary brands, anchored by our key brands: DKNY, Donna Karan, Karl Lagerfeld, Nautica and Halston, as well as other major brands that currently drive our business, including Calvin Klein and Tommy Hilfiger. We distribute our products through multiple channels and in markets located in a variety of geographies.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own proprietary brands include DKNY, Donna Karan, Karl Lagerfeld, Karl Lagerfeld Paris, Vilebrequin, G.H. Bass, Eliza J, Jessica Howard, Andrew Marc, Marc New York, Wilsons Leather and Sonia Rykiel. We have an extensive portfolio of well-known licensed brands, including Calvin Klein, Tommy Hilfiger, Nautica, Halston, Levi’s, Kenneth Cole, Cole Haan, Vince Camuto, Dockers and Champion. Through our team sports business, we have licenses with the National Football League, National Basketball Association, Major League Baseball, National Hockey League and over 150 U.S. colleges and universities. We also source and sell products to major retailers for their own private label programs.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products are sold through a cross section of leading retailers such as Macy’s, including its Bloomingdale’s division, Dillard’s, Hudson’s Bay Company, including its Saks Fifth Avenue division, Nordstrom, Kohl’s, TJX Companies, Ross Stores, Burlington and Costco. We also sell our products using digital channels through retail partners such as macys.com, nordstrom.com and dillards.com, each of which operates significant digital businesses. In addition, we sell to leading online retail partners such as Amazon, Fanatics, Zalando and Zappos.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also distribute apparel and other products directly to consumers through our own DKNY, Karl Lagerfeld, Karl Lagerfeld Paris and Vilebrequin retail stores, as well as through our digital sites for our DKNY, Donna Karan, Karl Lagerfeld, Karl Lagerfeld Paris, Vilebrequin, G.H. Bass, Wilsons Leather and Sonia Rykiel brands.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operate in fashion markets that are intensely competitive. Our ability to continuously evaluate and respond to changing consumer demands and tastes, across multiple market segments, distribution channels and geographic areas is critical to our success. Although our portfolio of brands is aimed at diversifying our risks in this regard, misjudging shifts in consumer preferences could have a negative effect on our business. Our continued success depends on our ability to design products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that are accepted in the marketplace, source the manufacture of our products on a competitive basis and continue to diversify our product portfolio and the markets we serve.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believe that consumers prefer to buy brands they know, and we have continually sought to increase the portfolio of name brands we can offer through different tiers of retail distribution, for a wide array of products at a variety of price points. We have increased the portfolio of brands we offer through licenses, acquisitions and joint ventures. It is our objective to continue to expand our product offerings and we are continually discussing new licensing opportunities with brand owners and seeking to acquire established brands.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Recent Developments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Repositioning and Expansion of Donna Karan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acquired the DKNY and Donna Karan brands, two of the most iconic American fashion brands, in December 2016. We initially repositioned and relaunched DKNY and we have successfully grown the brand. In February 2024, we relaunched the Donna Karan brand with new designs supported by a powerful ad campaign and an updated digital experience. Our new Donna Karan product is currently being distributed in the United States through our diversified distribution network, including better department stores, digital channels and our own Donna Karan website.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intend to continue to focus on several initiatives to continue the momentum and invest in marketing to further drive awareness of the Donna Karan brand, as well as to expand the brand into complementary categories through licensing. Donna Karan is widely considered to be a top fashion brand and is recognized as one of the most famous designer names in American fashion. We believe that the strength of the Donna Karan brand, along with our success with the DKNY brand, demonstrates the potential for our new Donna Karan products.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Investment in AWWG</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May 2024, we acquired a 12.1% minority interest in AWWG Investments B.V. (“AWWG”) for €50 million ($53.6 million). AWWG is a global fashion group and premier platform for international brands. AWWG owns a portfolio of brands including Hackett, Pepe Jeans and Façonnable. In July 2024, we acquired an additional 6.6% minority interest in AWWG for €27.1 million ($29.1 million), increasing our total ownership interest to approximately 18.7%. We intend to leverage AWWG’s expertise with AWWG becoming the agent for Karl Lagerfeld, DKNY and Donna Karan in Spain and Portugal. This investment is intended to accelerate several of our priorities including expanding our international business and identifying opportunities for growth of our owned brands.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bookmarkStart w:id="1302" w:name="_Hlk175669007"/>
      <w:bookmarkEnd w:id="1302"/>
      <w:r>
        <w:rPr>
          <w:rFonts w:ascii="Times New Roman;Times;serif" w:hAnsi="Times New Roman;Times;serif"/>
          <w:i/>
          <w:sz w:val="20"/>
        </w:rPr>
        <w:t>License Agreements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fiscal 2025, we entered into license agreements for (i) men’s and women’s apparel under the Converse brand and (ii) women’s apparel under the BCBG brand. In fiscal 2024, we entered into license agreements (i) for women’s apparel under the Nautica brand, (ii) to design and produce all categories of men’s and women’s product for the Halston brand and (iii) to design and produce men’s and women’s outerwear collections for the Champion brand.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Each of these license agreements include an initial term of five-years with certain renewal options. The products produced under these license agreements is distributed, or expected to be distributed, in North America through our diversified distribution network, including better department stores, digital channels, as well as other channels. Additionally, our Halston and Converse product is expected to be distributed globally. First deliveries of our Converse and BCBG products are expected to begin in Fall 2025. First deliveries of our Nautica product began in Spring 2024, and Halston and Champion product began in Fall 2024.</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believe that significant opportunity exists in the categories subject to these license agreements where we have strong expertise, and the products produced, or expected to be produced, under these license agreements align with G-III’s core competencies.</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Third Amended and Restated ABL Credit Agreement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June 2024, our subsidiaries, G-III Leather Fashions, Inc., Riviera Sun, Inc., AM Retail Group, Inc. and The Donna Karan Company Store LLC (collectively, the “Borrowers”), entered into the third amended and restated credit agreement (the “Third ABL Credit Agreement”) with the lenders named therein and with JPMorgan Chase Bank, N.A., as administrative agent. The Third ABL Credit Agreement is a five-year senior secured asset-based revolving credit facility providing for borrowings in an aggregate principal amount of up to $700 million. We and certain of our wholly-owned domestic subsidiaries, as well as G-III Apparel Canada ULC (collectively, the “Guarantors”), are guarantors under the Third ABL Credit Agreement.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Third ABL Credit Agreement amends and restates the Second Amended Credit Agreement, dated as of August 7, 2020 (as amended, supplemented or otherwise modified from time to time prior to June 4, 2024, the “Second Credit Agreement”), by and among the Borrowers and the Guarantors, the lenders from time-to-time party thereto, and JPMorgan Chase Bank, N.A., in its capacity as the administrative agent thereunder. The Second Credit Agreement provided for borrowings of up to $650 million and was due to expire on August 7, 2025. The Third ABL Credit Agreement extends the maturity date to June 2029, subject to a springing maturity date as defined within the credit agreement.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Amounts available under the Third ABL Credit Agreement are subject to borrowing base formulas and overadvances as specified in the Third ABL Credit Agreement. Borrowings bear interest, at the Borrowers’ option, at Adjusted Term Secured Overnight Financing Rate (“SOFR”) plus a margin of 1.50% to 2.00%, or the alternate base rate plus a margin of 0.50% to 1.00% (defined as the greatest of (i) the “prime rate” of JPMorgan Chase Bank, N.A. from time to time, (ii) the federal funds rate plus 0.5% and (iii) SOFR for a borrowing with an interest period of one month plus 1.00%), with the applicable margin determined based on the Borrowers’ average daily availability under the Third ABL Credit Agreement. The Third ABL Credit Agreement is secured by specified assets of the Borrowers and the Guarantors.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Senior Secured Notes Redemption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August 2024, we used cash on hand and borrowings from our revolving credit facility to make a $400.7 million voluntary payment to redeem the entire $400 million principal amount of our Senior Secured Notes due August 2025 at a redemption price equal to 100% of the principal amount of the Notes plus accrued interest. </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report based on two segments: wholesale operations and retail operations.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wholesale operations segment includes sales of products to retailers under owned, licensed and private label brands, as well as sales related to the Karl Lagerfeld and Vilebrequin businesses, including from retail stores operated by Vilebrequin and Karl Lagerfeld, other than sales of product under the Karl Lagerfeld Paris brand generated by our retail stores and digital sites. Wholesale revenues also include royalty revenues from license agreements related to our owned trademarks including DKNY, Donna Karan, Karl Lagerfeld, G.H. Bass, Andrew Marc, Vilebrequin and Sonia Rykiel.</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retail operations segment consists primarily of direct sales to consumers through our company-operated stores and product sales through our digital sites for the DKNY, Donna Karan, Karl Lagerfeld Paris, G.H. Bass and Wilsons Leather brands. Our company-operated stores primarily consist of DKNY and Karl Lagerfeld Paris retail stores, substantially all of which are operated as outlet stores.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Trends Affecting Our Business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Industry Trends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Significant trends that affect the apparel industry include retail chains closing unprofitable stores, an increased focus by retail chains and others on expanding digital sales and providing convenience-driven fulfillment options, the continued consolidation of retail chains and the desire on the part of retailers to consolidate vendors supplying them. </w:t>
      </w:r>
    </w:p>
    <w:p>
      <w:pPr>
        <w:pStyle w:val="TextBody"/>
        <w:bidi w:val="0"/>
        <w:spacing w:before="0" w:after="24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distribute our products through multiple channels, including online through retail partners such as macys.com, nordstrom.com and dillards.com, each of which has a substantial online business. As sales of apparel through digital channels continue to increase, we are developing additional digital marketing initiatives on both our web sites and third party web sites and through social media. We are investing in digital personnel, marketing, logistics, planning, distribution and other strategic opportunities to expand our digital footprint. Our digital business consists of our own web platforms at www.dkny.com, www.donnakaran.com, www.ghbass.com, www.vilebrequin.com, www.wilsonsleather.com, www.soniarykiel.com, www.karllagerfeldparis.com and www.karl.com. In addition, we sell to leading online retail partners such as Amazon, Fanatics, Zalando and Zappos.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number of retailers have experienced financial difficulties, which in some cases have resulted in bankruptcies, liquidations and/or store closings. The financial difficulties of a retail customer of ours could result in reduced business with that customer. We may also assume higher credit risk relating to receivables of a retail customer experiencing financial difficulty that could result in higher reserves for doubtful accounts or increased write-offs of accounts receivable. We attempt to mitigate credit risk from our customers by closely monitoring accounts receivable balances and shipping levels, as well as the ongoing financial performance and credit standing of customers.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Retailers are seeking to differentiate their offerings by devoting more resources to the development of exclusive products, whether by focusing on their own private label products or on products produced exclusively for a retailer by a national brand manufacturer. Exclusive brands are only made available to a specific retailer. As a result, customers loyal to their brands can only find them in the stores of that retailer.</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attempted to respond to general trends in our industry by continuing to focus on selling products with recognized brand equity, by attention to design, quality and value and by improving our sourcing capabilities. We have also responded with the strategic acquisitions made by us, such as our purchase of the interests not previously owned by us that resulted in Karl Lagerfeld becoming our wholly-owned subsidiary, and new license agreements entered into by us, such as our recent license agreements for the Nautica, Halston and Champion brands. Our actions added to our portfolio of licensed and proprietary brands and helped diversify our business by adding new product lines and expanding distribution channels. We believe that our broad distribution capabilities help us to respond to the various shifts by consumers between distribution channels and that our operational capabilities will enable us to continue to be a vendor of choice for our retail partners.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Tax Laws and Regulations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December 2022, the Council of the European Union (“EU”) announced that EU member states reached an agreement to implement the minimum tax component of the Organization for Economic Co-operation and Development’s international tax reform initiative, known as Pillar Two. The Pillar Two Model Rules provide for a global minimum tax of 15% for multinational enterprise groups, and is effective for fiscal 2025. While we do not expect these rules to have a material impact on our effective tax rate or financial results, we will continue to monitor evolving tax legislation in the jurisdictions in which we operate.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August 2022, the Inflation Reduction Act of 2022 (“IRA”) was signed into law which contains several tax-related provisions. Among other effects, the IRA created an excise tax of 1% on stock repurchases by publicly traded U.S. corporations effective after December 31, 2022. The excise tax on common stock repurchases is classified as an additional cost of the stock acquired included in treasury stock in shareholders' equity. The excise tax did not have a material impact on our results of operations and cash flows as of and for the six months ended July 31, 2024.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Inflation and Interest Rates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Inflationary pressures have impacted the entire economy, including our industry. Recent high rates of inflation, including increased fuel and food prices, have led to a softening of consumer demand and increased promotional activity in the apparel categories we sell. Ongoing inflation may lead to further challenges to increase our sales and may also negatively impact our cost structure and labor costs in the future. </w:t>
      </w:r>
    </w:p>
    <w:p>
      <w:pPr>
        <w:pStyle w:val="TextBody"/>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Federal Reserve raised interest rates several times in fiscal 2024 in response to concerns about inflation and has maintained the current high rates thus far in fiscal 2025. Higher interest rates increase the cost of our borrowing under our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revolving credit facility, may increase economic uncertainty and may negatively affect consumer spending. Volatility in interest rates may adversely affect our business or our customers. If the equity and credit markets deteriorate, it may make any necessary debt or equity financing more difficult to obtain in a timely manner or on favorable terms, or at all. </w:t>
      </w:r>
    </w:p>
    <w:p>
      <w:pPr>
        <w:pStyle w:val="TextBody"/>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Foreign currency fluctuation</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consolidated operations are impacted by the relationships between our reporting currency, the U.S. Dollar, and those of our non-United States subsidiaries whose functional/local currency is other than the U.S. Dollar, primarily the Euro. Volatility in the global foreign currency exchange rates may have a negative impact on the reported results of certain of our non-United States subsidiaries in the future, when translated to the U.S. Dollar.</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i/>
          <w:sz w:val="20"/>
        </w:rPr>
      </w:pPr>
      <w:bookmarkStart w:id="1303" w:name="_Hlk143611891"/>
      <w:bookmarkEnd w:id="1303"/>
      <w:r>
        <w:rPr>
          <w:rFonts w:ascii="Times New Roman;Times;serif" w:hAnsi="Times New Roman;Times;serif"/>
          <w:i/>
          <w:sz w:val="20"/>
        </w:rPr>
        <w:t>Supply Chain</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fiscal 2024, the Panama Canal experienced severe drought conditions which forced the canal to reduce the number of vessels transiting through it on a daily basis by approximately one-third. In addition, conflicts in the Middle East have caused major disruptions to global supply chains by impacting critical shipping routes through the Suez Canal and Red Sea for cargo, adding time and cost to shipments. While limits to the number of daily vessel transits at the Panama Canal have continued to ease in fiscal 2025, our supply chain is impacted by the port congestion and capacity shortages in Asia. Transit times and transportation costs have increased to destinations on the east coast of the United States and Europe. These delays have not yet resulted in a significant loss of customer sales and the increase in transportation costs to North America has not yet been significant. We anticipate increases in our shipping costs in North America and Europe in the second half of fiscal 2025.</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continue to monitor supply chain challenges and coordinate with our partners to divert or adjust routes accordingly to ensure delivery of our product.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International Conflicts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 xml:space="preserve">We are monitoring the direct and indirect impacts from the military conflicts between Russia and Ukraine and between Israel and Hamas, as well as other confrontations in the Middle East related to the Israel and Hamas conflict. These international conflicts and the continued threat of terrorism, heightened security measures and military action in response to acts of terrorism or civil unrest have disrupted commerce and intensified concerns regarding the United States and world economies. Our sales in Russia, Ukraine and Israel are not material to our financial results. </w:t>
      </w:r>
      <w:r>
        <w:rPr>
          <w:rFonts w:ascii="Times New Roman;Times;serif" w:hAnsi="Times New Roman;Times;serif"/>
          <w:sz w:val="20"/>
        </w:rPr>
        <w:t>However, the imposition of additional sanctions by the United States and/or foreign governments, as well as the sanctions already in place, could lead to restrictions related to sales and our supply chain for which the financial impact is uncertain. In addition,</w:t>
      </w:r>
      <w:r>
        <w:rPr>
          <w:rFonts w:ascii="Times New Roman;Times;serif" w:hAnsi="Times New Roman;Times;serif"/>
          <w:sz w:val="20"/>
          <w:shd w:fill="FFFFFF" w:val="clear"/>
        </w:rPr>
        <w:t xml:space="preserve"> the continuation or escalation of these international conflicts, including the potential for additional countries to declare war against each other, may lead to further, broader unfavorable macroeconomic conditions, including unfavorable foreign exchange rates, increases in fuel prices, food shortages, a weakening of the worldwide economy, lower consumer demand and volatility in financial markets. The possible effects of these international conflicts could have a material adverse effect on our business and our results of operations.</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Three months ended July 31, 2024 compared to three months ended</w:t>
      </w:r>
      <w:r>
        <w:rPr>
          <w:rFonts w:ascii="Times New Roman;Times;serif" w:hAnsi="Times New Roman;Times;serif"/>
          <w:b/>
          <w:i/>
          <w:caps w:val="false"/>
          <w:smallCaps w:val="false"/>
          <w:sz w:val="20"/>
        </w:rPr>
        <w:t xml:space="preserve"> </w:t>
      </w:r>
      <w:r>
        <w:rPr>
          <w:rFonts w:ascii="Times New Roman;Times;serif" w:hAnsi="Times New Roman;Times;serif"/>
          <w:b/>
          <w:i/>
          <w:sz w:val="20"/>
        </w:rPr>
        <w:t>July 31, 2023</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sales for the three months ended July 31, 2024 decreased to $644.8 million from $659.8 million in the same period last year. Net sales of our segments are reported before intercompany eliminations.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Net sales of our wholesale operations segment decreased to $620.3 million for the three months ended July 31, 2024 from $639.2 million in the comparable period last year. This decrease was primarily the result of a decrease in net sales of Calvin Klein and Tommy Hilfiger licensed products. These decreases were partially offset by the relaunched Donna Karan products that started shipping during the current year. These decreases were also offset by increases in net sales of our DKNY and Karl Lagerfeld products. The increase in sales of DKNY products was primarily related to performance wear and denim. The increase in sales of Karl Lagerfeld products was primarily related to women’s suits, shoes and handbags.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Additionally, the decreases were also partially offset by the recently launched Nautica denim licensed products that primarily started shipping during the current year.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Net sales of our retail operations segment were $37.2 million for the three months ended July 31, 2024 compared to $34.3 million in the same period last year. </w:t>
      </w:r>
      <w:r>
        <w:rPr>
          <w:rFonts w:ascii="Times New Roman;Times;serif" w:hAnsi="Times New Roman;Times;serif"/>
          <w:sz w:val="20"/>
          <w:shd w:fill="FFFFFF" w:val="clear"/>
        </w:rPr>
        <w:t>The number of retail stores operated by us decreased from 59 at July 31, 2023 to 50 at July 31, 2024. The increase in sales in our retail operations segment was the result of increased sales at our Karl Lagerfeld Paris stores, partially offset by decreased sales at our DKNY stores.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Gross profit was $275.9 million, or 42.8% of net sales, for the three months ended July 31, 2024, compared to $276.7 million, or 41.9% of net sales, in the same period last year. The gross profit percentage in our wholesale operations segment was 41.2% in the three months ended July 31, 2024 compared to 40.6% in the same period last year. The gross profit percentage in the current year period was positively impacted by a shift in sales to product related to our owned brands which have no royalty costs, as well as a more favorable product mix. The gross profit percentage in our retail operations segment was 54.4% for the three months ended July 31, 2024 compared to 50.5% for the same period last year. The gross profit percentage in the current year period was positively impacted by a decrease in promotional activity.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Selling, general and administrative expenses decreased to $229.0 million in the three months ended July 31, 2024 from $239.2 million in the same period last year. The decrease in expenses was primarily due to decreases of $4.4 million in third-party warehouse and facility expenses associated with carrying lower levels of inventory and $4.1 million in advertising expenses due to reduced royalty advertising expenses resulting from lower net sales of licensed product as well as additional advertising expenses in last year’s quarter related to the Met Gala. The decrease in expenses was also due to a $2.1 million decrease in compensation expenses, primarily due to lower bonus expense accruals. </w:t>
      </w:r>
    </w:p>
    <w:p>
      <w:pPr>
        <w:pStyle w:val="TextBody"/>
        <w:bidi w:val="0"/>
        <w:spacing w:before="0" w:after="240"/>
        <w:ind w:left="0" w:right="0" w:hanging="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Depreciation and amortization was $5.4 million for the three months ended July 31, 2024 compared to $6.0 million in the same period last year.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bookmarkStart w:id="1304" w:name="_Hlk119669502"/>
      <w:bookmarkEnd w:id="1304"/>
      <w:r>
        <w:rPr>
          <w:rFonts w:ascii="Times New Roman;Times;serif" w:hAnsi="Times New Roman;Times;serif"/>
          <w:sz w:val="20"/>
        </w:rPr>
        <w:t xml:space="preserve">Other loss was $3.0 million in the three months ended July 31, 2024 compared to other income of $0.2 million in the same period last year. Other loss in the current period was impacted by $2.2 million of losses from unconsolidated affiliates during the current year period compared to $0.5 million of such losses in the same period last year. Additionally, other loss in the current period was impacted by $1.3 million of foreign currency loss during the current year period compared to $0.7 million of foreign currency income in the same period last year. Other loss in the current period also included a $0.6 million gain on the forgiveness of certain liabilities related to the acquisition of the minority interest of Fabco.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Interest and financing charges, net, for the three months ended July 31, 2024 were $4.9 million compared to $9.5 million in the same period last year. The decrease in interest and financing charges was primarily due to a $3.0 million increase in investment income from having a larger cash position in fiscal 2025 compared to fiscal 2024 and a decrease of $1.1 million in interest charges related to the LVMH Note as a result of the repayment of $125 million in principal of this Note in fiscal 2024.</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bookmarkStart w:id="1305" w:name="_Hlk143617728"/>
      <w:bookmarkEnd w:id="1305"/>
      <w:r>
        <w:rPr>
          <w:rFonts w:ascii="Times New Roman;Times;serif" w:hAnsi="Times New Roman;Times;serif"/>
          <w:sz w:val="20"/>
        </w:rPr>
        <w:t xml:space="preserve">Income tax expense was $9.4 million for the three months ended July 31, 2024 compared to $6.0 million for the same period last year. Our effective tax rate increased to 28.1% in the current year’s quarter from 26.8% in last year’s comparable quarter. The lower effective tax rate in the prior year period was due to discrete items in the quarter. </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Six months ended July 31, 2024 compared to six months ended</w:t>
      </w:r>
      <w:r>
        <w:rPr>
          <w:rFonts w:ascii="Times New Roman;Times;serif" w:hAnsi="Times New Roman;Times;serif"/>
          <w:b/>
          <w:i/>
          <w:caps w:val="false"/>
          <w:smallCaps w:val="false"/>
          <w:sz w:val="20"/>
        </w:rPr>
        <w:t xml:space="preserve"> </w:t>
      </w:r>
      <w:r>
        <w:rPr>
          <w:rFonts w:ascii="Times New Roman;Times;serif" w:hAnsi="Times New Roman;Times;serif"/>
          <w:b/>
          <w:i/>
          <w:sz w:val="20"/>
        </w:rPr>
        <w:t>July 31, 2023</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sales for the six months ended July 31, 2024 decreased to $1.25 billion from $1.27 billion in the same period last year. Net sales of our segments are reported before intercompany eliminations.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Net sales of our wholesale operations segment decreased to $1.22 billion for the six months ended July 31, 2024 from $1.23 billion in the comparable period last year. This decrease was primarily the result of a decrease in net sales of Calvin Klein and Tommy Hilfiger licensed products. These decreases were partially offset by the relaunched Donna Karan products that started shipping during the current year period. These decreases were also offset by increases in net sales of our DKNY and Karl Lagerfeld products. The increase in sales of DKNY products was primarily related to performance wear and sportswear. The increase in sales of Karl Lagerfeld products was primarily related to women’s sportswear,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handbags, suits, dresses and shoes. Additionally, the decreases were also partially offset by the recently launched Nautica denim licensed products that primarily started shipping during the current year period.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Net sales of our retail operations segment were $67.7 million for the six months ended July 31, 2024 compared to $64.6 million in the same period last year. </w:t>
      </w:r>
      <w:r>
        <w:rPr>
          <w:rFonts w:ascii="Times New Roman;Times;serif" w:hAnsi="Times New Roman;Times;serif"/>
          <w:sz w:val="20"/>
          <w:shd w:fill="FFFFFF" w:val="clear"/>
        </w:rPr>
        <w:t>The number of retail stores operated by us decreased from 59 at July 31, 2023 to 50 at July 31, 2024. The increase in sales in our retail operations segment was the result of increased sales at our Karl Lagerfeld Paris stores, partially offset by decreased sales at our DKNY stores.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Gross profit was $534.8 million, or 42.6% of net sales, for the six months ended July 31, 2024, compared to $526.5 million, or 41.6% of net sales, in the same period last year. The gross profit percentage in our wholesale operations segment was 41.1% in the six months ended July 31, 2024 compared to 40.3% in the same period last year. The gross profit percentage in the current year period was positively impacted by a shift in sales to product related to our owned brands which have no royalty costs, as well as a more favorable product mix. The gross profit percentage in our retail operations segment was 51.1% for the six months ended July 31, 2024 compared to 50.7% for the same period last year.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Selling, general and administrative expenses decreased to $465.7 million in the six months ended July 31, 2024 from $467.2 million in the same period last year. The decrease in expenses was primarily due to a decrease of $9.9 million in third-party warehouse and facility expenses associated with carrying lower levels of inventory. This decrease was partially offset by increases of $6.5 million in advertising expenses, primarily related to the relaunch of the Donna Karan brand and higher spending on the DKNY brand and $1.3 million in compensation expenses, primarily due to an increase in salaries.</w:t>
      </w:r>
    </w:p>
    <w:p>
      <w:pPr>
        <w:pStyle w:val="TextBody"/>
        <w:bidi w:val="0"/>
        <w:spacing w:before="0" w:after="240"/>
        <w:ind w:left="0" w:right="0" w:hanging="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Depreciation and amortization was $14.1 million for the six months ended July 31, 2024 compared to $12.5 million in the same period last year. This increase primarily results from higher depreciation and amortization related to information technology expenditures and fixturing costs at department stores.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Other loss was $3.2 million in the six months ended July 31, 2024 compared to other income of $1.2 million in the same period last year. Other loss in the current period was impacted by $3.1 million of losses from unconsolidated affiliates during the current year period compared to $1.0 million of such losses in the same period last year. Additionally, other loss in the current period was impacted by $0.7 million of foreign currency loss during the current year period compared to $1.1 million of foreign currency income in the same period last year.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Interest and financing charges, net, for the six months ended July 31, 2024 were $10.3 million compared to $21.6 million in the same period last year. The decrease in interest and financing charges was primarily due to a $7.3 million increase in investment income from having a larger cash position in fiscal 2025 compared to fiscal 2024 and a decrease of $2.9 million in interest charges related to the LVMH Note as a result of the repayment of $125 million in principal of this Note in fiscal 2024.</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Income tax expense was $11.8 million for the six months ended July 31, 2024 compared to $6.9 million for the same period last year. Our effective tax rate increased to 28.3% in the current year’s period from 26.2% in last year’s comparable period. The lower effective tax rate in the prior year period was due to discrete items in the period.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306" w:name="_Hlk167108057"/>
      <w:bookmarkEnd w:id="1306"/>
      <w:r>
        <w:rPr>
          <w:rFonts w:ascii="Times New Roman;Times;serif" w:hAnsi="Times New Roman;Times;serif"/>
          <w:b/>
          <w:sz w:val="20"/>
        </w:rPr>
        <w:t>Liquidity and Capital Resources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Cash Availability</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rely on our cash flows generated from operations, cash and cash equivalents and the borrowing capacity under our revolving credit facility to meet the cash requirements of our business. The cash requirements of our business are primarily related to the seasonal buildup in inventories, compensation paid to employees, occupancy, payments to vendors in the normal course of business, capital expenditures, interest payments on debt obligations and income tax payments. We have also used cash to repurchase our shares, make minority investments and redeem our Senior Secured Notes.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 of July 31, 2024, we had cash and cash equivalents of $414.8 million and availability under our revolving credit facility of approximately $530 million. As of July 31, 2024, we were in compliance with all covenants under our senior secured notes and revolving credit facility. In August 2024, we used our cash and borrowings from our revolving credit facility to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make a $400.7 million voluntary payment to redeem the entire principal amount of our Senior Secured Notes plus accrued interest.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Senior Secured Notes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August 2020, we completed a private debt offering of $400 million aggregate principal amount of our 7.875% Senior Secured Notes due August 2025 (the “Notes”). The net proceeds of the Notes were used (i) to repay the $300 million that was outstanding under our prior term loan facility that was due in 2022, (ii) to pay related fees and expenses and (iii) for general corporate purposes.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August 2024, we used cash on hand and borrowings from our revolving credit facility to make a $400.7 million voluntary payment to redeem the entire $400 million principal amount of the Notes at a redemption price equal to 100% of the principal amount of the Notes plus accrued interest. </w:t>
      </w:r>
    </w:p>
    <w:p>
      <w:pPr>
        <w:pStyle w:val="TextBody"/>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Third Amended and Restated ABL Credit Agreement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June 4, 2024, our subsidiaries, G-III Leather Fashions, Inc., Riviera Sun, Inc., AM Retail Group, Inc. and The Donna Karan Company Store LLC (collectively, the “Borrowers”), entered into the third amended and restated credit agreement (the “Third ABL Credit Agreement”) with the lenders named therein and with JPMorgan Chase Bank, N.A., as administrative agent. The Third ABL Credit Agreement is a five-year senior secured asset-based revolving credit facility providing for borrowings in an aggregate principal amount of up to $700 million. We and certain of our wholly-owned domestic subsidiaries, as well as G-III Apparel Canada ULC (collectively, the “Guarantors”), are guarantors under the Third ABL Credit Agreement.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Third ABL Credit Agreement amends and restates the Second Amended Credit Agreement, dated as of August 7, 2020 (as amended, supplemented or otherwise modified from time to time prior to June 4, 2024, the “Second Credit Agreement”), by and among the Borrowers and the Guarantors, the lenders from time-to-time party thereto, and JPMorgan Chase Bank, N.A., in its capacity as the administrative agent thereunder. The Second Credit Agreement provided for borrowings of up to $650 million and was due to expire on August 7, 2025. The Third ABL Credit Agreement extends the maturity date to June 2029, subject to a springing maturity date as defined within the credit agreement.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Amounts available under the Third ABL Credit Agreement are subject to borrowing base formulas and overadvances as specified in the Third ABL Credit Agreement. Borrowings bear interest, at the Borrowers’ option, at Adjusted Term Secured Overnight Financing Rate (“SOFR”) plus a margin of 1.50% to 2.00%, or the alternate base rate plus a margin of 0.50% to 1.00% (defined as the greatest of (i) the “prime rate” of JPMorgan Chase Bank, N.A. from time to time, (ii) the federal funds rate plus 0.5% and (iii) SOFR for a borrowing with an interest period of one month plus 1.00%), with the applicable margin determined based on the Borrowers’ average daily availability under the Third ABL Credit Agreement. The Third ABL Credit Agreement is secured by specified assets of the Borrowers and the Guarantors.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Third ABL Credit Agreement is secured by specified assets of the Borrowers and the Guarantors. In addition to paying interest on any outstanding borrowings under the Third ABL Credit Agreement, we are required to pay a commitment fee to the lenders under the credit agreement with respect to the unutilized commitments. The commitment fee accrues at a tiered rate equal to 0.375% per annum on the average daily amount of the available commitments when the average usage is less than 50% of the total available commitments and decreases to 0.25% per annum on the average daily amount of the available commitments when the average usage is greater than or equal to 50% of the total available commitments.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Third ABL Credit Agreement contains covenants that, among other things, restricts our ability to, subject to specified exceptions, incur additional debt; incur liens; sell or dispose of certain assets; merge with other companies; liquidate or dissolve the Company; acquire other companies; make loans, advances, or guarantees; and make certain investments. In certain circumstances, the revolving credit facility also requires us to maintain a fixed charge coverage ratio, as defined in the agreement, not less than 1.00 to 1.00 for each period of twelve consecutive fiscal months. As of July 31, 2024, we were in compliance with these covenants.</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 of July 31, 2024, we had no borrowings outstanding under the Third ABL Credit Agreement. The Third ABL Credit Agreement also includes amounts available for letters of credit. As of July 31, 2024, there were outstanding trade and standby letters of credit amounting to $6.3 million and $2.9 million, respectively.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At the date of the refinancing of the Second ABL Credit Agreement, we had $1.9 million of unamortized debt issuance costs remaining from the Second ABL Credit Agreement. There was no extinguishment of any amount of the unamortized debt issuance costs remaining from the Second ABL Credit Agreement. We incurred new debt issuance costs totaling $3.8 million related to the Third ABL Credit Agreement. We have a total of $5.6 million debt issuance costs related to our Third ABL Credit Agreement. As permitted under ASC 835, the debt issuance costs have been deferred and are presented as an asset which is amortized ratably over the term of the Third ABL Credit Agreement.</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val="false"/>
          <w:i/>
          <w:sz w:val="20"/>
        </w:rPr>
      </w:pPr>
      <w:r>
        <w:rPr>
          <w:rFonts w:ascii="Times New Roman;Times;serif" w:hAnsi="Times New Roman;Times;serif"/>
          <w:b w:val="false"/>
          <w:i/>
          <w:sz w:val="20"/>
        </w:rPr>
        <w:t>LVMH Note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issued to LVMH, as a portion of the consideration for the acquisition of DKI, a junior lien secured promissory note in favor of LVMH in the principal amount of $125 million (the “LVMH Note”) that bore interest at the rate of 2% per year. $75 million of the principal amount of the LVMH Note was paid on June 1, 2023 and the remaining $50 million of such principal amount was paid on December 1, 2023.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an independent valuation, it was determined that the LVMH Note should be treated as having been issued at a discount of $40 million in accordance with ASC 820 — </w:t>
      </w:r>
      <w:r>
        <w:rPr>
          <w:rFonts w:ascii="Times New Roman;Times;serif" w:hAnsi="Times New Roman;Times;serif"/>
          <w:i/>
          <w:sz w:val="20"/>
        </w:rPr>
        <w:t>Fair Value Measurements</w:t>
      </w:r>
      <w:r>
        <w:rPr>
          <w:rFonts w:ascii="Times New Roman;Times;serif" w:hAnsi="Times New Roman;Times;serif"/>
          <w:sz w:val="20"/>
        </w:rPr>
        <w:t>. This discount was amortized as interest expense using the effective interest method over the term of the LVMH Note.</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Unsecured Loans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Several of our foreign entities borrow funds under various unsecured loans of which a portion is to provide funding for operations in the normal course of business while other loans are European state backed loans that were part of COVID-19 relief programs. In the aggregate, we are currently required to make quarterly installment payments of principal in the amount of €0.6 million. Interest on the outstanding principal amount of the unsecured loans accrues at a fixed rate equal to 0% to 5.0% per annum, payable on either a quarterly or monthly basis. As of July 31, 2024, the Company had an aggregate outstanding balance of €7.2 million ($7.8 million) under these various unsecured loans.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Overdraft Facilities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fiscal 2021 and 2025, certain of the Company’s foreign entities entered into overdraft facilities that allow for applicable bank accounts to be in a negative position up to a certain maximum overdraft. These uncommitted overdraft facilities with HSBC Bank allow for an aggregate maximum overdraft of €10 million. Interest on drawn balances accrues at a rate equal to the Euro Interbank Offered Rate plus a margin of 1.75% per annum, payable quarterly. The facility may be cancelled at any time by the Company or HSBC Bank. As part of a COVID-19 relief program, certain of the Company’s foreign entities have also entered into several state backed overdraft facilities with UBS Bank in Switzerland for an aggregate of CHF 4.7 million at varying interest rates of 0% to 0.5%. As of July 31, 2024, the Company had an aggregate of €7.4 million ($7.9 million) drawn under these various facilities.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Foreign Credit Facility</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KLH has a credit agreement with ABN AMRO Bank N.V. with a credit limit of €15.0 million which is secured by specified assets of KLH. Borrowings bear interest at the Euro Interbank Offered Rate plus a margin of 1.7%. As of July 31, 2024, KLH had no borrowings outstanding under this credit facility.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Outstanding Borrowings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primary operating cash requirements are to fund our seasonal buildup in inventories and accounts receivable, primarily during the second and third fiscal quarters each year. Due to the seasonality of our business, we generally reach our peak borrowings under our asset-based credit facility during our third fiscal quarter. The primary sources to meet our operating cash requirements have been borrowings under this credit facility and cash generated from operations. </w:t>
      </w:r>
    </w:p>
    <w:p>
      <w:pPr>
        <w:pStyle w:val="TextBody"/>
        <w:bidi w:val="0"/>
        <w:spacing w:before="0" w:after="24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had no borrowings outstanding under our Third ABL Credit Agreement at July 31, 2024 and 2023, respectively. We had $400 million in borrowings outstanding under the Notes at July 31, 2024 and 2023, respectively. Our contingent liability under open letters of credit was approximately $9.1 million and $6.7 million at July 31, 2024 and 2023, respectively. At July 31, 2023, we had $50 million of face value principal amount outstanding under the LVMH Note. The amount outstanding under the LVMH Note was repaid during fiscal 2024. We had an aggregate of €7.2 million ($7.8 million) and €9.1 million ($9.9 million) outstanding under the Company’s various unsecured loans as of July 31, 2024 and 2023, respectively. We had €7.4 million ($7.9 million) and €2.0 million ($2.2 million) outstanding under our various overdraft facilities as of July 31, 2024 and 2023, respectively. We had no borrowings outstanding under KLH’s foreign credit facility as of July 31, 2024. We had €7.5 million ($8.2 million) outstanding under KLH’s foreign credit facility as of July 31, 2023.</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Share Repurchase Program</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August 2023, our Board of Directors authorized an increase in the number of shares covered by our share repurchase program to an aggregate amount of 10,000,000 shares. Pursuant to this program, during the six months ended July 2024, we acquired 2,209,832 of our shares of common stock for an aggregate purchase price of $60.0 million, excluding excise tax. The timing and actual number of shares repurchased, if any, will depend on a number of factors, including market conditions and prevailing stock prices, and are subject to compliance with certain covenants contained in our loan agreement. Share repurchases may take place on the open market, in privately negotiated transactions or by other means, and would be made in accordance with applicable securities laws. As of July 31, 2024, we had remaining 7,790,168 shares that are authorized for purchase under this program. As of September 3, 2024, we had 43,884,544 shares of common stock outstanding.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Cash from Operating Activities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generated $94.8 million in cash from operating activities during the six months ended July 31, 2024, primarily as a result of our net income of $30.0 million, an increase of $106.1 million in accounts payable and accrued expenses and a decrease of $84.9 million in accounts receivable. We also generated cash from operating activities as a result of non-cash charges relating primarily to depreciation and amortization of $14.1 million and share-based compensation of $12.1 million. These items were offset, in part, by increases of $90.1 million in inventories and $20.6 million in income taxes, as well as a decrease of $31.6 million in customer refund liabilities.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changes in operating cash flow items are consistent with our seasonal pattern of building up inventory for the fall shipping season resulting in the increase in inventory and accounts payable. Our accounts receivable and customer refund liabilities decreased because we experience lower sales in our first and second quarters than in our third and fourth quarters.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Cash from Investing Activities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used $108.7 million of cash in investing activities during the six months ended July 31, 2024, primarily as a result of our $82.7 million investment in AWWG. We also had $23.3 million in capital expenditures primarily related to information technology expenditures and fixturing costs at department stores. </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Cash from Financing Activities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Net cash used by financing activities was $75.4 million during six months ended July 31, 2024 primarily as a result of $60.0 million of cash used to repurchase 2,209,832 shares of our common stock under our share repurchase program, excluding excise tax, $7.5 million for taxes paid in connection with net share settlements of stock grants that vested and $4.2 million in net borrowings under our various foreign facilities. </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Policies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discussion of results of operations and financial condition relies on our consolidated financial statements that are prepared based on certain critical accounting policies that require management to make judgments and estimates that are subject to varying degrees of uncertainty. We believe that investors need to be aware of these policies and how they impact our financial statements as a whole, as well as our related discussion and analysis presented herein. While we believe that these accounting policies are based on sound measurement criteria, actual future events can, and often do, result in outcomes that can be materially different from these estimates or forecasts.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accounting policies and related estimates described in our Annual Report on Form 10-K for the year ended January 31, 2024 are those that depend most heavily on these judgments and estimates. As of July 31, 2024, there have been no material changes to our critical accounting policies.</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bookmarkStart w:id="1307" w:name="Item3Quantitative_475780"/>
      <w:bookmarkStart w:id="1308" w:name="_e4b87d57_26fb_402b_814a_60e3f23cfd93"/>
      <w:bookmarkEnd w:id="1307"/>
      <w:bookmarkEnd w:id="1308"/>
      <w:r>
        <w:rPr>
          <w:rFonts w:ascii="Times New Roman;Times;serif" w:hAnsi="Times New Roman;Times;serif"/>
          <w:b/>
          <w:sz w:val="20"/>
        </w:rPr>
        <w:t>Item 3.         Quantitative and Qualitative Disclosures About Market Risk.</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are no material changes to the disclosure made with respect to these matters in our Annual Report on Form 10-K for the year ended January 31, 2024.</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bookmarkStart w:id="1309" w:name="Item4ControlsandProcedures_978659"/>
      <w:bookmarkStart w:id="1310" w:name="_d0995296_fb46_4799_9dcb_ca5ef9b7a32f"/>
      <w:bookmarkEnd w:id="1309"/>
      <w:bookmarkEnd w:id="1310"/>
      <w:r>
        <w:rPr>
          <w:rFonts w:ascii="Times New Roman;Times;serif" w:hAnsi="Times New Roman;Times;serif"/>
          <w:b/>
          <w:sz w:val="20"/>
        </w:rPr>
        <w:t>Item 4.         Controls and Procedures.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Evaluation of Disclosure Controls and Procedures</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Disclosure controls and procedures are designed only to provide “reasonable assurance” that the controls and procedures will meet their objectives.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the end of the period covered by this report, our management, including our Chief Executive Officer and Chief Financial Officer, carried out an evaluation of the effectiveness of the design and operation of our disclosure controls and procedures (as such term is defined in Rule 13a-15(e) under the Securities Exchange Act of 1934, as amended (the “Exchange Act”)). Based on that evaluation, our Chief Executive Officer and Chief Financial Officer concluded that, because of a material weakness in the Company’s internal control over financial reporting as described below, our disclosure controls and procedures that are designed to ensure that information required to be disclosed by us in the reports that we file or submit under the Exchange Act is (i) recorded, processed, summarized and reported, within the time periods specified in the SEC’s rules and forms and (ii) accumulated and communicated to our management, including our principal executive and principal financial officers, as appropriate to allow timely decisions regarding required disclosure, were not effective in making known to them material information relating to G-III required to be included in this report.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Material Weakness in Internal Control</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material weakness is a deficiency, or combination of deficiencies, in internal control over financial reporting, such that there is a reasonable possibility that a material misstatement of a company’s annual and interim financial statements will not be detected or prevented on a timely basis.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Within the KLH subsidiary, which represents approximately 10% of the total net sales of the Company for the six months ended July 31, 2024, the Company identified a material weakness in the operating effectiveness of controls related to information technology general controls (ITGCs) over business applications that support the Company’s financial reporting processes. Automated and manual business process controls that are dependent on the affected ITGCs were also deemed ineffective because they rely upon information and configurations from the affected IT systems.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concluded that the material weakness did not result in any material misstatements in our financial statements or disclosures in the current year. Based on additional procedures and post-closing review, management concluded that the consolidated financial statements included in this Quarterly Report on Form 10-Q present fairly, in all material respects,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financial position, results of operations, and cash flows for the periods presented in conformity with accounting principles generally accepted in the United States.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Remediation Measures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Management, with oversight from the Audit Committee of the Board of Directors, has begun remedial actions and is developing a full plan designed to remediate these deficiencies.  This plan may include, among other items, additional risk assessment procedures over information technology, enhancements to controls, and additional training related to the operational effectiveness of control procedures. These deficiencies will not be considered remediated until the remediation plan is complete, and controls have been operational for a sufficient period of time and successfully tested.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Changes in Internal Control over Financial Reporting</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than the material weakness described above, there were no changes in our internal control over financial reporting (as defined in Rules 13a-15(f) and 15d-15(f) under the Exchange Act) during the quarter ended July 31, 2024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311" w:name="PARTIIOTHERINFORMATION_14841"/>
      <w:bookmarkStart w:id="1312" w:name="_b84f0828_688a_4257_8246_6b5540f749c9"/>
      <w:bookmarkEnd w:id="1311"/>
      <w:bookmarkEnd w:id="1312"/>
      <w:r>
        <w:rPr>
          <w:rFonts w:ascii="Times New Roman;Times;serif" w:hAnsi="Times New Roman;Times;serif"/>
          <w:b/>
          <w:sz w:val="20"/>
        </w:rPr>
        <w:t>PART II – OTHER INFORMATION</w:t>
      </w:r>
    </w:p>
    <w:p>
      <w:pPr>
        <w:pStyle w:val="TextBody"/>
        <w:bidi w:val="0"/>
        <w:spacing w:before="0" w:after="0"/>
        <w:ind w:left="0" w:right="0" w:hanging="0"/>
        <w:jc w:val="left"/>
        <w:rPr>
          <w:rFonts w:ascii="Times New Roman;Times;serif" w:hAnsi="Times New Roman;Times;serif"/>
          <w:b/>
          <w:sz w:val="20"/>
        </w:rPr>
      </w:pPr>
      <w:bookmarkStart w:id="1313" w:name="Item1ARiskFactors_273079"/>
      <w:bookmarkEnd w:id="1313"/>
      <w:r>
        <w:rPr>
          <w:rFonts w:ascii="Times New Roman;Times;serif" w:hAnsi="Times New Roman;Times;serif"/>
          <w:b/>
          <w:sz w:val="20"/>
        </w:rPr>
        <w:t>Item 1A.      Risk Factors.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addition to the other information set forth in this Quarterly Report, you should carefully consider the risk factors contained in “Item 1A.-Risk Factors” in our Annual Report on Form 10-K for the year ended January 31, 2024 (the “Annual Report”), which could materially affect our business, financial condition and/or future results. As of July 31, 2024, there have been no material changes in our risk factors from those set forth in the Annual Report. The risks described in the Annual Report are not the only risks facing our company. Additional risks and uncertainties not currently known to us or that we currently deem to be immaterial also may materially adversely affect our business, financial condition and/or future results.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314" w:name="Item2UnregisteredSalesofEquitySecurities"/>
      <w:bookmarkStart w:id="1315" w:name="_686975c3_32d7_492b_a2de_0839bc0c5569"/>
      <w:bookmarkEnd w:id="1314"/>
      <w:bookmarkEnd w:id="1315"/>
      <w:r>
        <w:rPr>
          <w:rFonts w:ascii="Times New Roman;Times;serif" w:hAnsi="Times New Roman;Times;serif"/>
          <w:b/>
          <w:sz w:val="20"/>
        </w:rPr>
        <w:t>Item 2.      Unregistered Sales of Equity Securities and Use of Proceeds.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The following table provides information with respect to the Company’s common stock that the Company repurchased, excluding excise tax, during the three months ended July 31, 2024. </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265"/>
        <w:gridCol w:w="109"/>
        <w:gridCol w:w="1563"/>
        <w:gridCol w:w="109"/>
        <w:gridCol w:w="360"/>
        <w:gridCol w:w="975"/>
        <w:gridCol w:w="109"/>
        <w:gridCol w:w="2707"/>
        <w:gridCol w:w="109"/>
        <w:gridCol w:w="275"/>
        <w:gridCol w:w="2624"/>
      </w:tblGrid>
      <w:tr>
        <w:trPr/>
        <w:tc>
          <w:tcPr>
            <w:tcW w:w="1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803275" cy="175260"/>
                      <wp:effectExtent l="0" t="0" r="0" b="0"/>
                      <wp:wrapNone/>
                      <wp:docPr id="143" name="Frame143"/>
                      <a:graphic xmlns:a="http://schemas.openxmlformats.org/drawingml/2006/main">
                        <a:graphicData uri="http://schemas.microsoft.com/office/word/2010/wordprocessingShape">
                          <wps:wsp>
                            <wps:cNvSpPr txBox="1"/>
                            <wps:spPr>
                              <a:xfrm>
                                <a:off x="0" y="0"/>
                                <a:ext cx="803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9215" cy="175260"/>
                      <wp:effectExtent l="0" t="0" r="0" b="0"/>
                      <wp:wrapNone/>
                      <wp:docPr id="144" name="Frame1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992505" cy="175260"/>
                      <wp:effectExtent l="0" t="0" r="0" b="0"/>
                      <wp:wrapNone/>
                      <wp:docPr id="145" name="Frame145"/>
                      <a:graphic xmlns:a="http://schemas.openxmlformats.org/drawingml/2006/main">
                        <a:graphicData uri="http://schemas.microsoft.com/office/word/2010/wordprocessingShape">
                          <wps:wsp>
                            <wps:cNvSpPr txBox="1"/>
                            <wps:spPr>
                              <a:xfrm>
                                <a:off x="0" y="0"/>
                                <a:ext cx="992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9215" cy="175260"/>
                      <wp:effectExtent l="0" t="0" r="0" b="0"/>
                      <wp:wrapNone/>
                      <wp:docPr id="146" name="Frame1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28600" cy="175260"/>
                      <wp:effectExtent l="0" t="0" r="0" b="0"/>
                      <wp:wrapNone/>
                      <wp:docPr id="147" name="Frame14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19125" cy="175260"/>
                      <wp:effectExtent l="0" t="0" r="0" b="0"/>
                      <wp:wrapNone/>
                      <wp:docPr id="148" name="Frame148"/>
                      <a:graphic xmlns:a="http://schemas.openxmlformats.org/drawingml/2006/main">
                        <a:graphicData uri="http://schemas.microsoft.com/office/word/2010/wordprocessingShape">
                          <wps:wsp>
                            <wps:cNvSpPr txBox="1"/>
                            <wps:spPr>
                              <a:xfrm>
                                <a:off x="0" y="0"/>
                                <a:ext cx="619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9215" cy="175260"/>
                      <wp:effectExtent l="0" t="0" r="0" b="0"/>
                      <wp:wrapNone/>
                      <wp:docPr id="149" name="Frame1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718945" cy="175260"/>
                      <wp:effectExtent l="0" t="0" r="0" b="0"/>
                      <wp:wrapNone/>
                      <wp:docPr id="150" name="Frame150"/>
                      <a:graphic xmlns:a="http://schemas.openxmlformats.org/drawingml/2006/main">
                        <a:graphicData uri="http://schemas.microsoft.com/office/word/2010/wordprocessingShape">
                          <wps:wsp>
                            <wps:cNvSpPr txBox="1"/>
                            <wps:spPr>
                              <a:xfrm>
                                <a:off x="0" y="0"/>
                                <a:ext cx="1718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9215" cy="175260"/>
                      <wp:effectExtent l="0" t="0" r="0" b="0"/>
                      <wp:wrapNone/>
                      <wp:docPr id="151" name="Frame1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74625" cy="175260"/>
                      <wp:effectExtent l="0" t="0" r="0" b="0"/>
                      <wp:wrapNone/>
                      <wp:docPr id="152" name="Frame152"/>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666240" cy="175260"/>
                      <wp:effectExtent l="0" t="0" r="0" b="0"/>
                      <wp:wrapNone/>
                      <wp:docPr id="153" name="Frame153"/>
                      <a:graphic xmlns:a="http://schemas.openxmlformats.org/drawingml/2006/main">
                        <a:graphicData uri="http://schemas.microsoft.com/office/word/2010/wordprocessingShape">
                          <wps:wsp>
                            <wps:cNvSpPr txBox="1"/>
                            <wps:spPr>
                              <a:xfrm>
                                <a:off x="0" y="0"/>
                                <a:ext cx="1666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6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Date Purchased</w:t>
            </w:r>
          </w:p>
        </w:tc>
        <w:tc>
          <w:tcPr>
            <w:tcW w:w="109" w:type="dxa"/>
            <w:tcBorders/>
            <w:vAlign w:val="center"/>
          </w:tcPr>
          <w:p>
            <w:pPr>
              <w:pStyle w:val="TableContents"/>
              <w:bidi w:val="0"/>
              <w:spacing w:before="0" w:after="0"/>
              <w:ind w:left="0" w:right="0" w:hanging="0"/>
              <w:jc w:val="left"/>
              <w:rPr/>
            </w:pPr>
            <w:r>
              <w:rPr/>
              <w:t>​</w:t>
            </w:r>
          </w:p>
        </w:tc>
        <w:tc>
          <w:tcPr>
            <w:tcW w:w="156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 Shares Purchased</w:t>
            </w:r>
          </w:p>
        </w:tc>
        <w:tc>
          <w:tcPr>
            <w:tcW w:w="109" w:type="dxa"/>
            <w:tcBorders/>
            <w:vAlign w:val="center"/>
          </w:tcPr>
          <w:p>
            <w:pPr>
              <w:pStyle w:val="TableContents"/>
              <w:bidi w:val="0"/>
              <w:spacing w:before="0" w:after="0"/>
              <w:ind w:left="0" w:right="0" w:hanging="0"/>
              <w:jc w:val="center"/>
              <w:rPr/>
            </w:pPr>
            <w:r>
              <w:rPr/>
              <w:t>​</w:t>
            </w:r>
          </w:p>
        </w:tc>
        <w:tc>
          <w:tcPr>
            <w:tcW w:w="13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Price Paid Per Share</w:t>
            </w:r>
          </w:p>
        </w:tc>
        <w:tc>
          <w:tcPr>
            <w:tcW w:w="109" w:type="dxa"/>
            <w:tcBorders/>
            <w:vAlign w:val="center"/>
          </w:tcPr>
          <w:p>
            <w:pPr>
              <w:pStyle w:val="TableContents"/>
              <w:bidi w:val="0"/>
              <w:spacing w:before="0" w:after="0"/>
              <w:ind w:left="0" w:right="0" w:hanging="0"/>
              <w:jc w:val="center"/>
              <w:rPr/>
            </w:pPr>
            <w:r>
              <w:rPr/>
              <w:t>​</w:t>
            </w:r>
          </w:p>
        </w:tc>
        <w:tc>
          <w:tcPr>
            <w:tcW w:w="2707"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Total Number of Share Purchased as Part of Publicly Announced Program </w:t>
            </w:r>
            <w:r>
              <w:rPr>
                <w:rFonts w:ascii="Times New Roman;Times;serif" w:hAnsi="Times New Roman;Times;serif"/>
                <w:b/>
                <w:sz w:val="12"/>
              </w:rPr>
              <w:t>(1)</w:t>
            </w:r>
          </w:p>
        </w:tc>
        <w:tc>
          <w:tcPr>
            <w:tcW w:w="109" w:type="dxa"/>
            <w:tcBorders/>
            <w:vAlign w:val="center"/>
          </w:tcPr>
          <w:p>
            <w:pPr>
              <w:pStyle w:val="TableContents"/>
              <w:bidi w:val="0"/>
              <w:spacing w:before="0" w:after="0"/>
              <w:ind w:left="0" w:right="0" w:hanging="0"/>
              <w:jc w:val="center"/>
              <w:rPr/>
            </w:pPr>
            <w:r>
              <w:rPr/>
              <w:t>​</w:t>
            </w:r>
          </w:p>
        </w:tc>
        <w:tc>
          <w:tcPr>
            <w:tcW w:w="2899"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Maximum Number of Shares that may yet be Purchased Under the Program </w:t>
            </w:r>
            <w:r>
              <w:rPr>
                <w:rFonts w:ascii="Times New Roman;Times;serif" w:hAnsi="Times New Roman;Times;serif"/>
                <w:b/>
                <w:sz w:val="12"/>
              </w:rPr>
              <w:t>(1)</w:t>
            </w:r>
          </w:p>
        </w:tc>
      </w:tr>
      <w:tr>
        <w:trPr/>
        <w:tc>
          <w:tcPr>
            <w:tcW w:w="12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1 - May 31, 2024</w:t>
            </w:r>
          </w:p>
        </w:tc>
        <w:tc>
          <w:tcPr>
            <w:tcW w:w="109" w:type="dxa"/>
            <w:tcBorders/>
            <w:shd w:fill="CCEEFF" w:val="clear"/>
            <w:vAlign w:val="center"/>
          </w:tcPr>
          <w:p>
            <w:pPr>
              <w:pStyle w:val="TableContents"/>
              <w:bidi w:val="0"/>
              <w:spacing w:before="0" w:after="0"/>
              <w:ind w:left="0" w:right="0" w:hanging="0"/>
              <w:jc w:val="left"/>
              <w:rPr/>
            </w:pPr>
            <w:r>
              <w:rPr/>
              <w:t>​</w:t>
            </w:r>
          </w:p>
        </w:tc>
        <w:tc>
          <w:tcPr>
            <w:tcW w:w="156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0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w:t>
            </w:r>
          </w:p>
        </w:tc>
        <w:tc>
          <w:tcPr>
            <w:tcW w:w="26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8,970,496</w:t>
            </w:r>
          </w:p>
        </w:tc>
      </w:tr>
      <w:tr>
        <w:trPr/>
        <w:tc>
          <w:tcPr>
            <w:tcW w:w="12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1 - June 30, 2024</w:t>
            </w:r>
          </w:p>
        </w:tc>
        <w:tc>
          <w:tcPr>
            <w:tcW w:w="109" w:type="dxa"/>
            <w:tcBorders/>
            <w:vAlign w:val="center"/>
          </w:tcPr>
          <w:p>
            <w:pPr>
              <w:pStyle w:val="TableContents"/>
              <w:bidi w:val="0"/>
              <w:spacing w:before="0" w:after="0"/>
              <w:ind w:left="0" w:right="0" w:hanging="0"/>
              <w:jc w:val="left"/>
              <w:rPr/>
            </w:pPr>
            <w:r>
              <w:rPr/>
              <w:t>​</w:t>
            </w:r>
          </w:p>
        </w:tc>
        <w:tc>
          <w:tcPr>
            <w:tcW w:w="15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831,966</w:t>
            </w:r>
          </w:p>
        </w:tc>
        <w:tc>
          <w:tcPr>
            <w:tcW w:w="109"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w:t>
            </w:r>
          </w:p>
        </w:tc>
        <w:tc>
          <w:tcPr>
            <w:tcW w:w="9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26.89</w:t>
            </w:r>
          </w:p>
        </w:tc>
        <w:tc>
          <w:tcPr>
            <w:tcW w:w="109" w:type="dxa"/>
            <w:tcBorders/>
            <w:vAlign w:val="center"/>
          </w:tcPr>
          <w:p>
            <w:pPr>
              <w:pStyle w:val="TableContents"/>
              <w:bidi w:val="0"/>
              <w:spacing w:before="0" w:after="0"/>
              <w:ind w:left="0" w:right="0" w:hanging="0"/>
              <w:jc w:val="left"/>
              <w:rPr/>
            </w:pPr>
            <w:r>
              <w:rPr/>
              <w:t>​</w:t>
            </w:r>
          </w:p>
        </w:tc>
        <w:tc>
          <w:tcPr>
            <w:tcW w:w="27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831,966</w:t>
            </w:r>
          </w:p>
        </w:tc>
        <w:tc>
          <w:tcPr>
            <w:tcW w:w="109"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26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8,138,530</w:t>
            </w:r>
          </w:p>
        </w:tc>
      </w:tr>
      <w:tr>
        <w:trPr/>
        <w:tc>
          <w:tcPr>
            <w:tcW w:w="12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1 - July 31, 2024</w:t>
            </w:r>
          </w:p>
        </w:tc>
        <w:tc>
          <w:tcPr>
            <w:tcW w:w="109" w:type="dxa"/>
            <w:tcBorders/>
            <w:shd w:fill="CCEEFF" w:val="clear"/>
            <w:vAlign w:val="center"/>
          </w:tcPr>
          <w:p>
            <w:pPr>
              <w:pStyle w:val="TableContents"/>
              <w:bidi w:val="0"/>
              <w:spacing w:before="0" w:after="0"/>
              <w:ind w:left="0" w:right="0" w:hanging="0"/>
              <w:jc w:val="left"/>
              <w:rPr/>
            </w:pPr>
            <w:r>
              <w:rPr/>
              <w:t>​</w:t>
            </w:r>
          </w:p>
        </w:tc>
        <w:tc>
          <w:tcPr>
            <w:tcW w:w="15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348,362</w:t>
            </w:r>
          </w:p>
        </w:tc>
        <w:tc>
          <w:tcPr>
            <w:tcW w:w="109" w:type="dxa"/>
            <w:tcBorders/>
            <w:shd w:fill="CCEEFF" w:val="clear"/>
            <w:vAlign w:val="center"/>
          </w:tcPr>
          <w:p>
            <w:pPr>
              <w:pStyle w:val="TableContents"/>
              <w:bidi w:val="0"/>
              <w:spacing w:before="0" w:after="0"/>
              <w:ind w:left="0" w:right="0" w:hanging="0"/>
              <w:jc w:val="left"/>
              <w:rPr/>
            </w:pPr>
            <w:r>
              <w:rPr/>
              <w:t>​</w:t>
            </w:r>
          </w:p>
        </w:tc>
        <w:tc>
          <w:tcPr>
            <w:tcW w:w="3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26.57</w:t>
            </w:r>
          </w:p>
        </w:tc>
        <w:tc>
          <w:tcPr>
            <w:tcW w:w="109" w:type="dxa"/>
            <w:tcBorders/>
            <w:shd w:fill="CCEEFF" w:val="clear"/>
            <w:vAlign w:val="center"/>
          </w:tcPr>
          <w:p>
            <w:pPr>
              <w:pStyle w:val="TableContents"/>
              <w:bidi w:val="0"/>
              <w:spacing w:before="0" w:after="0"/>
              <w:ind w:left="0" w:right="0" w:hanging="0"/>
              <w:jc w:val="left"/>
              <w:rPr/>
            </w:pPr>
            <w:r>
              <w:rPr/>
              <w:t>​</w:t>
            </w:r>
          </w:p>
        </w:tc>
        <w:tc>
          <w:tcPr>
            <w:tcW w:w="27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348,362</w:t>
            </w:r>
          </w:p>
        </w:tc>
        <w:tc>
          <w:tcPr>
            <w:tcW w:w="109"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w:t>
            </w:r>
          </w:p>
        </w:tc>
        <w:tc>
          <w:tcPr>
            <w:tcW w:w="26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7,790,168</w:t>
            </w:r>
          </w:p>
        </w:tc>
      </w:tr>
      <w:tr>
        <w:trPr/>
        <w:tc>
          <w:tcPr>
            <w:tcW w:w="126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6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1,180,328</w:t>
            </w:r>
          </w:p>
        </w:tc>
        <w:tc>
          <w:tcPr>
            <w:tcW w:w="109" w:type="dxa"/>
            <w:tcBorders/>
            <w:vAlign w:val="center"/>
          </w:tcPr>
          <w:p>
            <w:pPr>
              <w:pStyle w:val="TableContents"/>
              <w:bidi w:val="0"/>
              <w:spacing w:before="0" w:after="0"/>
              <w:ind w:left="0" w:right="0" w:hanging="0"/>
              <w:jc w:val="left"/>
              <w:rPr/>
            </w:pPr>
            <w:r>
              <w:rPr/>
              <w:t>​</w:t>
            </w:r>
          </w:p>
        </w:tc>
        <w:tc>
          <w:tcPr>
            <w:tcW w:w="36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26.79</w:t>
            </w:r>
          </w:p>
        </w:tc>
        <w:tc>
          <w:tcPr>
            <w:tcW w:w="109" w:type="dxa"/>
            <w:tcBorders/>
            <w:vAlign w:val="center"/>
          </w:tcPr>
          <w:p>
            <w:pPr>
              <w:pStyle w:val="TableContents"/>
              <w:bidi w:val="0"/>
              <w:spacing w:before="0" w:after="0"/>
              <w:ind w:left="0" w:right="0" w:hanging="0"/>
              <w:jc w:val="left"/>
              <w:rPr/>
            </w:pPr>
            <w:r>
              <w:rPr/>
              <w:t>​</w:t>
            </w:r>
          </w:p>
        </w:tc>
        <w:tc>
          <w:tcPr>
            <w:tcW w:w="270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1,180,328</w:t>
            </w:r>
          </w:p>
        </w:tc>
        <w:tc>
          <w:tcPr>
            <w:tcW w:w="109"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262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7,790,168</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99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 August 2023, our Board of Directors reapproved our previously authorized share repurchase program and increased the number of shares remaining under that program to 10,000,000 shares. This program has no expiration date. Repurchases under the program may be made from time to time through open market purchases, accelerated share repurchase programs, privately negotiated transactions or other methods, as we deem appropriate.</w:t>
            </w:r>
          </w:p>
        </w:tc>
      </w:tr>
    </w:tbl>
    <w:p>
      <w:pPr>
        <w:pStyle w:val="TextBody"/>
        <w:bidi w:val="0"/>
        <w:spacing w:before="0" w:after="0"/>
        <w:ind w:left="36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316" w:name="Item5OtherInformation_516384"/>
      <w:bookmarkStart w:id="1317" w:name="_d4ffc578_7d0d_48b0_a4df_60e2dd363f31"/>
      <w:bookmarkEnd w:id="1316"/>
      <w:bookmarkEnd w:id="1317"/>
      <w:r>
        <w:rPr>
          <w:rFonts w:ascii="Times New Roman;Times;serif" w:hAnsi="Times New Roman;Times;serif"/>
          <w:b/>
          <w:sz w:val="20"/>
        </w:rPr>
        <w:t>Item 5.        Other Information</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During the three months ended July 31, 2024, no director or officer of the Company adopted or terminated a “Rule 10b5-1 trading arrangement” or “non-Rule 10b5-1 trading arrangement,” as each term is defined in Item 408(a) of Regulation S-K.</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318" w:name="Exhibits"/>
      <w:bookmarkStart w:id="1319" w:name="_83bcd02f_11dd_40a7_89a7_f2736bbb840c"/>
      <w:bookmarkStart w:id="1320" w:name="_Hlk152160346"/>
      <w:bookmarkEnd w:id="1318"/>
      <w:bookmarkEnd w:id="1319"/>
      <w:bookmarkEnd w:id="1320"/>
      <w:r>
        <w:rPr>
          <w:rFonts w:ascii="Times New Roman;Times;serif" w:hAnsi="Times New Roman;Times;serif"/>
          <w:b/>
          <w:sz w:val="20"/>
        </w:rPr>
        <w:t xml:space="preserve">Item 6.        Exhibits. </w:t>
      </w:r>
    </w:p>
    <w:tbl>
      <w:tblPr>
        <w:tblW w:w="10205" w:type="dxa"/>
        <w:jc w:val="left"/>
        <w:tblInd w:w="0" w:type="dxa"/>
        <w:tblLayout w:type="fixed"/>
        <w:tblCellMar>
          <w:top w:w="0" w:type="dxa"/>
          <w:left w:w="0" w:type="dxa"/>
          <w:bottom w:w="0" w:type="dxa"/>
          <w:right w:w="0" w:type="dxa"/>
        </w:tblCellMar>
      </w:tblPr>
      <w:tblGrid>
        <w:gridCol w:w="642"/>
        <w:gridCol w:w="9563"/>
      </w:tblGrid>
      <w:tr>
        <w:trPr/>
        <w:tc>
          <w:tcPr>
            <w:tcW w:w="642" w:type="dxa"/>
            <w:tcBorders/>
            <w:vAlign w:val="center"/>
          </w:tcPr>
          <w:p>
            <w:pPr>
              <w:pStyle w:val="TableContents"/>
              <w:bidi w:val="0"/>
              <w:spacing w:before="0" w:after="283"/>
              <w:ind w:left="0" w:right="0" w:hanging="0"/>
              <w:jc w:val="left"/>
              <w:rPr>
                <w:sz w:val="4"/>
                <w:szCs w:val="4"/>
              </w:rPr>
            </w:pPr>
            <w:r>
              <w:rPr>
                <w:sz w:val="4"/>
                <w:szCs w:val="4"/>
              </w:rPr>
            </w:r>
          </w:p>
        </w:tc>
        <w:tc>
          <w:tcPr>
            <w:tcW w:w="9563" w:type="dxa"/>
            <w:tcBorders/>
            <w:vAlign w:val="center"/>
          </w:tcPr>
          <w:p>
            <w:pPr>
              <w:pStyle w:val="TableContents"/>
              <w:bidi w:val="0"/>
              <w:spacing w:before="0" w:after="283"/>
              <w:ind w:left="0" w:right="0" w:hanging="0"/>
              <w:jc w:val="left"/>
              <w:rPr>
                <w:sz w:val="4"/>
                <w:szCs w:val="4"/>
              </w:rPr>
            </w:pPr>
            <w:r>
              <w:rPr>
                <w:sz w:val="4"/>
                <w:szCs w:val="4"/>
              </w:rPr>
            </w:r>
          </w:p>
        </w:tc>
      </w:tr>
      <w:tr>
        <w:trPr/>
        <w:tc>
          <w:tcPr>
            <w:tcW w:w="64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956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Certificate of Incorporation (incorporated by reference to Exhibit 3.1 to the Company’s Registration Statement on Form S-1, dated November 3, 1989).</w:t>
            </w:r>
          </w:p>
        </w:tc>
      </w:tr>
      <w:tr>
        <w:trPr/>
        <w:tc>
          <w:tcPr>
            <w:tcW w:w="64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3.1(a)</w:t>
            </w:r>
          </w:p>
        </w:tc>
        <w:tc>
          <w:tcPr>
            <w:tcW w:w="9563" w:type="dxa"/>
            <w:tcBorders/>
            <w:vAlign w:val="center"/>
          </w:tcPr>
          <w:p>
            <w:pPr>
              <w:pStyle w:val="TableContents"/>
              <w:bidi w:val="0"/>
              <w:spacing w:before="0" w:after="0"/>
              <w:ind w:left="0" w:right="0" w:hanging="0"/>
              <w:jc w:val="both"/>
              <w:rPr/>
            </w:pPr>
            <w:hyperlink r:id="rId2">
              <w:r>
                <w:rPr>
                  <w:rStyle w:val="InternetLink"/>
                  <w:rFonts w:ascii="Times New Roman;Times;serif" w:hAnsi="Times New Roman;Times;serif"/>
                  <w:b w:val="false"/>
                  <w:i w:val="false"/>
                  <w:caps w:val="false"/>
                  <w:smallCaps w:val="false"/>
                  <w:sz w:val="20"/>
                </w:rPr>
                <w:t>Certificate of Amendment of Certificate of Incorporation, dated June 8, 2006 (incorporated by reference to Exhibit 3.1 to the Company’s Form 10-Q, dated September 13, 2006).</w:t>
              </w:r>
            </w:hyperlink>
          </w:p>
        </w:tc>
      </w:tr>
      <w:tr>
        <w:trPr/>
        <w:tc>
          <w:tcPr>
            <w:tcW w:w="64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3.1(b)</w:t>
            </w:r>
          </w:p>
        </w:tc>
        <w:tc>
          <w:tcPr>
            <w:tcW w:w="9563" w:type="dxa"/>
            <w:tcBorders/>
            <w:vAlign w:val="center"/>
          </w:tcPr>
          <w:p>
            <w:pPr>
              <w:pStyle w:val="TableContents"/>
              <w:bidi w:val="0"/>
              <w:spacing w:before="0" w:after="0"/>
              <w:ind w:left="0" w:right="0" w:hanging="0"/>
              <w:jc w:val="both"/>
              <w:rPr/>
            </w:pPr>
            <w:hyperlink r:id="rId3">
              <w:r>
                <w:rPr>
                  <w:rStyle w:val="InternetLink"/>
                  <w:rFonts w:ascii="Times New Roman;Times;serif" w:hAnsi="Times New Roman;Times;serif"/>
                  <w:b w:val="false"/>
                  <w:i w:val="false"/>
                  <w:caps w:val="false"/>
                  <w:smallCaps w:val="false"/>
                  <w:sz w:val="20"/>
                </w:rPr>
                <w:t>Certificate of Amendment of Certificate of Incorporation, dated June 7, 2011 (incorporated by reference to Exhibit 3.1 to the Company’s Form 8-K, dated June 9, 2011).</w:t>
              </w:r>
            </w:hyperlink>
          </w:p>
        </w:tc>
      </w:tr>
      <w:tr>
        <w:trPr/>
        <w:tc>
          <w:tcPr>
            <w:tcW w:w="64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3.1(c)</w:t>
            </w:r>
          </w:p>
        </w:tc>
        <w:tc>
          <w:tcPr>
            <w:tcW w:w="9563" w:type="dxa"/>
            <w:tcBorders/>
            <w:vAlign w:val="center"/>
          </w:tcPr>
          <w:p>
            <w:pPr>
              <w:pStyle w:val="TableContents"/>
              <w:bidi w:val="0"/>
              <w:spacing w:before="0" w:after="0"/>
              <w:ind w:left="0" w:right="0" w:hanging="0"/>
              <w:jc w:val="both"/>
              <w:rPr/>
            </w:pPr>
            <w:hyperlink r:id="rId4">
              <w:r>
                <w:rPr>
                  <w:rStyle w:val="InternetLink"/>
                  <w:rFonts w:ascii="Times New Roman;Times;serif" w:hAnsi="Times New Roman;Times;serif"/>
                  <w:b w:val="false"/>
                  <w:i w:val="false"/>
                  <w:caps w:val="false"/>
                  <w:smallCaps w:val="false"/>
                  <w:sz w:val="20"/>
                </w:rPr>
                <w:t>Certificate of Amendment of Certificate of Incorporation, dated June 30, 2015 (incorporated by reference to Exhibit 3.1 to the Company’s Form 8-K, dated July 1, 2015).</w:t>
              </w:r>
            </w:hyperlink>
          </w:p>
        </w:tc>
      </w:tr>
      <w:tr>
        <w:trPr/>
        <w:tc>
          <w:tcPr>
            <w:tcW w:w="64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9563" w:type="dxa"/>
            <w:tcBorders/>
            <w:vAlign w:val="center"/>
          </w:tcPr>
          <w:p>
            <w:pPr>
              <w:pStyle w:val="TableContents"/>
              <w:bidi w:val="0"/>
              <w:spacing w:before="0" w:after="0"/>
              <w:ind w:left="0" w:right="0" w:hanging="0"/>
              <w:jc w:val="both"/>
              <w:rPr/>
            </w:pPr>
            <w:hyperlink r:id="rId5">
              <w:r>
                <w:rPr>
                  <w:rStyle w:val="InternetLink"/>
                  <w:rFonts w:ascii="Times New Roman;Times;serif" w:hAnsi="Times New Roman;Times;serif"/>
                  <w:b w:val="false"/>
                  <w:i w:val="false"/>
                  <w:caps w:val="false"/>
                  <w:smallCaps w:val="false"/>
                  <w:sz w:val="20"/>
                </w:rPr>
                <w:t>By-Laws, as amended, of G-III (incorporated by reference to Exhibit 3.1 to the Company’s Form 8-K, dated March 15, 2013).</w:t>
              </w:r>
            </w:hyperlink>
          </w:p>
        </w:tc>
      </w:tr>
      <w:tr>
        <w:trPr/>
        <w:tc>
          <w:tcPr>
            <w:tcW w:w="64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9563" w:type="dxa"/>
            <w:tcBorders/>
            <w:vAlign w:val="center"/>
          </w:tcPr>
          <w:p>
            <w:pPr>
              <w:pStyle w:val="TableContents"/>
              <w:bidi w:val="0"/>
              <w:spacing w:before="0" w:after="0"/>
              <w:ind w:left="0" w:right="0" w:hanging="0"/>
              <w:jc w:val="both"/>
              <w:rPr/>
            </w:pPr>
            <w:hyperlink r:id="rId6">
              <w:r>
                <w:rPr>
                  <w:rStyle w:val="InternetLink"/>
                  <w:rFonts w:ascii="Times New Roman;Times;serif" w:hAnsi="Times New Roman;Times;serif"/>
                  <w:b w:val="false"/>
                  <w:i w:val="false"/>
                  <w:caps w:val="false"/>
                  <w:smallCaps w:val="false"/>
                  <w:sz w:val="20"/>
                </w:rPr>
                <w:t>Third Amended and Restated ABL Credit Agreement, dated as of June 4, 2024, among G-III Leather Fashions, Inc., Riviera Sun, Inc., AM Retail Group, Inc. and The Donna Karan Company Store LLC, as Borrowers, the other Borrowers party thereto, the Loan Guarantors party thereto, the Lenders party thereto and JPMorgan Chase Bank, N.A., as the Administrative Agent.</w:t>
              </w:r>
            </w:hyperlink>
          </w:p>
        </w:tc>
      </w:tr>
      <w:tr>
        <w:trPr/>
        <w:tc>
          <w:tcPr>
            <w:tcW w:w="64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9563" w:type="dxa"/>
            <w:tcBorders/>
            <w:vAlign w:val="center"/>
          </w:tcPr>
          <w:p>
            <w:pPr>
              <w:pStyle w:val="TableContents"/>
              <w:bidi w:val="0"/>
              <w:spacing w:before="0" w:after="0"/>
              <w:ind w:left="0" w:right="0" w:hanging="0"/>
              <w:jc w:val="both"/>
              <w:rPr/>
            </w:pPr>
            <w:hyperlink w:anchor="giii-20240731xex31d1.htm">
              <w:r>
                <w:rPr>
                  <w:rStyle w:val="InternetLink"/>
                  <w:rFonts w:ascii="Times New Roman;Times;serif" w:hAnsi="Times New Roman;Times;serif"/>
                  <w:b w:val="false"/>
                  <w:i w:val="false"/>
                  <w:caps w:val="false"/>
                  <w:smallCaps w:val="false"/>
                  <w:sz w:val="20"/>
                </w:rPr>
                <w:t>Certification by Morris Goldfarb, Chief Executive Officer of G-III Apparel Group, Ltd., pursuant to Rule 13a-14(a) or Rule 15d-14(a) of the Securities Exchange Act of 1934, as amended, in connection with G-III Apparel Group, Ltd.’s Quarterly Report on Form 10-Q for the fiscal quarter ended July 31, 2024.</w:t>
              </w:r>
            </w:hyperlink>
          </w:p>
        </w:tc>
      </w:tr>
      <w:tr>
        <w:trPr/>
        <w:tc>
          <w:tcPr>
            <w:tcW w:w="64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9563" w:type="dxa"/>
            <w:tcBorders/>
            <w:vAlign w:val="center"/>
          </w:tcPr>
          <w:p>
            <w:pPr>
              <w:pStyle w:val="TableContents"/>
              <w:bidi w:val="0"/>
              <w:spacing w:before="0" w:after="0"/>
              <w:ind w:left="0" w:right="0" w:hanging="0"/>
              <w:jc w:val="both"/>
              <w:rPr/>
            </w:pPr>
            <w:hyperlink w:anchor="giii-20240731xex31d2.htm">
              <w:r>
                <w:rPr>
                  <w:rStyle w:val="InternetLink"/>
                  <w:rFonts w:ascii="Times New Roman;Times;serif" w:hAnsi="Times New Roman;Times;serif"/>
                  <w:b w:val="false"/>
                  <w:i w:val="false"/>
                  <w:caps w:val="false"/>
                  <w:smallCaps w:val="false"/>
                  <w:sz w:val="20"/>
                </w:rPr>
                <w:t>Certification by Neal S. Nackman, Chief Financial Officer of G-III Apparel Group, Ltd., pursuant to Rule 13a-14(a) or Rule 15d-14(a) of the Securities Exchange Act of 1934, as amended, in connection with G-III Apparel Group, Ltd.’s Quarterly Report on Form 10-Q for the fiscal quarter ended July 31, 2024.</w:t>
              </w:r>
            </w:hyperlink>
          </w:p>
        </w:tc>
      </w:tr>
      <w:tr>
        <w:trPr/>
        <w:tc>
          <w:tcPr>
            <w:tcW w:w="64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9563" w:type="dxa"/>
            <w:tcBorders/>
            <w:vAlign w:val="center"/>
          </w:tcPr>
          <w:p>
            <w:pPr>
              <w:pStyle w:val="TableContents"/>
              <w:bidi w:val="0"/>
              <w:spacing w:before="0" w:after="0"/>
              <w:ind w:left="0" w:right="0" w:hanging="0"/>
              <w:jc w:val="both"/>
              <w:rPr/>
            </w:pPr>
            <w:hyperlink w:anchor="giii-20240731xex32d1.htm">
              <w:r>
                <w:rPr>
                  <w:rStyle w:val="InternetLink"/>
                  <w:rFonts w:ascii="Times New Roman;Times;serif" w:hAnsi="Times New Roman;Times;serif"/>
                  <w:b w:val="false"/>
                  <w:i w:val="false"/>
                  <w:caps w:val="false"/>
                  <w:smallCaps w:val="false"/>
                  <w:sz w:val="20"/>
                </w:rPr>
                <w:t>Certification by Morris Goldfarb, Chief Executive Officer of G-III Apparel Group, Ltd., pursuant to 18 U.S.C. Section 1350, as adopted pursuant to Section 906 of the Sarbanes-Oxley Act of 2002, in connection with G-III Apparel Group, Ltd.’s Quarterly Report on Form 10-Q for the fiscal quarter ended July 31, 2024.</w:t>
              </w:r>
            </w:hyperlink>
          </w:p>
        </w:tc>
      </w:tr>
      <w:tr>
        <w:trPr/>
        <w:tc>
          <w:tcPr>
            <w:tcW w:w="64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9563" w:type="dxa"/>
            <w:tcBorders/>
            <w:vAlign w:val="center"/>
          </w:tcPr>
          <w:p>
            <w:pPr>
              <w:pStyle w:val="TableContents"/>
              <w:bidi w:val="0"/>
              <w:spacing w:before="0" w:after="0"/>
              <w:ind w:left="0" w:right="0" w:hanging="0"/>
              <w:jc w:val="both"/>
              <w:rPr/>
            </w:pPr>
            <w:hyperlink w:anchor="giii-20240731xex32d2.htm">
              <w:r>
                <w:rPr>
                  <w:rStyle w:val="InternetLink"/>
                  <w:rFonts w:ascii="Times New Roman;Times;serif" w:hAnsi="Times New Roman;Times;serif"/>
                  <w:b w:val="false"/>
                  <w:i w:val="false"/>
                  <w:caps w:val="false"/>
                  <w:smallCaps w:val="false"/>
                  <w:sz w:val="20"/>
                </w:rPr>
                <w:t>Certification by Neal S. Nackman, Chief Financial Officer of G-III Apparel Group, Ltd., pursuant to 18 U.S.C. Section 1350, as adopted pursuant to Section 906 of the Sarbanes-Oxley Act of 2002, in connection with G-III Apparel Group, Ltd.’s Quarterly Report on Form 10-Q for the fiscal quarter ended July 31, 2024.</w:t>
              </w:r>
            </w:hyperlink>
          </w:p>
        </w:tc>
      </w:tr>
      <w:tr>
        <w:trPr/>
        <w:tc>
          <w:tcPr>
            <w:tcW w:w="64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95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64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95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Schema Document.</w:t>
            </w:r>
          </w:p>
        </w:tc>
      </w:tr>
      <w:tr>
        <w:trPr/>
        <w:tc>
          <w:tcPr>
            <w:tcW w:w="64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95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Calculation Linkbase Document.</w:t>
            </w:r>
          </w:p>
        </w:tc>
      </w:tr>
      <w:tr>
        <w:trPr/>
        <w:tc>
          <w:tcPr>
            <w:tcW w:w="64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95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Extension Definition.</w:t>
            </w:r>
          </w:p>
        </w:tc>
      </w:tr>
      <w:tr>
        <w:trPr/>
        <w:tc>
          <w:tcPr>
            <w:tcW w:w="64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95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Label Linkbase Document.</w:t>
            </w:r>
          </w:p>
        </w:tc>
      </w:tr>
      <w:tr>
        <w:trPr/>
        <w:tc>
          <w:tcPr>
            <w:tcW w:w="64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95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Presentation Linkbase Document.</w:t>
            </w:r>
          </w:p>
        </w:tc>
      </w:tr>
      <w:tr>
        <w:trPr/>
        <w:tc>
          <w:tcPr>
            <w:tcW w:w="64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95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Filed herewith.</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This certification is deemed furnished, and not filed, for purposes of section 18 of the Securities Exchange Act of 1934, as amended, or otherwise subject to the liability of that section, nor shall it be deemed incorporated by reference into any filing under the Securities Act of 1933, as amended, or the Exchange Act.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1321" w:name="_592db811_fea3_4cc3_83e5_b81a428475fc"/>
      <w:bookmarkEnd w:id="1321"/>
      <w:r>
        <w:rPr>
          <w:rFonts w:ascii="Times New Roman;Times;serif" w:hAnsi="Times New Roman;Times;serif"/>
          <w:b/>
          <w:sz w:val="20"/>
        </w:rPr>
        <w:t>SIGNATURES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4741" w:type="dxa"/>
        <w:jc w:val="left"/>
        <w:tblInd w:w="0" w:type="dxa"/>
        <w:tblLayout w:type="fixed"/>
        <w:tblCellMar>
          <w:top w:w="0" w:type="dxa"/>
          <w:left w:w="0" w:type="dxa"/>
          <w:bottom w:w="0" w:type="dxa"/>
          <w:right w:w="0" w:type="dxa"/>
        </w:tblCellMar>
      </w:tblPr>
      <w:tblGrid>
        <w:gridCol w:w="2116"/>
        <w:gridCol w:w="430"/>
        <w:gridCol w:w="2195"/>
      </w:tblGrid>
      <w:tr>
        <w:trPr/>
        <w:tc>
          <w:tcPr>
            <w:tcW w:w="2116" w:type="dxa"/>
            <w:tcBorders/>
            <w:vAlign w:val="center"/>
          </w:tcPr>
          <w:p>
            <w:pPr>
              <w:pStyle w:val="TableContents"/>
              <w:bidi w:val="0"/>
              <w:spacing w:before="0" w:after="0"/>
              <w:ind w:left="0" w:right="0" w:hanging="0"/>
              <w:jc w:val="left"/>
              <w:rPr/>
            </w:pPr>
            <w:r>
              <w:rPr/>
              <w:t>​</w:t>
            </w:r>
          </w:p>
        </w:tc>
        <w:tc>
          <w:tcPr>
            <w:tcW w:w="262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G-III APPAREL GROUP, LTD.</w:t>
              <w:br/>
              <w:t>                  (Registrant)</w:t>
            </w:r>
          </w:p>
          <w:p>
            <w:pPr>
              <w:pStyle w:val="TableContents"/>
              <w:bidi w:val="0"/>
              <w:spacing w:before="0" w:after="0"/>
              <w:ind w:left="0" w:right="0" w:hanging="0"/>
              <w:jc w:val="left"/>
              <w:rPr/>
            </w:pPr>
            <w:r>
              <w:rPr/>
              <w:t>​</w:t>
            </w:r>
          </w:p>
        </w:tc>
      </w:tr>
      <w:tr>
        <w:trPr/>
        <w:tc>
          <w:tcPr>
            <w:tcW w:w="2116" w:type="dxa"/>
            <w:tcBorders/>
            <w:vAlign w:val="center"/>
          </w:tcPr>
          <w:p>
            <w:pPr>
              <w:pStyle w:val="TableContents"/>
              <w:bidi w:val="0"/>
              <w:spacing w:before="0" w:after="283"/>
              <w:ind w:left="0" w:right="0" w:hanging="0"/>
              <w:jc w:val="left"/>
              <w:rPr>
                <w:sz w:val="4"/>
                <w:szCs w:val="4"/>
              </w:rPr>
            </w:pPr>
            <w:r>
              <w:rPr>
                <w:sz w:val="4"/>
                <w:szCs w:val="4"/>
              </w:rPr>
            </w:r>
          </w:p>
        </w:tc>
        <w:tc>
          <w:tcPr>
            <w:tcW w:w="430" w:type="dxa"/>
            <w:tcBorders/>
            <w:vAlign w:val="center"/>
          </w:tcPr>
          <w:p>
            <w:pPr>
              <w:pStyle w:val="TableContents"/>
              <w:bidi w:val="0"/>
              <w:spacing w:before="0" w:after="283"/>
              <w:ind w:left="0" w:right="0" w:hanging="0"/>
              <w:jc w:val="left"/>
              <w:rPr>
                <w:sz w:val="4"/>
                <w:szCs w:val="4"/>
              </w:rPr>
            </w:pPr>
            <w:r>
              <w:rPr>
                <w:sz w:val="4"/>
                <w:szCs w:val="4"/>
              </w:rPr>
            </w:r>
          </w:p>
        </w:tc>
        <w:tc>
          <w:tcPr>
            <w:tcW w:w="2195" w:type="dxa"/>
            <w:tcBorders/>
            <w:vAlign w:val="center"/>
          </w:tcPr>
          <w:p>
            <w:pPr>
              <w:pStyle w:val="TableContents"/>
              <w:bidi w:val="0"/>
              <w:spacing w:before="0" w:after="283"/>
              <w:ind w:left="0" w:right="0" w:hanging="0"/>
              <w:jc w:val="left"/>
              <w:rPr>
                <w:sz w:val="4"/>
                <w:szCs w:val="4"/>
              </w:rPr>
            </w:pPr>
            <w:r>
              <w:rPr>
                <w:sz w:val="4"/>
                <w:szCs w:val="4"/>
              </w:rPr>
            </w:r>
          </w:p>
        </w:tc>
      </w:tr>
      <w:tr>
        <w:trPr/>
        <w:tc>
          <w:tcPr>
            <w:tcW w:w="2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September 6, 2024</w:t>
            </w:r>
          </w:p>
        </w:tc>
        <w:tc>
          <w:tcPr>
            <w:tcW w:w="4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19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Morris Goldfarb</w:t>
            </w:r>
          </w:p>
        </w:tc>
      </w:tr>
      <w:tr>
        <w:trPr/>
        <w:tc>
          <w:tcPr>
            <w:tcW w:w="2116" w:type="dxa"/>
            <w:tcBorders/>
            <w:vAlign w:val="center"/>
          </w:tcPr>
          <w:p>
            <w:pPr>
              <w:pStyle w:val="TableContents"/>
              <w:bidi w:val="0"/>
              <w:spacing w:before="0" w:after="283"/>
              <w:ind w:left="0" w:right="0" w:hanging="0"/>
              <w:jc w:val="left"/>
              <w:rPr>
                <w:sz w:val="4"/>
                <w:szCs w:val="4"/>
              </w:rPr>
            </w:pPr>
            <w:r>
              <w:rPr>
                <w:sz w:val="4"/>
                <w:szCs w:val="4"/>
              </w:rPr>
            </w:r>
          </w:p>
        </w:tc>
        <w:tc>
          <w:tcPr>
            <w:tcW w:w="430" w:type="dxa"/>
            <w:tcBorders/>
            <w:vAlign w:val="center"/>
          </w:tcPr>
          <w:p>
            <w:pPr>
              <w:pStyle w:val="TableContents"/>
              <w:bidi w:val="0"/>
              <w:spacing w:before="0" w:after="283"/>
              <w:ind w:left="0" w:right="0" w:hanging="0"/>
              <w:jc w:val="left"/>
              <w:rPr>
                <w:sz w:val="4"/>
                <w:szCs w:val="4"/>
              </w:rPr>
            </w:pPr>
            <w:r>
              <w:rPr>
                <w:sz w:val="4"/>
                <w:szCs w:val="4"/>
              </w:rPr>
            </w:r>
          </w:p>
        </w:tc>
        <w:tc>
          <w:tcPr>
            <w:tcW w:w="2195"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Morris Goldfarb</w:t>
            </w:r>
          </w:p>
        </w:tc>
      </w:tr>
      <w:tr>
        <w:trPr/>
        <w:tc>
          <w:tcPr>
            <w:tcW w:w="2116" w:type="dxa"/>
            <w:tcBorders/>
            <w:vAlign w:val="center"/>
          </w:tcPr>
          <w:p>
            <w:pPr>
              <w:pStyle w:val="TableContents"/>
              <w:bidi w:val="0"/>
              <w:spacing w:before="0" w:after="283"/>
              <w:ind w:left="0" w:right="0" w:hanging="0"/>
              <w:jc w:val="left"/>
              <w:rPr>
                <w:sz w:val="4"/>
                <w:szCs w:val="4"/>
              </w:rPr>
            </w:pPr>
            <w:r>
              <w:rPr>
                <w:sz w:val="4"/>
                <w:szCs w:val="4"/>
              </w:rPr>
            </w:r>
          </w:p>
        </w:tc>
        <w:tc>
          <w:tcPr>
            <w:tcW w:w="430" w:type="dxa"/>
            <w:tcBorders/>
            <w:vAlign w:val="center"/>
          </w:tcPr>
          <w:p>
            <w:pPr>
              <w:pStyle w:val="TableContents"/>
              <w:bidi w:val="0"/>
              <w:spacing w:before="0" w:after="283"/>
              <w:ind w:left="0" w:right="0" w:hanging="0"/>
              <w:jc w:val="left"/>
              <w:rPr>
                <w:sz w:val="4"/>
                <w:szCs w:val="4"/>
              </w:rPr>
            </w:pPr>
            <w:r>
              <w:rPr>
                <w:sz w:val="4"/>
                <w:szCs w:val="4"/>
              </w:rPr>
            </w:r>
          </w:p>
        </w:tc>
        <w:tc>
          <w:tcPr>
            <w:tcW w:w="21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r>
      <w:tr>
        <w:trPr/>
        <w:tc>
          <w:tcPr>
            <w:tcW w:w="2116" w:type="dxa"/>
            <w:tcBorders/>
            <w:vAlign w:val="center"/>
          </w:tcPr>
          <w:p>
            <w:pPr>
              <w:pStyle w:val="TableContents"/>
              <w:bidi w:val="0"/>
              <w:spacing w:before="0" w:after="283"/>
              <w:ind w:left="0" w:right="0" w:hanging="0"/>
              <w:jc w:val="left"/>
              <w:rPr>
                <w:sz w:val="4"/>
                <w:szCs w:val="4"/>
              </w:rPr>
            </w:pPr>
            <w:r>
              <w:rPr>
                <w:sz w:val="4"/>
                <w:szCs w:val="4"/>
              </w:rPr>
            </w:r>
          </w:p>
        </w:tc>
        <w:tc>
          <w:tcPr>
            <w:tcW w:w="430" w:type="dxa"/>
            <w:tcBorders/>
            <w:vAlign w:val="center"/>
          </w:tcPr>
          <w:p>
            <w:pPr>
              <w:pStyle w:val="TableContents"/>
              <w:bidi w:val="0"/>
              <w:spacing w:before="0" w:after="283"/>
              <w:ind w:left="0" w:right="0" w:hanging="0"/>
              <w:jc w:val="left"/>
              <w:rPr>
                <w:sz w:val="4"/>
                <w:szCs w:val="4"/>
              </w:rPr>
            </w:pPr>
            <w:r>
              <w:rPr>
                <w:sz w:val="4"/>
                <w:szCs w:val="4"/>
              </w:rPr>
            </w:r>
          </w:p>
        </w:tc>
        <w:tc>
          <w:tcPr>
            <w:tcW w:w="2195" w:type="dxa"/>
            <w:tcBorders/>
            <w:vAlign w:val="center"/>
          </w:tcPr>
          <w:p>
            <w:pPr>
              <w:pStyle w:val="TableContents"/>
              <w:bidi w:val="0"/>
              <w:spacing w:before="0" w:after="283"/>
              <w:ind w:left="0" w:right="0" w:hanging="0"/>
              <w:jc w:val="left"/>
              <w:rPr>
                <w:sz w:val="4"/>
                <w:szCs w:val="4"/>
              </w:rPr>
            </w:pPr>
            <w:r>
              <w:rPr>
                <w:sz w:val="4"/>
                <w:szCs w:val="4"/>
              </w:rPr>
            </w:r>
          </w:p>
        </w:tc>
      </w:tr>
      <w:tr>
        <w:trPr/>
        <w:tc>
          <w:tcPr>
            <w:tcW w:w="2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September 6, 2024</w:t>
            </w:r>
          </w:p>
        </w:tc>
        <w:tc>
          <w:tcPr>
            <w:tcW w:w="4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19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Neal S. Nackman</w:t>
            </w:r>
          </w:p>
        </w:tc>
      </w:tr>
      <w:tr>
        <w:trPr/>
        <w:tc>
          <w:tcPr>
            <w:tcW w:w="2116" w:type="dxa"/>
            <w:tcBorders/>
            <w:vAlign w:val="center"/>
          </w:tcPr>
          <w:p>
            <w:pPr>
              <w:pStyle w:val="TableContents"/>
              <w:bidi w:val="0"/>
              <w:spacing w:before="0" w:after="283"/>
              <w:ind w:left="0" w:right="0" w:hanging="0"/>
              <w:jc w:val="left"/>
              <w:rPr>
                <w:sz w:val="4"/>
                <w:szCs w:val="4"/>
              </w:rPr>
            </w:pPr>
            <w:r>
              <w:rPr>
                <w:sz w:val="4"/>
                <w:szCs w:val="4"/>
              </w:rPr>
            </w:r>
          </w:p>
        </w:tc>
        <w:tc>
          <w:tcPr>
            <w:tcW w:w="430" w:type="dxa"/>
            <w:tcBorders/>
            <w:vAlign w:val="center"/>
          </w:tcPr>
          <w:p>
            <w:pPr>
              <w:pStyle w:val="TableContents"/>
              <w:bidi w:val="0"/>
              <w:spacing w:before="0" w:after="283"/>
              <w:ind w:left="0" w:right="0" w:hanging="0"/>
              <w:jc w:val="left"/>
              <w:rPr>
                <w:sz w:val="4"/>
                <w:szCs w:val="4"/>
              </w:rPr>
            </w:pPr>
            <w:r>
              <w:rPr>
                <w:sz w:val="4"/>
                <w:szCs w:val="4"/>
              </w:rPr>
            </w:r>
          </w:p>
        </w:tc>
        <w:tc>
          <w:tcPr>
            <w:tcW w:w="2195"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Neal S. Nackman</w:t>
            </w:r>
          </w:p>
        </w:tc>
      </w:tr>
      <w:tr>
        <w:trPr/>
        <w:tc>
          <w:tcPr>
            <w:tcW w:w="2116" w:type="dxa"/>
            <w:tcBorders/>
            <w:vAlign w:val="center"/>
          </w:tcPr>
          <w:p>
            <w:pPr>
              <w:pStyle w:val="TableContents"/>
              <w:bidi w:val="0"/>
              <w:spacing w:before="0" w:after="283"/>
              <w:ind w:left="0" w:right="0" w:hanging="0"/>
              <w:jc w:val="left"/>
              <w:rPr>
                <w:sz w:val="4"/>
                <w:szCs w:val="4"/>
              </w:rPr>
            </w:pPr>
            <w:r>
              <w:rPr>
                <w:sz w:val="4"/>
                <w:szCs w:val="4"/>
              </w:rPr>
            </w:r>
          </w:p>
        </w:tc>
        <w:tc>
          <w:tcPr>
            <w:tcW w:w="430" w:type="dxa"/>
            <w:tcBorders/>
            <w:vAlign w:val="center"/>
          </w:tcPr>
          <w:p>
            <w:pPr>
              <w:pStyle w:val="TableContents"/>
              <w:bidi w:val="0"/>
              <w:spacing w:before="0" w:after="283"/>
              <w:ind w:left="0" w:right="0" w:hanging="0"/>
              <w:jc w:val="left"/>
              <w:rPr>
                <w:sz w:val="4"/>
                <w:szCs w:val="4"/>
              </w:rPr>
            </w:pPr>
            <w:r>
              <w:rPr>
                <w:sz w:val="4"/>
                <w:szCs w:val="4"/>
              </w:rPr>
            </w:r>
          </w:p>
        </w:tc>
        <w:tc>
          <w:tcPr>
            <w:tcW w:w="21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lineRule="atLeast" w:line="220" w:before="0" w:after="200"/>
        <w:ind w:left="0" w:right="0" w:hanging="0"/>
        <w:jc w:val="right"/>
        <w:rPr>
          <w:rFonts w:ascii="Times New Roman;Times;serif" w:hAnsi="Times New Roman;Times;serif"/>
          <w:b/>
          <w:sz w:val="20"/>
        </w:rPr>
      </w:pPr>
      <w:bookmarkStart w:id="1322" w:name="_Hlk167288405"/>
      <w:bookmarkStart w:id="1323" w:name="giii-20240731xex31d1.htm"/>
      <w:bookmarkStart w:id="1324" w:name="ksgiii20240731xex31d1"/>
      <w:bookmarkEnd w:id="1322"/>
      <w:bookmarkEnd w:id="1323"/>
      <w:bookmarkEnd w:id="1324"/>
      <w:r>
        <w:rPr>
          <w:rFonts w:ascii="Times New Roman;Times;serif" w:hAnsi="Times New Roman;Times;serif"/>
          <w:b/>
          <w:sz w:val="20"/>
        </w:rPr>
        <w:t>Exhibit 31.1</w:t>
      </w:r>
      <w:r>
        <w:br w:type="page"/>
      </w:r>
    </w:p>
    <w:p>
      <w:pPr>
        <w:pStyle w:val="TextBody"/>
        <w:bidi w:val="0"/>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w:t>
      </w:r>
    </w:p>
    <w:p>
      <w:pPr>
        <w:pStyle w:val="TextBody"/>
        <w:bidi w:val="0"/>
        <w:spacing w:lineRule="atLeast" w:line="220" w:before="0" w:after="200"/>
        <w:ind w:left="0" w:right="0" w:hanging="0"/>
        <w:jc w:val="center"/>
        <w:rPr>
          <w:rFonts w:ascii="Times New Roman;Times;serif" w:hAnsi="Times New Roman;Times;serif"/>
          <w:sz w:val="20"/>
        </w:rPr>
      </w:pPr>
      <w:r>
        <w:rPr>
          <w:rFonts w:ascii="Times New Roman;Times;serif" w:hAnsi="Times New Roman;Times;serif"/>
          <w:sz w:val="20"/>
        </w:rPr>
        <w:t>RULE 13a - 14(a) OR RULE 15d - 14(a) OF THE SECURITIES EXCHANGE ACT OF 1934, AS AMENDED</w:t>
      </w:r>
    </w:p>
    <w:p>
      <w:pPr>
        <w:pStyle w:val="TextBody"/>
        <w:bidi w:val="0"/>
        <w:spacing w:lineRule="atLeast" w:line="220" w:before="0" w:after="200"/>
        <w:ind w:left="0" w:right="0" w:hanging="0"/>
        <w:jc w:val="both"/>
        <w:rPr>
          <w:rFonts w:ascii="Times New Roman;Times;serif" w:hAnsi="Times New Roman;Times;serif"/>
          <w:sz w:val="20"/>
        </w:rPr>
      </w:pPr>
      <w:r>
        <w:rPr>
          <w:rFonts w:ascii="Times New Roman;Times;serif" w:hAnsi="Times New Roman;Times;serif"/>
          <w:sz w:val="20"/>
        </w:rPr>
        <w:t>I, Morris Goldfarb, certify that:</w:t>
      </w:r>
    </w:p>
    <w:tbl>
      <w:tblPr>
        <w:tblW w:w="6603" w:type="dxa"/>
        <w:jc w:val="left"/>
        <w:tblInd w:w="0" w:type="dxa"/>
        <w:tblLayout w:type="fixed"/>
        <w:tblCellMar>
          <w:top w:w="0" w:type="dxa"/>
          <w:left w:w="0" w:type="dxa"/>
          <w:bottom w:w="0" w:type="dxa"/>
          <w:right w:w="0" w:type="dxa"/>
        </w:tblCellMar>
      </w:tblPr>
      <w:tblGrid>
        <w:gridCol w:w="23"/>
        <w:gridCol w:w="170"/>
        <w:gridCol w:w="64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G-III Apparel Group, Ltd.</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lineRule="atLeast" w:line="220" w:before="0" w:after="200"/>
        <w:ind w:left="0" w:right="0" w:hanging="0"/>
        <w:jc w:val="left"/>
        <w:rPr>
          <w:rFonts w:ascii="Times New Roman;Times;serif" w:hAnsi="Times New Roman;Times;serif"/>
          <w:sz w:val="20"/>
        </w:rPr>
      </w:pPr>
      <w:r>
        <w:rPr>
          <w:rFonts w:ascii="Times New Roman;Times;serif" w:hAnsi="Times New Roman;Times;serif"/>
          <w:sz w:val="20"/>
        </w:rPr>
        <w:t>Date: September 6, 2024</w:t>
      </w:r>
    </w:p>
    <w:tbl>
      <w:tblPr>
        <w:tblW w:w="2232" w:type="dxa"/>
        <w:jc w:val="center"/>
        <w:tblInd w:w="0" w:type="dxa"/>
        <w:tblLayout w:type="fixed"/>
        <w:tblCellMar>
          <w:top w:w="0" w:type="dxa"/>
          <w:left w:w="0" w:type="dxa"/>
          <w:bottom w:w="0" w:type="dxa"/>
          <w:right w:w="0" w:type="dxa"/>
        </w:tblCellMar>
      </w:tblPr>
      <w:tblGrid>
        <w:gridCol w:w="161"/>
        <w:gridCol w:w="2071"/>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2071"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207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Morris Goldfarb</w:t>
            </w:r>
          </w:p>
        </w:tc>
      </w:tr>
      <w:tr>
        <w:trPr/>
        <w:tc>
          <w:tcPr>
            <w:tcW w:w="161"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Morris Goldfarb</w:t>
            </w:r>
          </w:p>
        </w:tc>
      </w:tr>
      <w:tr>
        <w:trPr/>
        <w:tc>
          <w:tcPr>
            <w:tcW w:w="161"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61"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tLeast" w:line="220" w:before="0" w:after="200"/>
        <w:ind w:left="0" w:right="0" w:hanging="0"/>
        <w:jc w:val="right"/>
        <w:rPr>
          <w:rFonts w:ascii="Times New Roman;Times;serif" w:hAnsi="Times New Roman;Times;serif"/>
          <w:b/>
          <w:sz w:val="20"/>
        </w:rPr>
      </w:pPr>
      <w:bookmarkStart w:id="1325" w:name="_Hlk143762188"/>
      <w:bookmarkStart w:id="1326" w:name="giii-20240731xex31d2.htm"/>
      <w:bookmarkStart w:id="1327" w:name="ksgiii20240731xex31d2"/>
      <w:bookmarkEnd w:id="1325"/>
      <w:bookmarkEnd w:id="1326"/>
      <w:bookmarkEnd w:id="1327"/>
      <w:r>
        <w:rPr>
          <w:rFonts w:ascii="Times New Roman;Times;serif" w:hAnsi="Times New Roman;Times;serif"/>
          <w:b/>
          <w:sz w:val="20"/>
        </w:rPr>
        <w:t>Exhibit 31.2</w:t>
      </w:r>
      <w:r>
        <w:br w:type="page"/>
      </w:r>
    </w:p>
    <w:p>
      <w:pPr>
        <w:pStyle w:val="TextBody"/>
        <w:bidi w:val="0"/>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w:t>
      </w:r>
    </w:p>
    <w:p>
      <w:pPr>
        <w:pStyle w:val="TextBody"/>
        <w:bidi w:val="0"/>
        <w:spacing w:lineRule="atLeast" w:line="220" w:before="0" w:after="200"/>
        <w:ind w:left="0" w:right="0" w:hanging="0"/>
        <w:jc w:val="center"/>
        <w:rPr>
          <w:rFonts w:ascii="Times New Roman;Times;serif" w:hAnsi="Times New Roman;Times;serif"/>
          <w:sz w:val="20"/>
        </w:rPr>
      </w:pPr>
      <w:r>
        <w:rPr>
          <w:rFonts w:ascii="Times New Roman;Times;serif" w:hAnsi="Times New Roman;Times;serif"/>
          <w:sz w:val="20"/>
        </w:rPr>
        <w:t>RULE 13a - 14(a) OR RULE 15d - 14(a) OF THE SECURITIES EXCHANGE ACT OF 1934, AS AMENDED</w:t>
      </w:r>
    </w:p>
    <w:p>
      <w:pPr>
        <w:pStyle w:val="TextBody"/>
        <w:bidi w:val="0"/>
        <w:spacing w:lineRule="atLeast" w:line="220" w:before="0" w:after="200"/>
        <w:ind w:left="0" w:right="0" w:hanging="0"/>
        <w:jc w:val="left"/>
        <w:rPr>
          <w:rFonts w:ascii="Times New Roman;Times;serif" w:hAnsi="Times New Roman;Times;serif"/>
          <w:sz w:val="20"/>
        </w:rPr>
      </w:pPr>
      <w:r>
        <w:rPr>
          <w:rFonts w:ascii="Times New Roman;Times;serif" w:hAnsi="Times New Roman;Times;serif"/>
          <w:sz w:val="20"/>
        </w:rPr>
        <w:t>I, Neal S. Nackman, certify that:</w:t>
      </w:r>
    </w:p>
    <w:tbl>
      <w:tblPr>
        <w:tblW w:w="6603" w:type="dxa"/>
        <w:jc w:val="left"/>
        <w:tblInd w:w="0" w:type="dxa"/>
        <w:tblLayout w:type="fixed"/>
        <w:tblCellMar>
          <w:top w:w="0" w:type="dxa"/>
          <w:left w:w="0" w:type="dxa"/>
          <w:bottom w:w="0" w:type="dxa"/>
          <w:right w:w="0" w:type="dxa"/>
        </w:tblCellMar>
      </w:tblPr>
      <w:tblGrid>
        <w:gridCol w:w="23"/>
        <w:gridCol w:w="170"/>
        <w:gridCol w:w="64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G-III Apparel Group, Ltd.</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lineRule="atLeast" w:line="220" w:before="0" w:after="200"/>
        <w:ind w:left="0" w:right="0" w:hanging="0"/>
        <w:jc w:val="left"/>
        <w:rPr>
          <w:rFonts w:ascii="Times New Roman;Times;serif" w:hAnsi="Times New Roman;Times;serif"/>
          <w:sz w:val="20"/>
        </w:rPr>
      </w:pPr>
      <w:r>
        <w:rPr>
          <w:rFonts w:ascii="Times New Roman;Times;serif" w:hAnsi="Times New Roman;Times;serif"/>
          <w:sz w:val="20"/>
        </w:rPr>
        <w:t>Date: September 6, 2024</w:t>
      </w:r>
    </w:p>
    <w:tbl>
      <w:tblPr>
        <w:tblW w:w="2172" w:type="dxa"/>
        <w:jc w:val="center"/>
        <w:tblInd w:w="0" w:type="dxa"/>
        <w:tblLayout w:type="fixed"/>
        <w:tblCellMar>
          <w:top w:w="0" w:type="dxa"/>
          <w:left w:w="0" w:type="dxa"/>
          <w:bottom w:w="0" w:type="dxa"/>
          <w:right w:w="0" w:type="dxa"/>
        </w:tblCellMar>
      </w:tblPr>
      <w:tblGrid>
        <w:gridCol w:w="161"/>
        <w:gridCol w:w="2011"/>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2011"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201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Neal S. Nackman</w:t>
            </w:r>
          </w:p>
        </w:tc>
      </w:tr>
      <w:tr>
        <w:trPr/>
        <w:tc>
          <w:tcPr>
            <w:tcW w:w="161"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Neal S. Nackman</w:t>
            </w:r>
          </w:p>
        </w:tc>
      </w:tr>
      <w:tr>
        <w:trPr/>
        <w:tc>
          <w:tcPr>
            <w:tcW w:w="161"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tLeast" w:line="220" w:before="0" w:after="200"/>
        <w:ind w:left="0" w:right="0" w:hanging="0"/>
        <w:jc w:val="right"/>
        <w:rPr>
          <w:rFonts w:ascii="Times New Roman;Times;serif" w:hAnsi="Times New Roman;Times;serif"/>
          <w:b/>
          <w:sz w:val="20"/>
        </w:rPr>
      </w:pPr>
      <w:bookmarkStart w:id="1328" w:name="_Hlk143762242"/>
      <w:bookmarkStart w:id="1329" w:name="giii-20240731xex32d1.htm"/>
      <w:bookmarkStart w:id="1330" w:name="ksgiii20240731xex32d1"/>
      <w:bookmarkEnd w:id="1328"/>
      <w:bookmarkEnd w:id="1329"/>
      <w:bookmarkEnd w:id="1330"/>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 U.S.C. SECTION 1350,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 ADOPTED PURSUANT TO</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SECTION 906 OF THE SARBANES-OXLEY ACT OF 2002</w:t>
      </w:r>
    </w:p>
    <w:p>
      <w:pPr>
        <w:pStyle w:val="TextBody"/>
        <w:bidi w:val="0"/>
        <w:spacing w:before="0" w:after="240"/>
        <w:ind w:left="0" w:right="0" w:firstLine="461"/>
        <w:jc w:val="both"/>
        <w:rPr>
          <w:rFonts w:ascii="Times New Roman;Times;serif" w:hAnsi="Times New Roman;Times;serif"/>
          <w:sz w:val="20"/>
        </w:rPr>
      </w:pPr>
      <w:r>
        <w:rPr>
          <w:rFonts w:ascii="Times New Roman;Times;serif" w:hAnsi="Times New Roman;Times;serif"/>
          <w:sz w:val="20"/>
        </w:rPr>
        <w:t>In connection with the Quarterly Report of G-III Apparel Group, Ltd. (the “Company”) on Form 10-Q for the quarterly period ended July 31, 2024, as filed with the Securities and Exchange Commission (the “Report”), I, Morris Goldfarb, Chief Executive Officer of the Company, hereby certify that, to my knowledge, (a) the Report fully complies with the requirements of Section 13(a) or 15(d) of the Securities Exchange Act of 1934 and (b) the information contained in the Report fairly presents, in all material respects, the financial condition and results of operations of the Company.</w:t>
      </w:r>
    </w:p>
    <w:tbl>
      <w:tblPr>
        <w:tblW w:w="2232" w:type="dxa"/>
        <w:jc w:val="center"/>
        <w:tblInd w:w="0" w:type="dxa"/>
        <w:tblLayout w:type="fixed"/>
        <w:tblCellMar>
          <w:top w:w="0" w:type="dxa"/>
          <w:left w:w="0" w:type="dxa"/>
          <w:bottom w:w="0" w:type="dxa"/>
          <w:right w:w="0" w:type="dxa"/>
        </w:tblCellMar>
      </w:tblPr>
      <w:tblGrid>
        <w:gridCol w:w="161"/>
        <w:gridCol w:w="2071"/>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2071"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207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Morris Goldfarb</w:t>
            </w:r>
          </w:p>
        </w:tc>
      </w:tr>
      <w:tr>
        <w:trPr/>
        <w:tc>
          <w:tcPr>
            <w:tcW w:w="161"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Morris Goldfarb</w:t>
            </w:r>
          </w:p>
        </w:tc>
      </w:tr>
      <w:tr>
        <w:trPr/>
        <w:tc>
          <w:tcPr>
            <w:tcW w:w="161"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Date: September 6, 2024</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signed original of this written statement required by Section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p>
      <w:pPr>
        <w:pStyle w:val="TextBody"/>
        <w:bidi w:val="0"/>
        <w:spacing w:lineRule="atLeast" w:line="220" w:before="0" w:after="200"/>
        <w:ind w:left="0" w:right="0" w:hanging="0"/>
        <w:jc w:val="right"/>
        <w:rPr>
          <w:rFonts w:ascii="Times New Roman;Times;serif" w:hAnsi="Times New Roman;Times;serif"/>
          <w:b/>
          <w:sz w:val="20"/>
        </w:rPr>
      </w:pPr>
      <w:bookmarkStart w:id="1331" w:name="_Hlk167288594"/>
      <w:bookmarkStart w:id="1332" w:name="_Hlk143762286"/>
      <w:bookmarkStart w:id="1333" w:name="giii-20240731xex32d2.htm"/>
      <w:bookmarkStart w:id="1334" w:name="ksgiii20240731xex32d2"/>
      <w:bookmarkEnd w:id="1331"/>
      <w:bookmarkEnd w:id="1332"/>
      <w:bookmarkEnd w:id="1333"/>
      <w:bookmarkEnd w:id="1334"/>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 U.S.C. SECTION 1350,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 ADOPTED PURSUANT TO</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SECTION 906 OF THE SARBANES-OXLEY ACT OF 2002</w:t>
      </w:r>
    </w:p>
    <w:p>
      <w:pPr>
        <w:pStyle w:val="TextBody"/>
        <w:bidi w:val="0"/>
        <w:spacing w:before="0" w:after="240"/>
        <w:ind w:left="0" w:right="0" w:firstLine="461"/>
        <w:jc w:val="both"/>
        <w:rPr>
          <w:rFonts w:ascii="Times New Roman;Times;serif" w:hAnsi="Times New Roman;Times;serif"/>
          <w:sz w:val="20"/>
        </w:rPr>
      </w:pPr>
      <w:r>
        <w:rPr>
          <w:rFonts w:ascii="Times New Roman;Times;serif" w:hAnsi="Times New Roman;Times;serif"/>
          <w:sz w:val="20"/>
        </w:rPr>
        <w:t>In connection with the Quarterly Report of G-III Apparel Group, Ltd. (the “Company”) on Form 10-Q for the quarterly period ended July 31, 2024, as filed with the Securities and Exchange Commission (the “Report”), I, Neal S. Nackman, Chief Financial Officer of the Company, hereby certify that, to my knowledge, (a) the Report fully complies with the requirements of Section 13(a) or 15(d) of the Securities Exchange Act of 1934 and (b) the information contained in the Report fairly presents, in all material respects, the financial condition and results of operations of the Company.</w:t>
      </w:r>
    </w:p>
    <w:tbl>
      <w:tblPr>
        <w:tblW w:w="2172" w:type="dxa"/>
        <w:jc w:val="center"/>
        <w:tblInd w:w="0" w:type="dxa"/>
        <w:tblLayout w:type="fixed"/>
        <w:tblCellMar>
          <w:top w:w="0" w:type="dxa"/>
          <w:left w:w="0" w:type="dxa"/>
          <w:bottom w:w="0" w:type="dxa"/>
          <w:right w:w="0" w:type="dxa"/>
        </w:tblCellMar>
      </w:tblPr>
      <w:tblGrid>
        <w:gridCol w:w="161"/>
        <w:gridCol w:w="2011"/>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2011"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201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Neal S. Nackman</w:t>
            </w:r>
          </w:p>
        </w:tc>
      </w:tr>
      <w:tr>
        <w:trPr/>
        <w:tc>
          <w:tcPr>
            <w:tcW w:w="161"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Neal S. Nackman</w:t>
            </w:r>
          </w:p>
        </w:tc>
      </w:tr>
      <w:tr>
        <w:trPr/>
        <w:tc>
          <w:tcPr>
            <w:tcW w:w="161"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 September 6, 2024</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 signed original of this written statement required by Section 906 has been provided to the Company and will be retained by the Company and furnished to the Securities and Exchange Commission or its staff upon request.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21002/000095013606007680/file2.htm" TargetMode="External"/><Relationship Id="rId3" Type="http://schemas.openxmlformats.org/officeDocument/2006/relationships/hyperlink" Target="https://www.sec.gov/Archives/edgar/data/821002/000095012311057737/y04932exv3w1.htm" TargetMode="External"/><Relationship Id="rId4" Type="http://schemas.openxmlformats.org/officeDocument/2006/relationships/hyperlink" Target="https://www.sec.gov/Archives/edgar/data/821002/000157104915005420/t1501536_ex3-1.htm" TargetMode="External"/><Relationship Id="rId5" Type="http://schemas.openxmlformats.org/officeDocument/2006/relationships/hyperlink" Target="https://www.sec.gov/Archives/edgar/data/821002/000119312513107874/d503217dex31.htm" TargetMode="External"/><Relationship Id="rId6" Type="http://schemas.openxmlformats.org/officeDocument/2006/relationships/hyperlink" Target="https://www.sec.gov/ix?doc=/Archives/edgar/data/0000821002/000155837024008935/giii-20240604x8k.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19741</Words>
  <Characters>107158</Characters>
  <CharactersWithSpaces>128041</CharactersWithSpaces>
  <Paragraphs>4644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