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GOLDFARB MORRIS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G-III APPAREL GROUP,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1"/>
        <w:gridCol w:w="925"/>
        <w:gridCol w:w="794"/>
        <w:gridCol w:w="614"/>
        <w:gridCol w:w="344"/>
        <w:gridCol w:w="968"/>
        <w:gridCol w:w="428"/>
        <w:gridCol w:w="596"/>
        <w:gridCol w:w="1263"/>
        <w:gridCol w:w="977"/>
        <w:gridCol w:w="124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4,064,856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Arlene Goldfarb 2012 Delaware Trust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166,750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Goldfarb Family Partners, LLC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Morris Goldfarb 2012 Delaware Trust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29,666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0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140,258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Morris And Arlene Goldfarb Family Foundation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("RSUs") each representing a contingent right to receive one share of common stock of G-III Apparel Group, Ltd ("G-III"). The RSUs will cliff vest on April 15, 2029 only if the Reporting Person remains employed by or continues to provide services to G-III.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Morris Goldfarb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7772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3649</Characters>
  <CharactersWithSpaces>4254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