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66122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126365</wp:posOffset>
            </wp:positionV>
            <wp:extent cx="6612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7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8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spacing w:after="0" w:line="242" w:lineRule="exact"/>
        <w:rPr>
          <w:sz w:val="24"/>
          <w:szCs w:val="24"/>
          <w:color w:val="auto"/>
        </w:rPr>
      </w:pPr>
      <w:r>
        <w:rPr>
          <w:rFonts w:ascii="Arial Unicode MS" w:cs="Arial Unicode MS" w:eastAsia="Arial Unicode MS" w:hAnsi="Arial Unicode MS"/>
          <w:sz w:val="18"/>
          <w:szCs w:val="18"/>
          <w:color w:val="auto"/>
        </w:rPr>
        <w:t>☒</w:t>
      </w:r>
      <w:r>
        <w:rPr>
          <w:rFonts w:ascii="Arial" w:cs="Arial" w:eastAsia="Arial" w:hAnsi="Arial"/>
          <w:sz w:val="18"/>
          <w:szCs w:val="18"/>
          <w:b w:val="1"/>
          <w:bCs w:val="1"/>
          <w:color w:val="auto"/>
        </w:rPr>
        <w:t xml:space="preserve"> QUARTERLY REPORT PURSUANT TO SECTION 13 OR 15(d) OF THE SECURITIES EXCHANGE ACT OF 1934</w:t>
      </w:r>
    </w:p>
    <w:p>
      <w:pPr>
        <w:spacing w:after="0" w:line="83" w:lineRule="exact"/>
        <w:rPr>
          <w:sz w:val="24"/>
          <w:szCs w:val="24"/>
          <w:color w:val="auto"/>
        </w:rPr>
      </w:pPr>
    </w:p>
    <w:p>
      <w:pPr>
        <w:ind w:left="3440"/>
        <w:spacing w:after="0"/>
        <w:rPr>
          <w:sz w:val="24"/>
          <w:szCs w:val="24"/>
          <w:color w:val="auto"/>
        </w:rPr>
      </w:pPr>
      <w:r>
        <w:rPr>
          <w:rFonts w:ascii="Arial" w:cs="Arial" w:eastAsia="Arial" w:hAnsi="Arial"/>
          <w:sz w:val="18"/>
          <w:szCs w:val="18"/>
          <w:b w:val="1"/>
          <w:bCs w:val="1"/>
          <w:color w:val="auto"/>
        </w:rPr>
        <w:t>For the quarterly period ended April 30, 2019</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88" w:lineRule="exact"/>
        <w:rPr>
          <w:sz w:val="24"/>
          <w:szCs w:val="24"/>
          <w:color w:val="auto"/>
        </w:rPr>
      </w:pPr>
    </w:p>
    <w:p>
      <w:pPr>
        <w:spacing w:after="0"/>
        <w:rPr>
          <w:sz w:val="24"/>
          <w:szCs w:val="24"/>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73" w:lineRule="exact"/>
        <w:rPr>
          <w:sz w:val="24"/>
          <w:szCs w:val="24"/>
          <w:color w:val="auto"/>
        </w:rPr>
      </w:pPr>
    </w:p>
    <w:p>
      <w:pPr>
        <w:ind w:left="3580"/>
        <w:spacing w:after="0"/>
        <w:tabs>
          <w:tab w:leader="none" w:pos="63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3775075</wp:posOffset>
            </wp:positionH>
            <wp:positionV relativeFrom="paragraph">
              <wp:posOffset>-7620</wp:posOffset>
            </wp:positionV>
            <wp:extent cx="2286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8600" cy="8890"/>
                    </a:xfrm>
                    <a:prstGeom prst="rect">
                      <a:avLst/>
                    </a:prstGeom>
                    <a:noFill/>
                  </pic:spPr>
                </pic:pic>
              </a:graphicData>
            </a:graphic>
          </wp:anchor>
        </w:drawing>
        <w:drawing>
          <wp:anchor simplePos="0" relativeHeight="251657728" behindDoc="1" locked="0" layoutInCell="0" allowOverlap="1">
            <wp:simplePos x="0" y="0"/>
            <wp:positionH relativeFrom="column">
              <wp:posOffset>4156075</wp:posOffset>
            </wp:positionH>
            <wp:positionV relativeFrom="paragraph">
              <wp:posOffset>-7620</wp:posOffset>
            </wp:positionV>
            <wp:extent cx="1714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0-18183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85725</wp:posOffset>
            </wp:positionV>
            <wp:extent cx="165544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55445" cy="17145"/>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G-III APPAREL GROUP, LTD.</w:t>
      </w:r>
    </w:p>
    <w:p>
      <w:pPr>
        <w:spacing w:after="0" w:line="3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73025</wp:posOffset>
            </wp:positionV>
            <wp:extent cx="16554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307" w:lineRule="exact"/>
        <w:rPr>
          <w:sz w:val="24"/>
          <w:szCs w:val="24"/>
          <w:color w:val="auto"/>
        </w:rPr>
      </w:pPr>
    </w:p>
    <w:tbl>
      <w:tblPr>
        <w:tblLayout w:type="fixed"/>
        <w:tblInd w:w="980" w:type="dxa"/>
        <w:tblCellMar>
          <w:top w:w="0" w:type="dxa"/>
          <w:left w:w="0" w:type="dxa"/>
          <w:bottom w:w="0" w:type="dxa"/>
          <w:right w:w="0" w:type="dxa"/>
        </w:tblCellMar>
      </w:tblPr>
      <w:tr>
        <w:trPr>
          <w:trHeight w:val="216"/>
        </w:trPr>
        <w:tc>
          <w:tcPr>
            <w:tcW w:w="4740" w:type="dxa"/>
            <w:vAlign w:val="bottom"/>
          </w:tcPr>
          <w:p>
            <w:pPr>
              <w:jc w:val="center"/>
              <w:ind w:right="1410"/>
              <w:spacing w:after="0"/>
              <w:rPr>
                <w:sz w:val="20"/>
                <w:szCs w:val="20"/>
                <w:color w:val="auto"/>
              </w:rPr>
            </w:pPr>
            <w:r>
              <w:rPr>
                <w:rFonts w:ascii="Arial" w:cs="Arial" w:eastAsia="Arial" w:hAnsi="Arial"/>
                <w:sz w:val="18"/>
                <w:szCs w:val="18"/>
                <w:b w:val="1"/>
                <w:bCs w:val="1"/>
                <w:color w:val="auto"/>
                <w:w w:val="91"/>
              </w:rPr>
              <w:t>Delaware</w:t>
            </w:r>
          </w:p>
        </w:tc>
        <w:tc>
          <w:tcPr>
            <w:tcW w:w="2880" w:type="dxa"/>
            <w:vAlign w:val="bottom"/>
          </w:tcPr>
          <w:p>
            <w:pPr>
              <w:jc w:val="right"/>
              <w:ind w:right="170"/>
              <w:spacing w:after="0"/>
              <w:rPr>
                <w:sz w:val="20"/>
                <w:szCs w:val="20"/>
                <w:color w:val="auto"/>
              </w:rPr>
            </w:pPr>
            <w:r>
              <w:rPr>
                <w:rFonts w:ascii="Arial" w:cs="Arial" w:eastAsia="Arial" w:hAnsi="Arial"/>
                <w:sz w:val="18"/>
                <w:szCs w:val="18"/>
                <w:b w:val="1"/>
                <w:bCs w:val="1"/>
                <w:color w:val="auto"/>
              </w:rPr>
              <w:t>41-1590959</w:t>
            </w:r>
          </w:p>
        </w:tc>
      </w:tr>
      <w:tr>
        <w:trPr>
          <w:trHeight w:val="216"/>
        </w:trPr>
        <w:tc>
          <w:tcPr>
            <w:tcW w:w="4740" w:type="dxa"/>
            <w:vAlign w:val="bottom"/>
          </w:tcPr>
          <w:p>
            <w:pPr>
              <w:jc w:val="center"/>
              <w:ind w:right="1410"/>
              <w:spacing w:after="0"/>
              <w:rPr>
                <w:sz w:val="20"/>
                <w:szCs w:val="20"/>
                <w:color w:val="auto"/>
              </w:rPr>
            </w:pPr>
            <w:r>
              <w:rPr>
                <w:rFonts w:ascii="Arial" w:cs="Arial" w:eastAsia="Arial" w:hAnsi="Arial"/>
                <w:sz w:val="18"/>
                <w:szCs w:val="18"/>
                <w:b w:val="1"/>
                <w:bCs w:val="1"/>
                <w:color w:val="auto"/>
                <w:w w:val="90"/>
              </w:rPr>
              <w:t>(State or other jurisdiction of</w:t>
            </w:r>
          </w:p>
        </w:tc>
        <w:tc>
          <w:tcPr>
            <w:tcW w:w="2880" w:type="dxa"/>
            <w:vAlign w:val="bottom"/>
          </w:tcPr>
          <w:p>
            <w:pPr>
              <w:jc w:val="center"/>
              <w:ind w:left="141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4740" w:type="dxa"/>
            <w:vAlign w:val="bottom"/>
          </w:tcPr>
          <w:p>
            <w:pPr>
              <w:jc w:val="center"/>
              <w:ind w:right="1410"/>
              <w:spacing w:after="0"/>
              <w:rPr>
                <w:sz w:val="20"/>
                <w:szCs w:val="20"/>
                <w:color w:val="auto"/>
              </w:rPr>
            </w:pPr>
            <w:r>
              <w:rPr>
                <w:rFonts w:ascii="Arial" w:cs="Arial" w:eastAsia="Arial" w:hAnsi="Arial"/>
                <w:sz w:val="18"/>
                <w:szCs w:val="18"/>
                <w:b w:val="1"/>
                <w:bCs w:val="1"/>
                <w:color w:val="auto"/>
                <w:w w:val="91"/>
              </w:rPr>
              <w:t>incorporation or organization)</w:t>
            </w:r>
          </w:p>
        </w:tc>
        <w:tc>
          <w:tcPr>
            <w:tcW w:w="2880" w:type="dxa"/>
            <w:vAlign w:val="bottom"/>
          </w:tcPr>
          <w:p>
            <w:pPr>
              <w:jc w:val="center"/>
              <w:ind w:left="1390"/>
              <w:spacing w:after="0"/>
              <w:rPr>
                <w:sz w:val="20"/>
                <w:szCs w:val="20"/>
                <w:color w:val="auto"/>
              </w:rPr>
            </w:pPr>
            <w:r>
              <w:rPr>
                <w:rFonts w:ascii="Arial" w:cs="Arial" w:eastAsia="Arial" w:hAnsi="Arial"/>
                <w:sz w:val="18"/>
                <w:szCs w:val="18"/>
                <w:b w:val="1"/>
                <w:bCs w:val="1"/>
                <w:color w:val="auto"/>
                <w:w w:val="92"/>
              </w:rPr>
              <w:t>Identification No.)</w:t>
            </w:r>
          </w:p>
        </w:tc>
      </w:tr>
      <w:tr>
        <w:trPr>
          <w:trHeight w:val="306"/>
        </w:trPr>
        <w:tc>
          <w:tcPr>
            <w:tcW w:w="4740" w:type="dxa"/>
            <w:vAlign w:val="bottom"/>
          </w:tcPr>
          <w:p>
            <w:pPr>
              <w:jc w:val="center"/>
              <w:ind w:right="1410"/>
              <w:spacing w:after="0"/>
              <w:rPr>
                <w:sz w:val="20"/>
                <w:szCs w:val="20"/>
                <w:color w:val="auto"/>
              </w:rPr>
            </w:pPr>
            <w:r>
              <w:rPr>
                <w:rFonts w:ascii="Arial" w:cs="Arial" w:eastAsia="Arial" w:hAnsi="Arial"/>
                <w:sz w:val="18"/>
                <w:szCs w:val="18"/>
                <w:b w:val="1"/>
                <w:bCs w:val="1"/>
                <w:color w:val="auto"/>
                <w:w w:val="90"/>
              </w:rPr>
              <w:t>512 Seventh Avenue, New York, New York</w:t>
            </w:r>
          </w:p>
        </w:tc>
        <w:tc>
          <w:tcPr>
            <w:tcW w:w="2880" w:type="dxa"/>
            <w:vAlign w:val="bottom"/>
          </w:tcPr>
          <w:p>
            <w:pPr>
              <w:jc w:val="right"/>
              <w:ind w:right="390"/>
              <w:spacing w:after="0"/>
              <w:rPr>
                <w:sz w:val="20"/>
                <w:szCs w:val="20"/>
                <w:color w:val="auto"/>
              </w:rPr>
            </w:pPr>
            <w:r>
              <w:rPr>
                <w:rFonts w:ascii="Arial" w:cs="Arial" w:eastAsia="Arial" w:hAnsi="Arial"/>
                <w:sz w:val="18"/>
                <w:szCs w:val="18"/>
                <w:b w:val="1"/>
                <w:bCs w:val="1"/>
                <w:color w:val="auto"/>
              </w:rPr>
              <w:t>10018</w:t>
            </w:r>
          </w:p>
        </w:tc>
      </w:tr>
      <w:tr>
        <w:trPr>
          <w:trHeight w:val="234"/>
        </w:trPr>
        <w:tc>
          <w:tcPr>
            <w:tcW w:w="4740" w:type="dxa"/>
            <w:vAlign w:val="bottom"/>
          </w:tcPr>
          <w:p>
            <w:pPr>
              <w:jc w:val="center"/>
              <w:ind w:right="141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2880" w:type="dxa"/>
            <w:vAlign w:val="bottom"/>
          </w:tcPr>
          <w:p>
            <w:pPr>
              <w:jc w:val="center"/>
              <w:ind w:left="1390"/>
              <w:spacing w:after="0"/>
              <w:rPr>
                <w:sz w:val="20"/>
                <w:szCs w:val="20"/>
                <w:color w:val="auto"/>
              </w:rPr>
            </w:pPr>
            <w:r>
              <w:rPr>
                <w:rFonts w:ascii="Arial" w:cs="Arial" w:eastAsia="Arial" w:hAnsi="Arial"/>
                <w:sz w:val="18"/>
                <w:szCs w:val="18"/>
                <w:b w:val="1"/>
                <w:bCs w:val="1"/>
                <w:color w:val="auto"/>
                <w:w w:val="94"/>
              </w:rPr>
              <w:t>(Zip Code)</w:t>
            </w:r>
          </w:p>
        </w:tc>
      </w:tr>
    </w:tbl>
    <w:p>
      <w:pPr>
        <w:spacing w:after="0" w:line="1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403-0500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85725</wp:posOffset>
            </wp:positionV>
            <wp:extent cx="16554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 w:lineRule="exact"/>
        <w:rPr>
          <w:sz w:val="24"/>
          <w:szCs w:val="24"/>
          <w:color w:val="auto"/>
        </w:rPr>
      </w:pPr>
    </w:p>
    <w:tbl>
      <w:tblPr>
        <w:tblLayout w:type="fixed"/>
        <w:tblInd w:w="10" w:type="dxa"/>
        <w:tblCellMar>
          <w:top w:w="0" w:type="dxa"/>
          <w:left w:w="0" w:type="dxa"/>
          <w:bottom w:w="0" w:type="dxa"/>
          <w:right w:w="0" w:type="dxa"/>
        </w:tblCellMar>
      </w:tblPr>
      <w:tr>
        <w:trPr>
          <w:trHeight w:val="210"/>
        </w:trPr>
        <w:tc>
          <w:tcPr>
            <w:tcW w:w="35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Title of each class</w:t>
            </w:r>
          </w:p>
        </w:tc>
        <w:tc>
          <w:tcPr>
            <w:tcW w:w="34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Trading Symbol(s)</w:t>
            </w:r>
          </w:p>
        </w:tc>
        <w:tc>
          <w:tcPr>
            <w:tcW w:w="34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196"/>
        </w:trPr>
        <w:tc>
          <w:tcPr>
            <w:tcW w:w="35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Common Stock, $0.01 par value per share</w:t>
            </w: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GIII</w:t>
            </w:r>
          </w:p>
        </w:tc>
        <w:tc>
          <w:tcPr>
            <w:tcW w:w="3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The Nasdaq Stock Market</w:t>
            </w:r>
          </w:p>
        </w:tc>
      </w:tr>
    </w:tbl>
    <w:p>
      <w:pPr>
        <w:spacing w:after="0" w:line="67" w:lineRule="exact"/>
        <w:rPr>
          <w:sz w:val="24"/>
          <w:szCs w:val="24"/>
          <w:color w:val="auto"/>
        </w:rPr>
      </w:pPr>
    </w:p>
    <w:p>
      <w:pPr>
        <w:jc w:val="both"/>
        <w:spacing w:after="0" w:line="228"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w:t>
      </w:r>
    </w:p>
    <w:p>
      <w:pPr>
        <w:spacing w:after="0" w:line="74" w:lineRule="exact"/>
        <w:rPr>
          <w:sz w:val="24"/>
          <w:szCs w:val="24"/>
          <w:color w:val="auto"/>
        </w:rPr>
      </w:pPr>
    </w:p>
    <w:p>
      <w:pPr>
        <w:jc w:val="both"/>
        <w:ind w:right="20"/>
        <w:spacing w:after="0" w:line="228"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w:t>
      </w:r>
    </w:p>
    <w:p>
      <w:pPr>
        <w:spacing w:after="0" w:line="74"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9"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21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480" w:type="dxa"/>
            <w:vAlign w:val="bottom"/>
          </w:tcPr>
          <w:p>
            <w:pPr>
              <w:ind w:left="20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4860" w:type="dxa"/>
            <w:vAlign w:val="bottom"/>
          </w:tcPr>
          <w:p>
            <w:pPr>
              <w:ind w:left="2140"/>
              <w:spacing w:after="0"/>
              <w:rPr>
                <w:sz w:val="20"/>
                <w:szCs w:val="20"/>
                <w:color w:val="auto"/>
              </w:rPr>
            </w:pPr>
            <w:r>
              <w:rPr>
                <w:rFonts w:ascii="Arial" w:cs="Arial" w:eastAsia="Arial" w:hAnsi="Arial"/>
                <w:sz w:val="18"/>
                <w:szCs w:val="18"/>
                <w:color w:val="auto"/>
              </w:rPr>
              <w:t>Accelerated filer</w:t>
            </w:r>
          </w:p>
        </w:tc>
        <w:tc>
          <w:tcPr>
            <w:tcW w:w="900" w:type="dxa"/>
            <w:vAlign w:val="bottom"/>
          </w:tcPr>
          <w:p>
            <w:pPr>
              <w:spacing w:after="0"/>
              <w:rPr>
                <w:sz w:val="20"/>
                <w:szCs w:val="20"/>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Non-accelerated filer</w:t>
            </w:r>
          </w:p>
        </w:tc>
        <w:tc>
          <w:tcPr>
            <w:tcW w:w="2480" w:type="dxa"/>
            <w:vAlign w:val="bottom"/>
          </w:tcPr>
          <w:p>
            <w:pPr>
              <w:spacing w:after="0"/>
              <w:rPr>
                <w:sz w:val="18"/>
                <w:szCs w:val="18"/>
                <w:color w:val="auto"/>
              </w:rPr>
            </w:pPr>
          </w:p>
        </w:tc>
        <w:tc>
          <w:tcPr>
            <w:tcW w:w="4860" w:type="dxa"/>
            <w:vAlign w:val="bottom"/>
          </w:tcPr>
          <w:p>
            <w:pPr>
              <w:ind w:left="2140"/>
              <w:spacing w:after="0"/>
              <w:rPr>
                <w:sz w:val="20"/>
                <w:szCs w:val="20"/>
                <w:color w:val="auto"/>
              </w:rPr>
            </w:pPr>
            <w:r>
              <w:rPr>
                <w:rFonts w:ascii="Arial" w:cs="Arial" w:eastAsia="Arial" w:hAnsi="Arial"/>
                <w:sz w:val="18"/>
                <w:szCs w:val="18"/>
                <w:color w:val="auto"/>
              </w:rPr>
              <w:t>Smaller reporting company</w:t>
            </w:r>
          </w:p>
        </w:tc>
        <w:tc>
          <w:tcPr>
            <w:tcW w:w="900" w:type="dxa"/>
            <w:vAlign w:val="bottom"/>
          </w:tcPr>
          <w:p>
            <w:pPr>
              <w:spacing w:after="0"/>
              <w:rPr>
                <w:sz w:val="18"/>
                <w:szCs w:val="18"/>
                <w:color w:val="auto"/>
              </w:rPr>
            </w:pPr>
          </w:p>
        </w:tc>
      </w:tr>
      <w:tr>
        <w:trPr>
          <w:trHeight w:val="283"/>
        </w:trPr>
        <w:tc>
          <w:tcPr>
            <w:tcW w:w="2160" w:type="dxa"/>
            <w:vAlign w:val="bottom"/>
          </w:tcPr>
          <w:p>
            <w:pPr>
              <w:spacing w:after="0"/>
              <w:rPr>
                <w:sz w:val="20"/>
                <w:szCs w:val="20"/>
                <w:color w:val="auto"/>
              </w:rPr>
            </w:pPr>
            <w:r>
              <w:rPr>
                <w:rFonts w:ascii="Arial" w:cs="Arial" w:eastAsia="Arial" w:hAnsi="Arial"/>
                <w:sz w:val="18"/>
                <w:szCs w:val="18"/>
                <w:color w:val="auto"/>
                <w:w w:val="99"/>
              </w:rPr>
              <w:t>Emerging growth company</w:t>
            </w:r>
          </w:p>
        </w:tc>
        <w:tc>
          <w:tcPr>
            <w:tcW w:w="248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pacing w:after="0" w:line="74"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30" w:lineRule="exact"/>
        <w:rPr>
          <w:sz w:val="24"/>
          <w:szCs w:val="24"/>
          <w:color w:val="auto"/>
        </w:rPr>
      </w:pPr>
    </w:p>
    <w:p>
      <w:pPr>
        <w:ind w:right="1080"/>
        <w:spacing w:after="0" w:line="293"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No </w:t>
      </w:r>
      <w:r>
        <w:rPr>
          <w:rFonts w:ascii="Arial Unicode MS" w:cs="Arial Unicode MS" w:eastAsia="Arial Unicode MS" w:hAnsi="Arial Unicode MS"/>
          <w:sz w:val="17"/>
          <w:szCs w:val="17"/>
          <w:color w:val="auto"/>
        </w:rPr>
        <w:t>☒</w:t>
      </w:r>
      <w:r>
        <w:rPr>
          <w:rFonts w:ascii="Arial" w:cs="Arial" w:eastAsia="Arial" w:hAnsi="Arial"/>
          <w:sz w:val="17"/>
          <w:szCs w:val="17"/>
          <w:color w:val="auto"/>
        </w:rPr>
        <w:t xml:space="preserve"> As of June 5, 2019, there were 48,939,190 shares of issuer’s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6612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95250</wp:posOffset>
            </wp:positionV>
            <wp:extent cx="661225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12255"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807085</wp:posOffset>
            </wp:positionV>
            <wp:extent cx="661225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12255" cy="17145"/>
                    </a:xfrm>
                    <a:prstGeom prst="rect">
                      <a:avLst/>
                    </a:prstGeom>
                    <a:noFill/>
                  </pic:spPr>
                </pic:pic>
              </a:graphicData>
            </a:graphic>
          </wp:anchor>
        </w:drawing>
      </w:r>
    </w:p>
    <w:p>
      <w:pPr>
        <w:sectPr>
          <w:pgSz w:w="11900" w:h="16838" w:orient="portrait"/>
          <w:cols w:equalWidth="0" w:num="1">
            <w:col w:w="10400"/>
          </w:cols>
          <w:pgMar w:left="760" w:top="233" w:right="7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0" w:type="dxa"/>
            <w:vAlign w:val="bottom"/>
            <w:gridSpan w:val="2"/>
            <w:vMerge w:val="restart"/>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Part I</w:t>
              </w:r>
            </w:hyperlink>
          </w:p>
        </w:tc>
        <w:tc>
          <w:tcPr>
            <w:tcW w:w="540" w:type="dxa"/>
            <w:vAlign w:val="bottom"/>
            <w:gridSpan w:val="5"/>
            <w:vMerge w:val="restart"/>
          </w:tcPr>
          <w:p>
            <w:pPr>
              <w:spacing w:after="0"/>
              <w:rPr>
                <w:sz w:val="16"/>
                <w:szCs w:val="16"/>
                <w:color w:val="auto"/>
              </w:rPr>
            </w:pPr>
          </w:p>
        </w:tc>
        <w:tc>
          <w:tcPr>
            <w:tcW w:w="7460" w:type="dxa"/>
            <w:vAlign w:val="bottom"/>
            <w:gridSpan w:val="17"/>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161"/>
        </w:trPr>
        <w:tc>
          <w:tcPr>
            <w:tcW w:w="400" w:type="dxa"/>
            <w:vAlign w:val="bottom"/>
            <w:gridSpan w:val="2"/>
            <w:vMerge w:val="continue"/>
          </w:tcPr>
          <w:p>
            <w:pPr>
              <w:spacing w:after="0"/>
              <w:rPr>
                <w:sz w:val="13"/>
                <w:szCs w:val="13"/>
                <w:color w:val="auto"/>
              </w:rPr>
            </w:pPr>
          </w:p>
        </w:tc>
        <w:tc>
          <w:tcPr>
            <w:tcW w:w="540" w:type="dxa"/>
            <w:vAlign w:val="bottom"/>
            <w:gridSpan w:val="5"/>
            <w:vMerge w:val="continue"/>
          </w:tcPr>
          <w:p>
            <w:pPr>
              <w:spacing w:after="0"/>
              <w:rPr>
                <w:sz w:val="13"/>
                <w:szCs w:val="13"/>
                <w:color w:val="auto"/>
              </w:rPr>
            </w:pPr>
          </w:p>
        </w:tc>
        <w:tc>
          <w:tcPr>
            <w:tcW w:w="7460" w:type="dxa"/>
            <w:vAlign w:val="bottom"/>
            <w:gridSpan w:val="17"/>
            <w:vMerge w:val="continue"/>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52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180" w:type="dxa"/>
            <w:vAlign w:val="bottom"/>
            <w:gridSpan w:val="3"/>
          </w:tcPr>
          <w:p>
            <w:pPr>
              <w:spacing w:after="0"/>
              <w:rPr>
                <w:sz w:val="17"/>
                <w:szCs w:val="17"/>
                <w:color w:val="auto"/>
              </w:rPr>
            </w:pPr>
          </w:p>
        </w:tc>
        <w:tc>
          <w:tcPr>
            <w:tcW w:w="150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Financial Statements</w:t>
              </w:r>
            </w:hyperlink>
          </w:p>
        </w:tc>
        <w:tc>
          <w:tcPr>
            <w:tcW w:w="5960" w:type="dxa"/>
            <w:vAlign w:val="bottom"/>
            <w:gridSpan w:val="12"/>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90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Balance Sheets – April 30, 2019, April 30, 2018 and January 31, 2019</w:t>
              </w:r>
            </w:hyperlink>
          </w:p>
        </w:tc>
        <w:tc>
          <w:tcPr>
            <w:tcW w:w="560" w:type="dxa"/>
            <w:vAlign w:val="bottom"/>
            <w:gridSpan w:val="3"/>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Income and Comprehensive Income - For the Three Months</w:t>
              </w:r>
            </w:hyperlink>
          </w:p>
        </w:tc>
        <w:tc>
          <w:tcPr>
            <w:tcW w:w="260" w:type="dxa"/>
            <w:vAlign w:val="bottom"/>
            <w:gridSpan w:val="2"/>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340" w:type="dxa"/>
            <w:vAlign w:val="bottom"/>
            <w:gridSpan w:val="16"/>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Ended April 30, 2019 and 2018 (Unaudited)</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60" w:type="dxa"/>
            <w:vAlign w:val="bottom"/>
            <w:gridSpan w:val="17"/>
          </w:tcPr>
          <w:p>
            <w:pPr>
              <w:spacing w:after="0" w:line="196" w:lineRule="exact"/>
              <w:rPr>
                <w:rFonts w:ascii="Arial" w:cs="Arial" w:eastAsia="Arial" w:hAnsi="Arial"/>
                <w:sz w:val="18"/>
                <w:szCs w:val="18"/>
                <w:color w:val="0000EE"/>
                <w:w w:val="91"/>
              </w:rPr>
            </w:pPr>
            <w:hyperlink w:anchor="page5">
              <w:r>
                <w:rPr>
                  <w:rFonts w:ascii="Arial" w:cs="Arial" w:eastAsia="Arial" w:hAnsi="Arial"/>
                  <w:sz w:val="18"/>
                  <w:szCs w:val="18"/>
                  <w:color w:val="0000EE"/>
                  <w:w w:val="91"/>
                </w:rPr>
                <w:t>Condensed Consolidated Statements of Cash Flows - For the Three Months Ended April 30, 2019 and</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2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2018 (Unaudited)</w:t>
              </w:r>
            </w:hyperlink>
          </w:p>
        </w:tc>
        <w:tc>
          <w:tcPr>
            <w:tcW w:w="5940" w:type="dxa"/>
            <w:vAlign w:val="bottom"/>
            <w:tcBorders>
              <w:top w:val="single" w:sz="8" w:color="0000EE"/>
            </w:tcBorders>
            <w:gridSpan w:val="12"/>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60" w:type="dxa"/>
            <w:vAlign w:val="bottom"/>
            <w:gridSpan w:val="17"/>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540" w:type="dxa"/>
            <w:vAlign w:val="bottom"/>
            <w:tcBorders>
              <w:bottom w:val="single" w:sz="8" w:color="0000EE"/>
            </w:tcBorders>
            <w:gridSpan w:val="4"/>
          </w:tcPr>
          <w:p>
            <w:pPr>
              <w:spacing w:after="0" w:line="196" w:lineRule="exact"/>
              <w:rPr>
                <w:rFonts w:ascii="Arial" w:cs="Arial" w:eastAsia="Arial" w:hAnsi="Arial"/>
                <w:sz w:val="18"/>
                <w:szCs w:val="18"/>
                <w:color w:val="0000EE"/>
                <w:w w:val="94"/>
              </w:rPr>
            </w:pPr>
            <w:hyperlink w:anchor="page16">
              <w:r>
                <w:rPr>
                  <w:rFonts w:ascii="Arial" w:cs="Arial" w:eastAsia="Arial" w:hAnsi="Arial"/>
                  <w:sz w:val="18"/>
                  <w:szCs w:val="18"/>
                  <w:color w:val="0000EE"/>
                  <w:w w:val="94"/>
                </w:rPr>
                <w:t>Item 2.</w:t>
              </w:r>
            </w:hyperlink>
          </w:p>
        </w:tc>
        <w:tc>
          <w:tcPr>
            <w:tcW w:w="160" w:type="dxa"/>
            <w:vAlign w:val="bottom"/>
            <w:gridSpan w:val="2"/>
          </w:tcPr>
          <w:p>
            <w:pPr>
              <w:spacing w:after="0"/>
              <w:rPr>
                <w:sz w:val="17"/>
                <w:szCs w:val="17"/>
                <w:color w:val="auto"/>
              </w:rPr>
            </w:pPr>
          </w:p>
        </w:tc>
        <w:tc>
          <w:tcPr>
            <w:tcW w:w="646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16">
              <w:r>
                <w:rPr>
                  <w:rFonts w:ascii="Arial" w:cs="Arial" w:eastAsia="Arial" w:hAnsi="Arial"/>
                  <w:sz w:val="18"/>
                  <w:szCs w:val="18"/>
                  <w:color w:val="0000EE"/>
                  <w:w w:val="90"/>
                </w:rPr>
                <w:t>Management’s Discussion and Analysis of Financial Condition and Results of Operations</w:t>
              </w:r>
            </w:hyperlink>
          </w:p>
        </w:tc>
        <w:tc>
          <w:tcPr>
            <w:tcW w:w="1000" w:type="dxa"/>
            <w:vAlign w:val="bottom"/>
            <w:gridSpan w:val="4"/>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540" w:type="dxa"/>
            <w:vAlign w:val="bottom"/>
            <w:tcBorders>
              <w:bottom w:val="single" w:sz="8" w:color="0000EE"/>
            </w:tcBorders>
            <w:gridSpan w:val="4"/>
          </w:tcPr>
          <w:p>
            <w:pPr>
              <w:spacing w:after="0" w:line="196" w:lineRule="exact"/>
              <w:rPr>
                <w:rFonts w:ascii="Arial" w:cs="Arial" w:eastAsia="Arial" w:hAnsi="Arial"/>
                <w:sz w:val="18"/>
                <w:szCs w:val="18"/>
                <w:color w:val="0000EE"/>
                <w:w w:val="94"/>
              </w:rPr>
            </w:pPr>
            <w:hyperlink w:anchor="page24">
              <w:r>
                <w:rPr>
                  <w:rFonts w:ascii="Arial" w:cs="Arial" w:eastAsia="Arial" w:hAnsi="Arial"/>
                  <w:sz w:val="18"/>
                  <w:szCs w:val="18"/>
                  <w:color w:val="0000EE"/>
                  <w:w w:val="94"/>
                </w:rPr>
                <w:t>Item 3.</w:t>
              </w:r>
            </w:hyperlink>
          </w:p>
        </w:tc>
        <w:tc>
          <w:tcPr>
            <w:tcW w:w="160" w:type="dxa"/>
            <w:vAlign w:val="bottom"/>
            <w:gridSpan w:val="2"/>
          </w:tcPr>
          <w:p>
            <w:pPr>
              <w:spacing w:after="0"/>
              <w:rPr>
                <w:sz w:val="17"/>
                <w:szCs w:val="17"/>
                <w:color w:val="auto"/>
              </w:rPr>
            </w:pPr>
          </w:p>
        </w:tc>
        <w:tc>
          <w:tcPr>
            <w:tcW w:w="436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w:anchor="page24">
              <w:r>
                <w:rPr>
                  <w:rFonts w:ascii="Arial" w:cs="Arial" w:eastAsia="Arial" w:hAnsi="Arial"/>
                  <w:sz w:val="18"/>
                  <w:szCs w:val="18"/>
                  <w:color w:val="0000EE"/>
                  <w:w w:val="92"/>
                </w:rPr>
                <w:t>Quantitative and Qualitative Disclosures About Market Risk</w:t>
              </w:r>
            </w:hyperlink>
          </w:p>
        </w:tc>
        <w:tc>
          <w:tcPr>
            <w:tcW w:w="3100" w:type="dxa"/>
            <w:vAlign w:val="bottom"/>
            <w:gridSpan w:val="5"/>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520" w:type="dxa"/>
            <w:vAlign w:val="bottom"/>
            <w:gridSpan w:val="3"/>
          </w:tcPr>
          <w:p>
            <w:pPr>
              <w:spacing w:after="0" w:line="196" w:lineRule="exact"/>
              <w:rPr>
                <w:rFonts w:ascii="Arial" w:cs="Arial" w:eastAsia="Arial" w:hAnsi="Arial"/>
                <w:sz w:val="18"/>
                <w:szCs w:val="18"/>
                <w:color w:val="0000EE"/>
                <w:w w:val="90"/>
              </w:rPr>
            </w:pPr>
            <w:hyperlink w:anchor="page24">
              <w:r>
                <w:rPr>
                  <w:rFonts w:ascii="Arial" w:cs="Arial" w:eastAsia="Arial" w:hAnsi="Arial"/>
                  <w:sz w:val="18"/>
                  <w:szCs w:val="18"/>
                  <w:color w:val="0000EE"/>
                  <w:w w:val="90"/>
                </w:rPr>
                <w:t>Item 4.</w:t>
              </w:r>
            </w:hyperlink>
          </w:p>
        </w:tc>
        <w:tc>
          <w:tcPr>
            <w:tcW w:w="180" w:type="dxa"/>
            <w:vAlign w:val="bottom"/>
            <w:gridSpan w:val="3"/>
          </w:tcPr>
          <w:p>
            <w:pPr>
              <w:spacing w:after="0"/>
              <w:rPr>
                <w:sz w:val="17"/>
                <w:szCs w:val="17"/>
                <w:color w:val="auto"/>
              </w:rPr>
            </w:pPr>
          </w:p>
        </w:tc>
        <w:tc>
          <w:tcPr>
            <w:tcW w:w="7460" w:type="dxa"/>
            <w:vAlign w:val="bottom"/>
            <w:gridSpan w:val="17"/>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Controls and Procedures</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312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25">
              <w:r>
                <w:rPr>
                  <w:rFonts w:ascii="Arial" w:cs="Arial" w:eastAsia="Arial" w:hAnsi="Arial"/>
                  <w:sz w:val="18"/>
                  <w:szCs w:val="18"/>
                  <w:color w:val="0000EE"/>
                  <w:w w:val="91"/>
                </w:rPr>
                <w:t>Part II</w:t>
              </w:r>
            </w:hyperlink>
          </w:p>
        </w:tc>
        <w:tc>
          <w:tcPr>
            <w:tcW w:w="480" w:type="dxa"/>
            <w:vAlign w:val="bottom"/>
            <w:gridSpan w:val="4"/>
          </w:tcPr>
          <w:p>
            <w:pPr>
              <w:spacing w:after="0"/>
              <w:rPr>
                <w:sz w:val="24"/>
                <w:szCs w:val="24"/>
                <w:color w:val="auto"/>
              </w:rPr>
            </w:pPr>
          </w:p>
        </w:tc>
        <w:tc>
          <w:tcPr>
            <w:tcW w:w="1880" w:type="dxa"/>
            <w:vAlign w:val="bottom"/>
            <w:tcBorders>
              <w:bottom w:val="single" w:sz="8" w:color="0000EE"/>
            </w:tcBorders>
            <w:gridSpan w:val="7"/>
          </w:tcPr>
          <w:p>
            <w:pPr>
              <w:spacing w:after="0"/>
              <w:rPr>
                <w:rFonts w:ascii="Arial" w:cs="Arial" w:eastAsia="Arial" w:hAnsi="Arial"/>
                <w:sz w:val="18"/>
                <w:szCs w:val="18"/>
                <w:color w:val="0000EE"/>
                <w:w w:val="95"/>
              </w:rPr>
            </w:pPr>
            <w:hyperlink w:anchor="page25">
              <w:r>
                <w:rPr>
                  <w:rFonts w:ascii="Arial" w:cs="Arial" w:eastAsia="Arial" w:hAnsi="Arial"/>
                  <w:sz w:val="18"/>
                  <w:szCs w:val="18"/>
                  <w:color w:val="0000EE"/>
                  <w:w w:val="95"/>
                </w:rPr>
                <w:t>OTHER INFORMATION</w:t>
              </w:r>
            </w:hyperlink>
          </w:p>
        </w:tc>
        <w:tc>
          <w:tcPr>
            <w:tcW w:w="5580" w:type="dxa"/>
            <w:vAlign w:val="bottom"/>
            <w:gridSpan w:val="10"/>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700" w:type="dxa"/>
            <w:vAlign w:val="bottom"/>
            <w:gridSpan w:val="6"/>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Item 1A.</w:t>
              </w:r>
            </w:hyperlink>
          </w:p>
        </w:tc>
        <w:tc>
          <w:tcPr>
            <w:tcW w:w="7460" w:type="dxa"/>
            <w:vAlign w:val="bottom"/>
            <w:gridSpan w:val="17"/>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Risk Factors</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40" w:type="dxa"/>
            <w:vAlign w:val="bottom"/>
            <w:gridSpan w:val="8"/>
          </w:tcPr>
          <w:p>
            <w:pPr>
              <w:spacing w:after="0" w:line="20" w:lineRule="exact"/>
              <w:rPr>
                <w:sz w:val="1"/>
                <w:szCs w:val="1"/>
                <w:color w:val="auto"/>
              </w:rPr>
            </w:pPr>
          </w:p>
        </w:tc>
        <w:tc>
          <w:tcPr>
            <w:tcW w:w="312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540" w:type="dxa"/>
            <w:vAlign w:val="bottom"/>
            <w:gridSpan w:val="4"/>
          </w:tcPr>
          <w:p>
            <w:pPr>
              <w:spacing w:after="0" w:line="196" w:lineRule="exact"/>
              <w:rPr>
                <w:rFonts w:ascii="Arial" w:cs="Arial" w:eastAsia="Arial" w:hAnsi="Arial"/>
                <w:sz w:val="18"/>
                <w:szCs w:val="18"/>
                <w:color w:val="0000EE"/>
                <w:w w:val="94"/>
              </w:rPr>
            </w:pPr>
            <w:hyperlink w:anchor="page25">
              <w:r>
                <w:rPr>
                  <w:rFonts w:ascii="Arial" w:cs="Arial" w:eastAsia="Arial" w:hAnsi="Arial"/>
                  <w:sz w:val="18"/>
                  <w:szCs w:val="18"/>
                  <w:color w:val="0000EE"/>
                  <w:w w:val="94"/>
                </w:rPr>
                <w:t>Item 2.</w:t>
              </w:r>
            </w:hyperlink>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60" w:type="dxa"/>
            <w:vAlign w:val="bottom"/>
            <w:gridSpan w:val="17"/>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Unregistered Sales of Equity Securities and Use of Proceeds</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5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w:anchor="page26">
              <w:r>
                <w:rPr>
                  <w:rFonts w:ascii="Arial" w:cs="Arial" w:eastAsia="Arial" w:hAnsi="Arial"/>
                  <w:sz w:val="18"/>
                  <w:szCs w:val="18"/>
                  <w:color w:val="0000EE"/>
                  <w:w w:val="90"/>
                </w:rPr>
                <w:t>Item 6.</w:t>
              </w:r>
            </w:hyperlink>
          </w:p>
        </w:tc>
        <w:tc>
          <w:tcPr>
            <w:tcW w:w="20" w:type="dxa"/>
            <w:vAlign w:val="bottom"/>
            <w:tcBorders>
              <w:top w:val="single" w:sz="8" w:color="0000EE"/>
            </w:tcBorders>
          </w:tcPr>
          <w:p>
            <w:pPr>
              <w:spacing w:after="0"/>
              <w:rPr>
                <w:sz w:val="17"/>
                <w:szCs w:val="17"/>
                <w:color w:val="auto"/>
              </w:rPr>
            </w:pPr>
          </w:p>
        </w:tc>
        <w:tc>
          <w:tcPr>
            <w:tcW w:w="160" w:type="dxa"/>
            <w:vAlign w:val="bottom"/>
            <w:gridSpan w:val="2"/>
          </w:tcPr>
          <w:p>
            <w:pPr>
              <w:spacing w:after="0"/>
              <w:rPr>
                <w:sz w:val="17"/>
                <w:szCs w:val="17"/>
                <w:color w:val="auto"/>
              </w:rPr>
            </w:pPr>
          </w:p>
        </w:tc>
        <w:tc>
          <w:tcPr>
            <w:tcW w:w="6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w:anchor="page26">
              <w:r>
                <w:rPr>
                  <w:rFonts w:ascii="Arial" w:cs="Arial" w:eastAsia="Arial" w:hAnsi="Arial"/>
                  <w:sz w:val="18"/>
                  <w:szCs w:val="18"/>
                  <w:color w:val="0000EE"/>
                  <w:w w:val="91"/>
                </w:rPr>
                <w:t>Exhibits</w:t>
              </w:r>
            </w:hyperlink>
          </w:p>
        </w:tc>
        <w:tc>
          <w:tcPr>
            <w:tcW w:w="3740" w:type="dxa"/>
            <w:vAlign w:val="bottom"/>
            <w:tcBorders>
              <w:top w:val="single" w:sz="8" w:color="0000EE"/>
            </w:tcBorders>
            <w:gridSpan w:val="9"/>
          </w:tcPr>
          <w:p>
            <w:pPr>
              <w:spacing w:after="0"/>
              <w:rPr>
                <w:sz w:val="17"/>
                <w:szCs w:val="17"/>
                <w:color w:val="auto"/>
              </w:rPr>
            </w:pPr>
          </w:p>
        </w:tc>
        <w:tc>
          <w:tcPr>
            <w:tcW w:w="3120" w:type="dxa"/>
            <w:vAlign w:val="bottom"/>
            <w:gridSpan w:val="6"/>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898"/>
        </w:trPr>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980" w:type="dxa"/>
            <w:vAlign w:val="bottom"/>
            <w:gridSpan w:val="10"/>
          </w:tcPr>
          <w:p>
            <w:pPr>
              <w:ind w:left="354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877" w:right="14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9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90"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7"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April 30,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April 30,</w:t>
            </w:r>
          </w:p>
        </w:tc>
        <w:tc>
          <w:tcPr>
            <w:tcW w:w="120" w:type="dxa"/>
            <w:vAlign w:val="bottom"/>
          </w:tcPr>
          <w:p>
            <w:pPr>
              <w:spacing w:after="0"/>
              <w:rPr>
                <w:sz w:val="16"/>
                <w:szCs w:val="16"/>
                <w:color w:val="auto"/>
              </w:rPr>
            </w:pPr>
          </w:p>
        </w:tc>
        <w:tc>
          <w:tcPr>
            <w:tcW w:w="920" w:type="dxa"/>
            <w:vAlign w:val="bottom"/>
          </w:tcPr>
          <w:p>
            <w:pPr>
              <w:jc w:val="right"/>
              <w:ind w:right="71"/>
              <w:spacing w:after="0"/>
              <w:rPr>
                <w:sz w:val="20"/>
                <w:szCs w:val="20"/>
                <w:color w:val="auto"/>
              </w:rPr>
            </w:pPr>
            <w:r>
              <w:rPr>
                <w:rFonts w:ascii="Arial" w:cs="Arial" w:eastAsia="Arial" w:hAnsi="Arial"/>
                <w:sz w:val="14"/>
                <w:szCs w:val="14"/>
                <w:b w:val="1"/>
                <w:bCs w:val="1"/>
                <w:color w:val="auto"/>
                <w:w w:val="95"/>
              </w:rPr>
              <w:t>January 31,</w:t>
            </w:r>
          </w:p>
        </w:tc>
      </w:tr>
      <w:tr>
        <w:trPr>
          <w:trHeight w:val="201"/>
        </w:trPr>
        <w:tc>
          <w:tcPr>
            <w:tcW w:w="5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11"/>
              <w:spacing w:after="0"/>
              <w:rPr>
                <w:sz w:val="20"/>
                <w:szCs w:val="20"/>
                <w:color w:val="auto"/>
              </w:rPr>
            </w:pPr>
            <w:r>
              <w:rPr>
                <w:rFonts w:ascii="Arial" w:cs="Arial" w:eastAsia="Arial" w:hAnsi="Arial"/>
                <w:sz w:val="14"/>
                <w:szCs w:val="14"/>
                <w:b w:val="1"/>
                <w:bCs w:val="1"/>
                <w:color w:val="auto"/>
                <w:w w:val="89"/>
              </w:rPr>
              <w:t>2018</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2019</w:t>
            </w:r>
          </w:p>
        </w:tc>
      </w:tr>
      <w:tr>
        <w:trPr>
          <w:trHeight w:val="211"/>
        </w:trPr>
        <w:tc>
          <w:tcPr>
            <w:tcW w:w="5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(Unaudited)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(Unaudited)</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01"/>
        </w:trPr>
        <w:tc>
          <w:tcPr>
            <w:tcW w:w="5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0" w:type="dxa"/>
            <w:vAlign w:val="bottom"/>
            <w:gridSpan w:val="8"/>
          </w:tcPr>
          <w:p>
            <w:pPr>
              <w:jc w:val="center"/>
              <w:ind w:right="31"/>
              <w:spacing w:after="0"/>
              <w:rPr>
                <w:sz w:val="20"/>
                <w:szCs w:val="20"/>
                <w:color w:val="auto"/>
              </w:rPr>
            </w:pPr>
            <w:r>
              <w:rPr>
                <w:rFonts w:ascii="Arial" w:cs="Arial" w:eastAsia="Arial" w:hAnsi="Arial"/>
                <w:sz w:val="14"/>
                <w:szCs w:val="14"/>
                <w:b w:val="1"/>
                <w:bCs w:val="1"/>
                <w:color w:val="auto"/>
                <w:w w:val="90"/>
              </w:rPr>
              <w:t>(In thousands, except per share amounts)</w:t>
            </w: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5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48,312</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71,048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70,138</w:t>
            </w:r>
          </w:p>
        </w:tc>
      </w:tr>
      <w:tr>
        <w:trPr>
          <w:trHeight w:val="216"/>
        </w:trPr>
        <w:tc>
          <w:tcPr>
            <w:tcW w:w="5300" w:type="dxa"/>
            <w:vAlign w:val="bottom"/>
          </w:tcPr>
          <w:p>
            <w:pPr>
              <w:ind w:left="120"/>
              <w:spacing w:after="0"/>
              <w:rPr>
                <w:sz w:val="20"/>
                <w:szCs w:val="20"/>
                <w:color w:val="auto"/>
              </w:rPr>
            </w:pPr>
            <w:r>
              <w:rPr>
                <w:rFonts w:ascii="Arial" w:cs="Arial" w:eastAsia="Arial" w:hAnsi="Arial"/>
                <w:sz w:val="18"/>
                <w:szCs w:val="18"/>
                <w:color w:val="auto"/>
              </w:rPr>
              <w:t>Accounts receivable, net of allowance for doubtful accounts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478,371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429,146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502,133</w:t>
            </w:r>
          </w:p>
        </w:tc>
      </w:tr>
      <w:tr>
        <w:trPr>
          <w:trHeight w:val="216"/>
        </w:trPr>
        <w:tc>
          <w:tcPr>
            <w:tcW w:w="5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538,955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463,463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576,383</w:t>
            </w:r>
          </w:p>
        </w:tc>
      </w:tr>
      <w:tr>
        <w:trPr>
          <w:trHeight w:val="216"/>
        </w:trPr>
        <w:tc>
          <w:tcPr>
            <w:tcW w:w="5300" w:type="dxa"/>
            <w:vAlign w:val="bottom"/>
          </w:tcPr>
          <w:p>
            <w:pPr>
              <w:ind w:left="120"/>
              <w:spacing w:after="0"/>
              <w:rPr>
                <w:sz w:val="20"/>
                <w:szCs w:val="20"/>
                <w:color w:val="auto"/>
              </w:rPr>
            </w:pPr>
            <w:r>
              <w:rPr>
                <w:rFonts w:ascii="Arial" w:cs="Arial" w:eastAsia="Arial" w:hAnsi="Arial"/>
                <w:sz w:val="18"/>
                <w:szCs w:val="18"/>
                <w:color w:val="auto"/>
              </w:rPr>
              <w:t>Prepaid income taxes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9,369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2,132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8,308</w:t>
            </w:r>
          </w:p>
        </w:tc>
      </w:tr>
      <w:tr>
        <w:trPr>
          <w:trHeight w:val="216"/>
        </w:trPr>
        <w:tc>
          <w:tcPr>
            <w:tcW w:w="5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96,545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102,072</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96,933</w:t>
            </w:r>
          </w:p>
        </w:tc>
      </w:tr>
      <w:tr>
        <w:trPr>
          <w:trHeight w:val="210"/>
        </w:trPr>
        <w:tc>
          <w:tcPr>
            <w:tcW w:w="5300" w:type="dxa"/>
            <w:vAlign w:val="bottom"/>
          </w:tcPr>
          <w:p>
            <w:pPr>
              <w:ind w:left="22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1,171,552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1,067,861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1,253,895</w:t>
            </w: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unconsolidated affiliates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63,361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63,161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66,587</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89,848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95,269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86,407</w:t>
            </w: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assets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320,169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Other assets, net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35,663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33,709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35,459</w:t>
            </w: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intangibles, net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41,486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45,406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42,404</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Deferred income tax assets, net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25,212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27,982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22,427</w:t>
            </w: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438,675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443,900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439,742</w:t>
            </w:r>
          </w:p>
        </w:tc>
      </w:tr>
      <w:tr>
        <w:trPr>
          <w:trHeight w:val="216"/>
        </w:trPr>
        <w:tc>
          <w:tcPr>
            <w:tcW w:w="5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Goodwill</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260,578</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263,275</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261,137</w:t>
            </w:r>
          </w:p>
        </w:tc>
      </w:tr>
      <w:tr>
        <w:trPr>
          <w:trHeight w:val="230"/>
        </w:trPr>
        <w:tc>
          <w:tcPr>
            <w:tcW w:w="5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2,446,544</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2,040,563</w:t>
            </w: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2,208,058</w:t>
            </w:r>
          </w:p>
        </w:tc>
      </w:tr>
      <w:tr>
        <w:trPr>
          <w:trHeight w:val="203"/>
        </w:trPr>
        <w:tc>
          <w:tcPr>
            <w:tcW w:w="5300" w:type="dxa"/>
            <w:vAlign w:val="bottom"/>
          </w:tcPr>
          <w:p>
            <w:pPr>
              <w:spacing w:after="0" w:line="203" w:lineRule="exact"/>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5300" w:type="dxa"/>
            <w:vAlign w:val="bottom"/>
          </w:tcPr>
          <w:p>
            <w:pPr>
              <w:ind w:left="120"/>
              <w:spacing w:after="0"/>
              <w:rPr>
                <w:sz w:val="20"/>
                <w:szCs w:val="20"/>
                <w:color w:val="auto"/>
              </w:rPr>
            </w:pPr>
            <w:r>
              <w:rPr>
                <w:rFonts w:ascii="Arial" w:cs="Arial" w:eastAsia="Arial" w:hAnsi="Arial"/>
                <w:sz w:val="18"/>
                <w:szCs w:val="18"/>
                <w:color w:val="auto"/>
              </w:rPr>
              <w:t>Income tax payable</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3,588</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8,859</w:t>
            </w:r>
          </w:p>
        </w:tc>
      </w:tr>
      <w:tr>
        <w:trPr>
          <w:trHeight w:val="216"/>
        </w:trPr>
        <w:tc>
          <w:tcPr>
            <w:tcW w:w="5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172,806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152,854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225,499</w:t>
            </w:r>
          </w:p>
        </w:tc>
      </w:tr>
      <w:tr>
        <w:trPr>
          <w:trHeight w:val="216"/>
        </w:trPr>
        <w:tc>
          <w:tcPr>
            <w:tcW w:w="5300" w:type="dxa"/>
            <w:vAlign w:val="bottom"/>
          </w:tcPr>
          <w:p>
            <w:pPr>
              <w:ind w:left="120"/>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78,619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86,058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102,841</w:t>
            </w:r>
          </w:p>
        </w:tc>
      </w:tr>
      <w:tr>
        <w:trPr>
          <w:trHeight w:val="216"/>
        </w:trPr>
        <w:tc>
          <w:tcPr>
            <w:tcW w:w="5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Customer refund liabilities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210,310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214,693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243,589</w:t>
            </w:r>
          </w:p>
        </w:tc>
      </w:tr>
      <w:tr>
        <w:trPr>
          <w:trHeight w:val="216"/>
        </w:trPr>
        <w:tc>
          <w:tcPr>
            <w:tcW w:w="5300" w:type="dxa"/>
            <w:vAlign w:val="bottom"/>
          </w:tcPr>
          <w:p>
            <w:pPr>
              <w:ind w:left="120"/>
              <w:spacing w:after="0"/>
              <w:rPr>
                <w:sz w:val="20"/>
                <w:szCs w:val="20"/>
                <w:color w:val="auto"/>
              </w:rPr>
            </w:pPr>
            <w:r>
              <w:rPr>
                <w:rFonts w:ascii="Arial" w:cs="Arial" w:eastAsia="Arial" w:hAnsi="Arial"/>
                <w:sz w:val="18"/>
                <w:szCs w:val="18"/>
                <w:color w:val="auto"/>
              </w:rPr>
              <w:t>Current operating lease liabilities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74,761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current liabilities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5300" w:type="dxa"/>
            <w:vAlign w:val="bottom"/>
          </w:tcPr>
          <w:p>
            <w:pPr>
              <w:ind w:left="220"/>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540,231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453,605</w:t>
            </w: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580,788</w:t>
            </w: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Notes payable, net of discount and unamortized issuance costs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411,087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448,263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386,604</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Deferred income tax liabilities, net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14,777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16,388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15,128</w:t>
            </w: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Noncurrent operating lease liabilities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286,663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non-current liabilities</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6,960</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39,383</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36,529</w:t>
            </w:r>
          </w:p>
        </w:tc>
      </w:tr>
      <w:tr>
        <w:trPr>
          <w:trHeight w:val="210"/>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1,259,718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957,639</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1,019,049</w:t>
            </w:r>
          </w:p>
        </w:tc>
      </w:tr>
      <w:tr>
        <w:trPr>
          <w:trHeight w:val="210"/>
        </w:trPr>
        <w:tc>
          <w:tcPr>
            <w:tcW w:w="5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5300" w:type="dxa"/>
            <w:vAlign w:val="bottom"/>
          </w:tcPr>
          <w:p>
            <w:pPr>
              <w:ind w:left="120"/>
              <w:spacing w:after="0"/>
              <w:rPr>
                <w:sz w:val="20"/>
                <w:szCs w:val="20"/>
                <w:color w:val="auto"/>
              </w:rPr>
            </w:pPr>
            <w:r>
              <w:rPr>
                <w:rFonts w:ascii="Arial" w:cs="Arial" w:eastAsia="Arial" w:hAnsi="Arial"/>
                <w:sz w:val="18"/>
                <w:szCs w:val="18"/>
                <w:color w:val="auto"/>
              </w:rPr>
              <w:t>Preferred stock; 1,000 shares authorized; no shares issued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2"/>
        </w:trPr>
        <w:tc>
          <w:tcPr>
            <w:tcW w:w="530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3"/>
              </w:rPr>
              <w:t>Common stock - $0.01 par value; 120,000 shares authorized; 49,393,</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30"/>
        </w:trPr>
        <w:tc>
          <w:tcPr>
            <w:tcW w:w="5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49,225 and, 49,387 shares issued, respectively</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r>
      <w:tr>
        <w:trPr>
          <w:trHeight w:val="216"/>
        </w:trPr>
        <w:tc>
          <w:tcPr>
            <w:tcW w:w="5300" w:type="dxa"/>
            <w:vAlign w:val="bottom"/>
          </w:tcPr>
          <w:p>
            <w:pPr>
              <w:ind w:left="12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456,835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454,398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464,112</w:t>
            </w:r>
          </w:p>
        </w:tc>
      </w:tr>
      <w:tr>
        <w:trPr>
          <w:trHeight w:val="216"/>
        </w:trPr>
        <w:tc>
          <w:tcPr>
            <w:tcW w:w="5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(18,421)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(2,086)</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(15,194)</w:t>
            </w:r>
          </w:p>
        </w:tc>
      </w:tr>
      <w:tr>
        <w:trPr>
          <w:trHeight w:val="216"/>
        </w:trPr>
        <w:tc>
          <w:tcPr>
            <w:tcW w:w="5300" w:type="dxa"/>
            <w:vAlign w:val="bottom"/>
          </w:tcPr>
          <w:p>
            <w:pPr>
              <w:ind w:left="120"/>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761,344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630,633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758,881</w:t>
            </w:r>
          </w:p>
        </w:tc>
      </w:tr>
      <w:tr>
        <w:trPr>
          <w:trHeight w:val="202"/>
        </w:trPr>
        <w:tc>
          <w:tcPr>
            <w:tcW w:w="530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8"/>
              </w:rPr>
              <w:t>Common stock held in treasury, at cost - 470, 72 and 678 shares,</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30"/>
        </w:trPr>
        <w:tc>
          <w:tcPr>
            <w:tcW w:w="5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respectively</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(13,196)</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(283)</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(19,054)</w:t>
            </w:r>
          </w:p>
        </w:tc>
      </w:tr>
      <w:tr>
        <w:trPr>
          <w:trHeight w:val="210"/>
        </w:trPr>
        <w:tc>
          <w:tcPr>
            <w:tcW w:w="5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1,186,826</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1,082,924</w:t>
            </w:r>
          </w:p>
        </w:tc>
        <w:tc>
          <w:tcPr>
            <w:tcW w:w="1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1,189,009</w:t>
            </w:r>
          </w:p>
        </w:tc>
      </w:tr>
      <w:tr>
        <w:trPr>
          <w:trHeight w:val="217"/>
        </w:trPr>
        <w:tc>
          <w:tcPr>
            <w:tcW w:w="5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2,446,544</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2,040,563</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2,208,058</w:t>
            </w:r>
          </w:p>
        </w:tc>
      </w:tr>
    </w:tbl>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877" w:right="141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AND COMPREHENSIVE INCOME</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00" w:type="dxa"/>
            <w:vAlign w:val="bottom"/>
            <w:gridSpan w:val="4"/>
          </w:tcPr>
          <w:p>
            <w:pPr>
              <w:jc w:val="center"/>
              <w:ind w:right="91"/>
              <w:spacing w:after="0"/>
              <w:rPr>
                <w:sz w:val="20"/>
                <w:szCs w:val="20"/>
                <w:color w:val="auto"/>
              </w:rPr>
            </w:pPr>
            <w:r>
              <w:rPr>
                <w:rFonts w:ascii="Arial" w:cs="Arial" w:eastAsia="Arial" w:hAnsi="Arial"/>
                <w:sz w:val="14"/>
                <w:szCs w:val="14"/>
                <w:b w:val="1"/>
                <w:bCs w:val="1"/>
                <w:color w:val="auto"/>
                <w:w w:val="95"/>
              </w:rPr>
              <w:t>Three Months Ended April 30,</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80" w:type="dxa"/>
            <w:vAlign w:val="bottom"/>
            <w:gridSpan w:val="3"/>
          </w:tcPr>
          <w:p>
            <w:pPr>
              <w:jc w:val="center"/>
              <w:ind w:left="753"/>
              <w:spacing w:after="0"/>
              <w:rPr>
                <w:sz w:val="20"/>
                <w:szCs w:val="20"/>
                <w:color w:val="auto"/>
              </w:rPr>
            </w:pPr>
            <w:r>
              <w:rPr>
                <w:rFonts w:ascii="Arial" w:cs="Arial" w:eastAsia="Arial" w:hAnsi="Arial"/>
                <w:sz w:val="14"/>
                <w:szCs w:val="14"/>
                <w:b w:val="1"/>
                <w:bCs w:val="1"/>
                <w:color w:val="auto"/>
                <w:w w:val="97"/>
              </w:rPr>
              <w:t>(Unaudited)</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00" w:type="dxa"/>
            <w:vAlign w:val="bottom"/>
            <w:gridSpan w:val="4"/>
          </w:tcPr>
          <w:p>
            <w:pPr>
              <w:jc w:val="center"/>
              <w:ind w:right="91"/>
              <w:spacing w:after="0"/>
              <w:rPr>
                <w:sz w:val="20"/>
                <w:szCs w:val="20"/>
                <w:color w:val="auto"/>
              </w:rPr>
            </w:pPr>
            <w:r>
              <w:rPr>
                <w:rFonts w:ascii="Arial" w:cs="Arial" w:eastAsia="Arial" w:hAnsi="Arial"/>
                <w:sz w:val="14"/>
                <w:szCs w:val="14"/>
                <w:b w:val="1"/>
                <w:bCs w:val="1"/>
                <w:color w:val="auto"/>
                <w:w w:val="90"/>
              </w:rPr>
              <w:t>(In thousands, except per share amounts)</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sales</w:t>
            </w:r>
          </w:p>
        </w:tc>
        <w:tc>
          <w:tcPr>
            <w:tcW w:w="13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633,552</w:t>
            </w:r>
          </w:p>
        </w:tc>
        <w:tc>
          <w:tcPr>
            <w:tcW w:w="640" w:type="dxa"/>
            <w:vAlign w:val="bottom"/>
            <w:gridSpan w:val="2"/>
            <w:shd w:val="clear" w:color="auto" w:fill="CCEEFF"/>
          </w:tcPr>
          <w:p>
            <w:pPr>
              <w:jc w:val="right"/>
              <w:ind w:right="24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Cost of goods sold</w:t>
            </w:r>
          </w:p>
        </w:tc>
        <w:tc>
          <w:tcPr>
            <w:tcW w:w="1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397,488</w:t>
            </w:r>
          </w:p>
        </w:tc>
        <w:tc>
          <w:tcPr>
            <w:tcW w:w="2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377,216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Gross profit</w:t>
            </w: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236,064</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4"/>
          </w:tcPr>
          <w:p>
            <w:pPr>
              <w:spacing w:after="0"/>
              <w:rPr>
                <w:sz w:val="20"/>
                <w:szCs w:val="20"/>
                <w:color w:val="auto"/>
              </w:rPr>
            </w:pPr>
            <w:r>
              <w:rPr>
                <w:rFonts w:ascii="Arial" w:cs="Arial" w:eastAsia="Arial" w:hAnsi="Arial"/>
                <w:sz w:val="18"/>
                <w:szCs w:val="18"/>
                <w:color w:val="auto"/>
              </w:rPr>
              <w:t>Selling, general and administrative expenses</w:t>
            </w: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201,859</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202,071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9,473</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Gain on lease terminations</w:t>
            </w:r>
          </w:p>
        </w:tc>
        <w:tc>
          <w:tcPr>
            <w:tcW w:w="1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w:t>
            </w:r>
          </w:p>
        </w:tc>
        <w:tc>
          <w:tcPr>
            <w:tcW w:w="2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Operating profit</w:t>
            </w: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25,561</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4"/>
          </w:tcPr>
          <w:p>
            <w:pPr>
              <w:spacing w:after="0"/>
              <w:rPr>
                <w:sz w:val="20"/>
                <w:szCs w:val="20"/>
                <w:color w:val="auto"/>
              </w:rPr>
            </w:pPr>
            <w:r>
              <w:rPr>
                <w:rFonts w:ascii="Arial" w:cs="Arial" w:eastAsia="Arial" w:hAnsi="Arial"/>
                <w:sz w:val="18"/>
                <w:szCs w:val="18"/>
                <w:color w:val="auto"/>
              </w:rPr>
              <w:t>Other loss</w:t>
            </w: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(648)</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Interest and financing charges, net</w:t>
            </w:r>
          </w:p>
        </w:tc>
        <w:tc>
          <w:tcPr>
            <w:tcW w:w="1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(10,320)</w:t>
            </w:r>
          </w:p>
        </w:tc>
        <w:tc>
          <w:tcPr>
            <w:tcW w:w="2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00" w:type="dxa"/>
            <w:vAlign w:val="bottom"/>
            <w:gridSpan w:val="3"/>
          </w:tcPr>
          <w:p>
            <w:pPr>
              <w:ind w:left="100"/>
              <w:spacing w:after="0"/>
              <w:rPr>
                <w:sz w:val="20"/>
                <w:szCs w:val="20"/>
                <w:color w:val="auto"/>
              </w:rPr>
            </w:pPr>
            <w:r>
              <w:rPr>
                <w:rFonts w:ascii="Arial" w:cs="Arial" w:eastAsia="Arial" w:hAnsi="Arial"/>
                <w:sz w:val="18"/>
                <w:szCs w:val="18"/>
                <w:color w:val="auto"/>
              </w:rPr>
              <w:t>Income before income taxes</w:t>
            </w: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14,593</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2,550</w:t>
            </w:r>
          </w:p>
        </w:tc>
        <w:tc>
          <w:tcPr>
            <w:tcW w:w="2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3,120</w:t>
            </w:r>
          </w:p>
        </w:tc>
        <w:tc>
          <w:tcPr>
            <w:tcW w:w="0" w:type="dxa"/>
            <w:vAlign w:val="bottom"/>
          </w:tcPr>
          <w:p>
            <w:pPr>
              <w:spacing w:after="0"/>
              <w:rPr>
                <w:sz w:val="1"/>
                <w:szCs w:val="1"/>
                <w:color w:val="auto"/>
              </w:rPr>
            </w:pPr>
          </w:p>
        </w:tc>
      </w:tr>
      <w:tr>
        <w:trPr>
          <w:trHeight w:val="217"/>
        </w:trPr>
        <w:tc>
          <w:tcPr>
            <w:tcW w:w="4820" w:type="dxa"/>
            <w:vAlign w:val="bottom"/>
            <w:gridSpan w:val="5"/>
          </w:tcPr>
          <w:p>
            <w:pPr>
              <w:spacing w:after="0"/>
              <w:rPr>
                <w:sz w:val="20"/>
                <w:szCs w:val="20"/>
                <w:color w:val="auto"/>
              </w:rPr>
            </w:pPr>
            <w:r>
              <w:rPr>
                <w:rFonts w:ascii="Arial" w:cs="Arial" w:eastAsia="Arial" w:hAnsi="Arial"/>
                <w:sz w:val="18"/>
                <w:szCs w:val="18"/>
                <w:color w:val="auto"/>
              </w:rPr>
              <w:t>Net income</w:t>
            </w:r>
          </w:p>
        </w:tc>
        <w:tc>
          <w:tcPr>
            <w:tcW w:w="116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12,043</w:t>
            </w:r>
          </w:p>
        </w:tc>
        <w:tc>
          <w:tcPr>
            <w:tcW w:w="240" w:type="dxa"/>
            <w:vAlign w:val="bottom"/>
          </w:tcPr>
          <w:p>
            <w:pPr>
              <w:spacing w:after="0"/>
              <w:rPr>
                <w:sz w:val="18"/>
                <w:szCs w:val="18"/>
                <w:color w:val="auto"/>
              </w:rPr>
            </w:pP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9,885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4"/>
          </w:tcPr>
          <w:p>
            <w:pPr>
              <w:spacing w:after="0"/>
              <w:rPr>
                <w:sz w:val="20"/>
                <w:szCs w:val="20"/>
                <w:color w:val="auto"/>
              </w:rPr>
            </w:pPr>
            <w:r>
              <w:rPr>
                <w:rFonts w:ascii="Arial" w:cs="Arial" w:eastAsia="Arial" w:hAnsi="Arial"/>
                <w:sz w:val="18"/>
                <w:szCs w:val="18"/>
                <w:b w:val="1"/>
                <w:bCs w:val="1"/>
                <w:color w:val="auto"/>
              </w:rPr>
              <w:t>NET INCOME PER COMMON SHARE:</w:t>
            </w: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00" w:type="dxa"/>
            <w:vAlign w:val="bottom"/>
            <w:gridSpan w:val="4"/>
            <w:shd w:val="clear" w:color="auto" w:fill="CCEEFF"/>
          </w:tcPr>
          <w:p>
            <w:pPr>
              <w:ind w:left="100"/>
              <w:spacing w:after="0" w:line="176" w:lineRule="exact"/>
              <w:rPr>
                <w:sz w:val="20"/>
                <w:szCs w:val="20"/>
                <w:color w:val="auto"/>
              </w:rPr>
            </w:pPr>
            <w:r>
              <w:rPr>
                <w:rFonts w:ascii="Arial" w:cs="Arial" w:eastAsia="Arial" w:hAnsi="Arial"/>
                <w:sz w:val="18"/>
                <w:szCs w:val="18"/>
                <w:color w:val="auto"/>
              </w:rPr>
              <w:t>Basic:</w:t>
            </w:r>
          </w:p>
        </w:tc>
        <w:tc>
          <w:tcPr>
            <w:tcW w:w="1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1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700" w:type="dxa"/>
            <w:vAlign w:val="bottom"/>
            <w:gridSpan w:val="3"/>
          </w:tcPr>
          <w:p>
            <w:pPr>
              <w:ind w:left="100"/>
              <w:spacing w:after="0"/>
              <w:rPr>
                <w:sz w:val="20"/>
                <w:szCs w:val="20"/>
                <w:color w:val="auto"/>
              </w:rPr>
            </w:pPr>
            <w:r>
              <w:rPr>
                <w:rFonts w:ascii="Arial" w:cs="Arial" w:eastAsia="Arial" w:hAnsi="Arial"/>
                <w:sz w:val="18"/>
                <w:szCs w:val="18"/>
                <w:color w:val="auto"/>
              </w:rPr>
              <w:t>Net income per common share</w:t>
            </w:r>
          </w:p>
        </w:tc>
        <w:tc>
          <w:tcPr>
            <w:tcW w:w="13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0.25</w:t>
            </w:r>
          </w:p>
        </w:tc>
        <w:tc>
          <w:tcPr>
            <w:tcW w:w="64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700" w:type="dxa"/>
            <w:vAlign w:val="bottom"/>
            <w:tcBorders>
              <w:top w:val="single" w:sz="8" w:color="CCEEFF"/>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Weighted average number of shares outstanding</w:t>
            </w:r>
          </w:p>
        </w:tc>
        <w:tc>
          <w:tcPr>
            <w:tcW w:w="1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48,781</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00" w:type="dxa"/>
            <w:vAlign w:val="bottom"/>
            <w:gridSpan w:val="4"/>
            <w:shd w:val="clear" w:color="auto" w:fill="CCEEFF"/>
          </w:tcPr>
          <w:p>
            <w:pPr>
              <w:ind w:left="100"/>
              <w:spacing w:after="0" w:line="176" w:lineRule="exact"/>
              <w:rPr>
                <w:sz w:val="20"/>
                <w:szCs w:val="20"/>
                <w:color w:val="auto"/>
              </w:rPr>
            </w:pPr>
            <w:r>
              <w:rPr>
                <w:rFonts w:ascii="Arial" w:cs="Arial" w:eastAsia="Arial" w:hAnsi="Arial"/>
                <w:sz w:val="18"/>
                <w:szCs w:val="18"/>
                <w:color w:val="auto"/>
              </w:rPr>
              <w:t>Diluted:</w:t>
            </w:r>
          </w:p>
        </w:tc>
        <w:tc>
          <w:tcPr>
            <w:tcW w:w="1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41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700" w:type="dxa"/>
            <w:vAlign w:val="bottom"/>
            <w:gridSpan w:val="3"/>
          </w:tcPr>
          <w:p>
            <w:pPr>
              <w:ind w:left="100"/>
              <w:spacing w:after="0"/>
              <w:rPr>
                <w:sz w:val="20"/>
                <w:szCs w:val="20"/>
                <w:color w:val="auto"/>
              </w:rPr>
            </w:pPr>
            <w:r>
              <w:rPr>
                <w:rFonts w:ascii="Arial" w:cs="Arial" w:eastAsia="Arial" w:hAnsi="Arial"/>
                <w:sz w:val="18"/>
                <w:szCs w:val="18"/>
                <w:color w:val="auto"/>
              </w:rPr>
              <w:t>Net income per common share</w:t>
            </w:r>
          </w:p>
        </w:tc>
        <w:tc>
          <w:tcPr>
            <w:tcW w:w="13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0.24</w:t>
            </w:r>
          </w:p>
        </w:tc>
        <w:tc>
          <w:tcPr>
            <w:tcW w:w="64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700" w:type="dxa"/>
            <w:vAlign w:val="bottom"/>
            <w:tcBorders>
              <w:top w:val="single" w:sz="8" w:color="CCEEFF"/>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Weighted average number of shares outstanding</w:t>
            </w:r>
          </w:p>
        </w:tc>
        <w:tc>
          <w:tcPr>
            <w:tcW w:w="1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49,774</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income</w:t>
            </w:r>
          </w:p>
        </w:tc>
        <w:tc>
          <w:tcPr>
            <w:tcW w:w="13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12,043</w:t>
            </w:r>
          </w:p>
        </w:tc>
        <w:tc>
          <w:tcPr>
            <w:tcW w:w="640" w:type="dxa"/>
            <w:vAlign w:val="bottom"/>
            <w:gridSpan w:val="2"/>
            <w:shd w:val="clear" w:color="auto" w:fill="CCEEFF"/>
          </w:tcPr>
          <w:p>
            <w:pPr>
              <w:jc w:val="right"/>
              <w:ind w:right="24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4"/>
          </w:tcPr>
          <w:p>
            <w:pPr>
              <w:spacing w:after="0"/>
              <w:rPr>
                <w:sz w:val="20"/>
                <w:szCs w:val="20"/>
                <w:color w:val="auto"/>
              </w:rPr>
            </w:pPr>
            <w:r>
              <w:rPr>
                <w:rFonts w:ascii="Arial" w:cs="Arial" w:eastAsia="Arial" w:hAnsi="Arial"/>
                <w:sz w:val="18"/>
                <w:szCs w:val="18"/>
                <w:color w:val="auto"/>
              </w:rPr>
              <w:t>Other comprehensive income:</w:t>
            </w: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Foreign currency translation adjustments</w:t>
            </w:r>
          </w:p>
        </w:tc>
        <w:tc>
          <w:tcPr>
            <w:tcW w:w="1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(3,227)</w:t>
            </w:r>
          </w:p>
        </w:tc>
        <w:tc>
          <w:tcPr>
            <w:tcW w:w="2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Other comprehensive income (loss)</w:t>
            </w:r>
          </w:p>
        </w:tc>
        <w:tc>
          <w:tcPr>
            <w:tcW w:w="1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(3,227)</w:t>
            </w:r>
          </w:p>
        </w:tc>
        <w:tc>
          <w:tcPr>
            <w:tcW w:w="2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8,816</w:t>
            </w:r>
          </w:p>
        </w:tc>
        <w:tc>
          <w:tcPr>
            <w:tcW w:w="24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13,321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877" w:right="141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6"/>
              </w:rPr>
              <w:t>Three Months Ended April 30,</w:t>
            </w:r>
          </w:p>
        </w:tc>
      </w:tr>
      <w:tr>
        <w:trPr>
          <w:trHeight w:val="142"/>
        </w:trPr>
        <w:tc>
          <w:tcPr>
            <w:tcW w:w="6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2"/>
                <w:szCs w:val="12"/>
                <w:color w:val="auto"/>
              </w:rPr>
            </w:pPr>
          </w:p>
        </w:tc>
      </w:tr>
      <w:tr>
        <w:trPr>
          <w:trHeight w:val="119"/>
        </w:trPr>
        <w:tc>
          <w:tcPr>
            <w:tcW w:w="6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40" w:type="dxa"/>
            <w:vAlign w:val="bottom"/>
            <w:gridSpan w:val="4"/>
          </w:tcPr>
          <w:p>
            <w:pPr>
              <w:jc w:val="center"/>
              <w:ind w:right="11"/>
              <w:spacing w:after="0" w:line="119" w:lineRule="exact"/>
              <w:rPr>
                <w:sz w:val="20"/>
                <w:szCs w:val="20"/>
                <w:color w:val="auto"/>
              </w:rPr>
            </w:pPr>
            <w:r>
              <w:rPr>
                <w:rFonts w:ascii="Arial" w:cs="Arial" w:eastAsia="Arial" w:hAnsi="Arial"/>
                <w:sz w:val="13"/>
                <w:szCs w:val="13"/>
                <w:b w:val="1"/>
                <w:bCs w:val="1"/>
                <w:color w:val="auto"/>
              </w:rPr>
              <w:t>(Unaudited)</w:t>
            </w:r>
          </w:p>
        </w:tc>
        <w:tc>
          <w:tcPr>
            <w:tcW w:w="20" w:type="dxa"/>
            <w:vAlign w:val="bottom"/>
          </w:tcPr>
          <w:p>
            <w:pPr>
              <w:spacing w:after="0"/>
              <w:rPr>
                <w:sz w:val="10"/>
                <w:szCs w:val="10"/>
                <w:color w:val="auto"/>
              </w:rPr>
            </w:pPr>
          </w:p>
        </w:tc>
      </w:tr>
      <w:tr>
        <w:trPr>
          <w:trHeight w:val="171"/>
        </w:trPr>
        <w:tc>
          <w:tcPr>
            <w:tcW w:w="6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3"/>
              </w:rPr>
              <w:t>(In thousands)</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26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12,043</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9,885</w:t>
            </w:r>
          </w:p>
        </w:tc>
        <w:tc>
          <w:tcPr>
            <w:tcW w:w="20" w:type="dxa"/>
            <w:vAlign w:val="bottom"/>
          </w:tcPr>
          <w:p>
            <w:pPr>
              <w:spacing w:after="0"/>
              <w:rPr>
                <w:sz w:val="18"/>
                <w:szCs w:val="18"/>
                <w:color w:val="auto"/>
              </w:rPr>
            </w:pPr>
          </w:p>
        </w:tc>
      </w:tr>
      <w:tr>
        <w:trPr>
          <w:trHeight w:val="216"/>
        </w:trPr>
        <w:tc>
          <w:tcPr>
            <w:tcW w:w="6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Adjustments to reconcile net income to net cash used in operating activities: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26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9,473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9,380</w:t>
            </w:r>
          </w:p>
        </w:tc>
        <w:tc>
          <w:tcPr>
            <w:tcW w:w="20" w:type="dxa"/>
            <w:vAlign w:val="bottom"/>
          </w:tcPr>
          <w:p>
            <w:pPr>
              <w:spacing w:after="0"/>
              <w:rPr>
                <w:sz w:val="18"/>
                <w:szCs w:val="18"/>
                <w:color w:val="auto"/>
              </w:rPr>
            </w:pPr>
          </w:p>
        </w:tc>
      </w:tr>
      <w:tr>
        <w:trPr>
          <w:trHeight w:val="216"/>
        </w:trPr>
        <w:tc>
          <w:tcPr>
            <w:tcW w:w="6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on disposal of fixed assets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r>
      <w:tr>
        <w:trPr>
          <w:trHeight w:val="216"/>
        </w:trPr>
        <w:tc>
          <w:tcPr>
            <w:tcW w:w="6260" w:type="dxa"/>
            <w:vAlign w:val="bottom"/>
          </w:tcPr>
          <w:p>
            <w:pPr>
              <w:ind w:left="220"/>
              <w:spacing w:after="0"/>
              <w:rPr>
                <w:sz w:val="20"/>
                <w:szCs w:val="20"/>
                <w:color w:val="auto"/>
              </w:rPr>
            </w:pPr>
            <w:r>
              <w:rPr>
                <w:rFonts w:ascii="Arial" w:cs="Arial" w:eastAsia="Arial" w:hAnsi="Arial"/>
                <w:sz w:val="18"/>
                <w:szCs w:val="18"/>
                <w:color w:val="auto"/>
              </w:rPr>
              <w:t>Operating lease assets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20,284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6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Gain on lease terminations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(829)</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6260" w:type="dxa"/>
            <w:vAlign w:val="bottom"/>
          </w:tcPr>
          <w:p>
            <w:pPr>
              <w:ind w:left="220"/>
              <w:spacing w:after="0"/>
              <w:rPr>
                <w:sz w:val="20"/>
                <w:szCs w:val="20"/>
                <w:color w:val="auto"/>
              </w:rPr>
            </w:pPr>
            <w:r>
              <w:rPr>
                <w:rFonts w:ascii="Arial" w:cs="Arial" w:eastAsia="Arial" w:hAnsi="Arial"/>
                <w:sz w:val="18"/>
                <w:szCs w:val="18"/>
                <w:color w:val="auto"/>
              </w:rPr>
              <w:t>Dividend received from unconsolidated affiliate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1,960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6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 (gain)/loss in unconsolidated affiliates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(358)</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20" w:type="dxa"/>
            <w:vAlign w:val="bottom"/>
          </w:tcPr>
          <w:p>
            <w:pPr>
              <w:spacing w:after="0"/>
              <w:rPr>
                <w:sz w:val="18"/>
                <w:szCs w:val="18"/>
                <w:color w:val="auto"/>
              </w:rPr>
            </w:pPr>
          </w:p>
        </w:tc>
      </w:tr>
      <w:tr>
        <w:trPr>
          <w:trHeight w:val="216"/>
        </w:trPr>
        <w:tc>
          <w:tcPr>
            <w:tcW w:w="6260" w:type="dxa"/>
            <w:vAlign w:val="bottom"/>
          </w:tcPr>
          <w:p>
            <w:pPr>
              <w:ind w:left="220"/>
              <w:spacing w:after="0"/>
              <w:rPr>
                <w:sz w:val="20"/>
                <w:szCs w:val="20"/>
                <w:color w:val="auto"/>
              </w:rPr>
            </w:pPr>
            <w:r>
              <w:rPr>
                <w:rFonts w:ascii="Arial" w:cs="Arial" w:eastAsia="Arial" w:hAnsi="Arial"/>
                <w:sz w:val="18"/>
                <w:szCs w:val="18"/>
                <w:color w:val="auto"/>
              </w:rPr>
              <w:t>Share-based compensation</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4,227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3,774</w:t>
            </w:r>
          </w:p>
        </w:tc>
        <w:tc>
          <w:tcPr>
            <w:tcW w:w="20" w:type="dxa"/>
            <w:vAlign w:val="bottom"/>
          </w:tcPr>
          <w:p>
            <w:pPr>
              <w:spacing w:after="0"/>
              <w:rPr>
                <w:sz w:val="18"/>
                <w:szCs w:val="18"/>
                <w:color w:val="auto"/>
              </w:rPr>
            </w:pPr>
          </w:p>
        </w:tc>
      </w:tr>
      <w:tr>
        <w:trPr>
          <w:trHeight w:val="216"/>
        </w:trPr>
        <w:tc>
          <w:tcPr>
            <w:tcW w:w="6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financing charges and debt discount amortization</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2,468</w:t>
            </w:r>
          </w:p>
        </w:tc>
        <w:tc>
          <w:tcPr>
            <w:tcW w:w="20" w:type="dxa"/>
            <w:vAlign w:val="bottom"/>
          </w:tcPr>
          <w:p>
            <w:pPr>
              <w:spacing w:after="0"/>
              <w:rPr>
                <w:sz w:val="18"/>
                <w:szCs w:val="18"/>
                <w:color w:val="auto"/>
              </w:rPr>
            </w:pPr>
          </w:p>
        </w:tc>
      </w:tr>
      <w:tr>
        <w:trPr>
          <w:trHeight w:val="216"/>
        </w:trPr>
        <w:tc>
          <w:tcPr>
            <w:tcW w:w="6260" w:type="dxa"/>
            <w:vAlign w:val="bottom"/>
          </w:tcPr>
          <w:p>
            <w:pPr>
              <w:ind w:left="220"/>
              <w:spacing w:after="0"/>
              <w:rPr>
                <w:sz w:val="20"/>
                <w:szCs w:val="20"/>
                <w:color w:val="auto"/>
              </w:rPr>
            </w:pPr>
            <w:r>
              <w:rPr>
                <w:rFonts w:ascii="Arial" w:cs="Arial" w:eastAsia="Arial" w:hAnsi="Arial"/>
                <w:sz w:val="18"/>
                <w:szCs w:val="18"/>
                <w:color w:val="auto"/>
              </w:rPr>
              <w:t>Deferred income taxes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6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Changes in operating assets and liabilities: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260" w:type="dxa"/>
            <w:vAlign w:val="bottom"/>
          </w:tcPr>
          <w:p>
            <w:pPr>
              <w:ind w:left="320"/>
              <w:spacing w:after="0"/>
              <w:rPr>
                <w:sz w:val="20"/>
                <w:szCs w:val="20"/>
                <w:color w:val="auto"/>
              </w:rPr>
            </w:pPr>
            <w:r>
              <w:rPr>
                <w:rFonts w:ascii="Arial" w:cs="Arial" w:eastAsia="Arial" w:hAnsi="Arial"/>
                <w:sz w:val="18"/>
                <w:szCs w:val="18"/>
                <w:color w:val="auto"/>
              </w:rPr>
              <w:t>Accounts receivable, net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23,762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8"/>
              </w:rPr>
              <w:t>(134,589)</w:t>
            </w:r>
          </w:p>
        </w:tc>
        <w:tc>
          <w:tcPr>
            <w:tcW w:w="20" w:type="dxa"/>
            <w:vAlign w:val="bottom"/>
          </w:tcPr>
          <w:p>
            <w:pPr>
              <w:spacing w:after="0"/>
              <w:rPr>
                <w:sz w:val="18"/>
                <w:szCs w:val="18"/>
                <w:color w:val="auto"/>
              </w:rPr>
            </w:pPr>
          </w:p>
        </w:tc>
      </w:tr>
      <w:tr>
        <w:trPr>
          <w:trHeight w:val="216"/>
        </w:trPr>
        <w:tc>
          <w:tcPr>
            <w:tcW w:w="62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Inventories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37,428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90,182</w:t>
            </w:r>
          </w:p>
        </w:tc>
        <w:tc>
          <w:tcPr>
            <w:tcW w:w="20" w:type="dxa"/>
            <w:vAlign w:val="bottom"/>
          </w:tcPr>
          <w:p>
            <w:pPr>
              <w:spacing w:after="0"/>
              <w:rPr>
                <w:sz w:val="18"/>
                <w:szCs w:val="18"/>
                <w:color w:val="auto"/>
              </w:rPr>
            </w:pPr>
          </w:p>
        </w:tc>
      </w:tr>
      <w:tr>
        <w:trPr>
          <w:trHeight w:val="216"/>
        </w:trPr>
        <w:tc>
          <w:tcPr>
            <w:tcW w:w="6260" w:type="dxa"/>
            <w:vAlign w:val="bottom"/>
          </w:tcPr>
          <w:p>
            <w:pPr>
              <w:ind w:left="320"/>
              <w:spacing w:after="0"/>
              <w:rPr>
                <w:sz w:val="20"/>
                <w:szCs w:val="20"/>
                <w:color w:val="auto"/>
              </w:rPr>
            </w:pPr>
            <w:r>
              <w:rPr>
                <w:rFonts w:ascii="Arial" w:cs="Arial" w:eastAsia="Arial" w:hAnsi="Arial"/>
                <w:sz w:val="18"/>
                <w:szCs w:val="18"/>
                <w:color w:val="auto"/>
              </w:rPr>
              <w:t>Income taxes, net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(6,302)</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(6,838)</w:t>
            </w:r>
          </w:p>
        </w:tc>
        <w:tc>
          <w:tcPr>
            <w:tcW w:w="20" w:type="dxa"/>
            <w:vAlign w:val="bottom"/>
          </w:tcPr>
          <w:p>
            <w:pPr>
              <w:spacing w:after="0"/>
              <w:rPr>
                <w:sz w:val="18"/>
                <w:szCs w:val="18"/>
                <w:color w:val="auto"/>
              </w:rPr>
            </w:pPr>
          </w:p>
        </w:tc>
      </w:tr>
      <w:tr>
        <w:trPr>
          <w:trHeight w:val="216"/>
        </w:trPr>
        <w:tc>
          <w:tcPr>
            <w:tcW w:w="62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Prepaid expenses and other current assets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(62,334)</w:t>
            </w:r>
          </w:p>
        </w:tc>
        <w:tc>
          <w:tcPr>
            <w:tcW w:w="20" w:type="dxa"/>
            <w:vAlign w:val="bottom"/>
          </w:tcPr>
          <w:p>
            <w:pPr>
              <w:spacing w:after="0"/>
              <w:rPr>
                <w:sz w:val="18"/>
                <w:szCs w:val="18"/>
                <w:color w:val="auto"/>
              </w:rPr>
            </w:pPr>
          </w:p>
        </w:tc>
      </w:tr>
      <w:tr>
        <w:trPr>
          <w:trHeight w:val="216"/>
        </w:trPr>
        <w:tc>
          <w:tcPr>
            <w:tcW w:w="6260" w:type="dxa"/>
            <w:vAlign w:val="bottom"/>
          </w:tcPr>
          <w:p>
            <w:pPr>
              <w:ind w:left="320"/>
              <w:spacing w:after="0"/>
              <w:rPr>
                <w:sz w:val="20"/>
                <w:szCs w:val="20"/>
                <w:color w:val="auto"/>
              </w:rPr>
            </w:pPr>
            <w:r>
              <w:rPr>
                <w:rFonts w:ascii="Arial" w:cs="Arial" w:eastAsia="Arial" w:hAnsi="Arial"/>
                <w:sz w:val="18"/>
                <w:szCs w:val="18"/>
                <w:color w:val="auto"/>
              </w:rPr>
              <w:t>Other assets, net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(1,195)</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(4,161)</w:t>
            </w:r>
          </w:p>
        </w:tc>
        <w:tc>
          <w:tcPr>
            <w:tcW w:w="20" w:type="dxa"/>
            <w:vAlign w:val="bottom"/>
          </w:tcPr>
          <w:p>
            <w:pPr>
              <w:spacing w:after="0"/>
              <w:rPr>
                <w:sz w:val="18"/>
                <w:szCs w:val="18"/>
                <w:color w:val="auto"/>
              </w:rPr>
            </w:pPr>
          </w:p>
        </w:tc>
      </w:tr>
      <w:tr>
        <w:trPr>
          <w:trHeight w:val="216"/>
        </w:trPr>
        <w:tc>
          <w:tcPr>
            <w:tcW w:w="62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Customer refund liabilities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(33,279)</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148,101</w:t>
            </w:r>
          </w:p>
        </w:tc>
        <w:tc>
          <w:tcPr>
            <w:tcW w:w="20" w:type="dxa"/>
            <w:vAlign w:val="bottom"/>
          </w:tcPr>
          <w:p>
            <w:pPr>
              <w:spacing w:after="0"/>
              <w:rPr>
                <w:sz w:val="18"/>
                <w:szCs w:val="18"/>
                <w:color w:val="auto"/>
              </w:rPr>
            </w:pPr>
          </w:p>
        </w:tc>
      </w:tr>
      <w:tr>
        <w:trPr>
          <w:trHeight w:val="216"/>
        </w:trPr>
        <w:tc>
          <w:tcPr>
            <w:tcW w:w="6260" w:type="dxa"/>
            <w:vAlign w:val="bottom"/>
          </w:tcPr>
          <w:p>
            <w:pPr>
              <w:ind w:left="320"/>
              <w:spacing w:after="0"/>
              <w:rPr>
                <w:sz w:val="20"/>
                <w:szCs w:val="20"/>
                <w:color w:val="auto"/>
              </w:rPr>
            </w:pPr>
            <w:r>
              <w:rPr>
                <w:rFonts w:ascii="Arial" w:cs="Arial" w:eastAsia="Arial" w:hAnsi="Arial"/>
                <w:sz w:val="18"/>
                <w:szCs w:val="18"/>
                <w:color w:val="auto"/>
              </w:rPr>
              <w:t>Operating lease liabilities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(21,544)</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62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payable, accrued expenses and other liabilities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(74,979)</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(81,575)</w:t>
            </w:r>
          </w:p>
        </w:tc>
        <w:tc>
          <w:tcPr>
            <w:tcW w:w="20" w:type="dxa"/>
            <w:vAlign w:val="bottom"/>
          </w:tcPr>
          <w:p>
            <w:pPr>
              <w:spacing w:after="0"/>
              <w:rPr>
                <w:sz w:val="18"/>
                <w:szCs w:val="18"/>
                <w:color w:val="auto"/>
              </w:rPr>
            </w:pPr>
          </w:p>
        </w:tc>
      </w:tr>
      <w:tr>
        <w:trPr>
          <w:trHeight w:val="210"/>
        </w:trPr>
        <w:tc>
          <w:tcPr>
            <w:tcW w:w="62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Net cash used in operating activities</w:t>
            </w:r>
          </w:p>
        </w:tc>
        <w:tc>
          <w:tcPr>
            <w:tcW w:w="6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(25,329)</w:t>
            </w:r>
          </w:p>
        </w:tc>
        <w:tc>
          <w:tcPr>
            <w:tcW w:w="2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(24,315)</w:t>
            </w:r>
          </w:p>
        </w:tc>
        <w:tc>
          <w:tcPr>
            <w:tcW w:w="20" w:type="dxa"/>
            <w:vAlign w:val="bottom"/>
          </w:tcPr>
          <w:p>
            <w:pPr>
              <w:spacing w:after="0"/>
              <w:rPr>
                <w:sz w:val="18"/>
                <w:szCs w:val="18"/>
                <w:color w:val="auto"/>
              </w:rPr>
            </w:pPr>
          </w:p>
        </w:tc>
      </w:tr>
      <w:tr>
        <w:trPr>
          <w:trHeight w:val="210"/>
        </w:trPr>
        <w:tc>
          <w:tcPr>
            <w:tcW w:w="6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Capital expenditures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(13,291)</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(5,330)</w:t>
            </w:r>
          </w:p>
        </w:tc>
        <w:tc>
          <w:tcPr>
            <w:tcW w:w="20" w:type="dxa"/>
            <w:vAlign w:val="bottom"/>
          </w:tcPr>
          <w:p>
            <w:pPr>
              <w:spacing w:after="0"/>
              <w:rPr>
                <w:sz w:val="18"/>
                <w:szCs w:val="18"/>
                <w:color w:val="auto"/>
              </w:rPr>
            </w:pPr>
          </w:p>
        </w:tc>
      </w:tr>
      <w:tr>
        <w:trPr>
          <w:trHeight w:val="216"/>
        </w:trPr>
        <w:tc>
          <w:tcPr>
            <w:tcW w:w="6260" w:type="dxa"/>
            <w:vAlign w:val="bottom"/>
          </w:tcPr>
          <w:p>
            <w:pPr>
              <w:ind w:left="220"/>
              <w:spacing w:after="0"/>
              <w:rPr>
                <w:sz w:val="20"/>
                <w:szCs w:val="20"/>
                <w:color w:val="auto"/>
              </w:rPr>
            </w:pPr>
            <w:r>
              <w:rPr>
                <w:rFonts w:ascii="Arial" w:cs="Arial" w:eastAsia="Arial" w:hAnsi="Arial"/>
                <w:sz w:val="18"/>
                <w:szCs w:val="18"/>
                <w:color w:val="auto"/>
              </w:rPr>
              <w:t>Net cash used in investing activities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(13,291)</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(5,330)</w:t>
            </w:r>
          </w:p>
        </w:tc>
        <w:tc>
          <w:tcPr>
            <w:tcW w:w="20" w:type="dxa"/>
            <w:vAlign w:val="bottom"/>
          </w:tcPr>
          <w:p>
            <w:pPr>
              <w:spacing w:after="0"/>
              <w:rPr>
                <w:sz w:val="18"/>
                <w:szCs w:val="18"/>
                <w:color w:val="auto"/>
              </w:rPr>
            </w:pPr>
          </w:p>
        </w:tc>
      </w:tr>
      <w:tr>
        <w:trPr>
          <w:trHeight w:val="210"/>
        </w:trPr>
        <w:tc>
          <w:tcPr>
            <w:tcW w:w="62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Repayment of borrowings - revolving facility</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(482,496)</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(464,453)</w:t>
            </w:r>
          </w:p>
        </w:tc>
        <w:tc>
          <w:tcPr>
            <w:tcW w:w="20" w:type="dxa"/>
            <w:vAlign w:val="bottom"/>
          </w:tcPr>
          <w:p>
            <w:pPr>
              <w:spacing w:after="0"/>
              <w:rPr>
                <w:sz w:val="18"/>
                <w:szCs w:val="18"/>
                <w:color w:val="auto"/>
              </w:rPr>
            </w:pPr>
          </w:p>
        </w:tc>
      </w:tr>
      <w:tr>
        <w:trPr>
          <w:trHeight w:val="216"/>
        </w:trPr>
        <w:tc>
          <w:tcPr>
            <w:tcW w:w="6260" w:type="dxa"/>
            <w:vAlign w:val="bottom"/>
          </w:tcPr>
          <w:p>
            <w:pPr>
              <w:ind w:left="120"/>
              <w:spacing w:after="0"/>
              <w:rPr>
                <w:sz w:val="20"/>
                <w:szCs w:val="20"/>
                <w:color w:val="auto"/>
              </w:rPr>
            </w:pPr>
            <w:r>
              <w:rPr>
                <w:rFonts w:ascii="Arial" w:cs="Arial" w:eastAsia="Arial" w:hAnsi="Arial"/>
                <w:sz w:val="18"/>
                <w:szCs w:val="18"/>
                <w:color w:val="auto"/>
              </w:rPr>
              <w:t>Proceeds from borrowings - revolving facility</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505,005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519,827</w:t>
            </w:r>
          </w:p>
        </w:tc>
        <w:tc>
          <w:tcPr>
            <w:tcW w:w="20" w:type="dxa"/>
            <w:vAlign w:val="bottom"/>
          </w:tcPr>
          <w:p>
            <w:pPr>
              <w:spacing w:after="0"/>
              <w:rPr>
                <w:sz w:val="18"/>
                <w:szCs w:val="18"/>
                <w:color w:val="auto"/>
              </w:rPr>
            </w:pPr>
          </w:p>
        </w:tc>
      </w:tr>
      <w:tr>
        <w:trPr>
          <w:trHeight w:val="216"/>
        </w:trPr>
        <w:tc>
          <w:tcPr>
            <w:tcW w:w="6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Proceeds from exercise of equity awards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r>
      <w:tr>
        <w:trPr>
          <w:trHeight w:val="216"/>
        </w:trPr>
        <w:tc>
          <w:tcPr>
            <w:tcW w:w="6260" w:type="dxa"/>
            <w:vAlign w:val="bottom"/>
          </w:tcPr>
          <w:p>
            <w:pPr>
              <w:ind w:left="120"/>
              <w:spacing w:after="0"/>
              <w:rPr>
                <w:sz w:val="20"/>
                <w:szCs w:val="20"/>
                <w:color w:val="auto"/>
              </w:rPr>
            </w:pPr>
            <w:r>
              <w:rPr>
                <w:rFonts w:ascii="Arial" w:cs="Arial" w:eastAsia="Arial" w:hAnsi="Arial"/>
                <w:sz w:val="18"/>
                <w:szCs w:val="18"/>
                <w:color w:val="auto"/>
              </w:rPr>
              <w:t>Taxes paid for net share settlements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(5,686)</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(1,085)</w:t>
            </w:r>
          </w:p>
        </w:tc>
        <w:tc>
          <w:tcPr>
            <w:tcW w:w="20" w:type="dxa"/>
            <w:vAlign w:val="bottom"/>
          </w:tcPr>
          <w:p>
            <w:pPr>
              <w:spacing w:after="0"/>
              <w:rPr>
                <w:sz w:val="18"/>
                <w:szCs w:val="18"/>
                <w:color w:val="auto"/>
              </w:rPr>
            </w:pPr>
          </w:p>
        </w:tc>
      </w:tr>
      <w:tr>
        <w:trPr>
          <w:trHeight w:val="210"/>
        </w:trPr>
        <w:tc>
          <w:tcPr>
            <w:tcW w:w="626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cash provided by financing activities</w:t>
            </w:r>
          </w:p>
        </w:tc>
        <w:tc>
          <w:tcPr>
            <w:tcW w:w="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16,863</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54,345</w:t>
            </w:r>
          </w:p>
        </w:tc>
        <w:tc>
          <w:tcPr>
            <w:tcW w:w="20" w:type="dxa"/>
            <w:vAlign w:val="bottom"/>
          </w:tcPr>
          <w:p>
            <w:pPr>
              <w:spacing w:after="0"/>
              <w:rPr>
                <w:sz w:val="18"/>
                <w:szCs w:val="18"/>
                <w:color w:val="auto"/>
              </w:rPr>
            </w:pPr>
          </w:p>
        </w:tc>
      </w:tr>
      <w:tr>
        <w:trPr>
          <w:trHeight w:val="210"/>
        </w:trPr>
        <w:tc>
          <w:tcPr>
            <w:tcW w:w="6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20" w:type="dxa"/>
            <w:vAlign w:val="bottom"/>
          </w:tcPr>
          <w:p>
            <w:pPr>
              <w:spacing w:after="0"/>
              <w:rPr>
                <w:sz w:val="18"/>
                <w:szCs w:val="18"/>
                <w:color w:val="auto"/>
              </w:rPr>
            </w:pPr>
          </w:p>
        </w:tc>
      </w:tr>
      <w:tr>
        <w:trPr>
          <w:trHeight w:val="210"/>
        </w:trPr>
        <w:tc>
          <w:tcPr>
            <w:tcW w:w="6260" w:type="dxa"/>
            <w:vAlign w:val="bottom"/>
          </w:tcPr>
          <w:p>
            <w:pPr>
              <w:ind w:left="220"/>
              <w:spacing w:after="0"/>
              <w:rPr>
                <w:sz w:val="20"/>
                <w:szCs w:val="20"/>
                <w:color w:val="auto"/>
              </w:rPr>
            </w:pPr>
            <w:r>
              <w:rPr>
                <w:rFonts w:ascii="Arial" w:cs="Arial" w:eastAsia="Arial" w:hAnsi="Arial"/>
                <w:sz w:val="18"/>
                <w:szCs w:val="18"/>
                <w:color w:val="auto"/>
              </w:rPr>
              <w:t>Net increase (decrease) in cash and cash equivalents</w:t>
            </w:r>
          </w:p>
        </w:tc>
        <w:tc>
          <w:tcPr>
            <w:tcW w:w="6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(21,826)</w:t>
            </w: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25,272</w:t>
            </w:r>
          </w:p>
        </w:tc>
        <w:tc>
          <w:tcPr>
            <w:tcW w:w="20" w:type="dxa"/>
            <w:vAlign w:val="bottom"/>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70,138</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45,776</w:t>
            </w:r>
          </w:p>
        </w:tc>
        <w:tc>
          <w:tcPr>
            <w:tcW w:w="20" w:type="dxa"/>
            <w:vAlign w:val="bottom"/>
          </w:tcPr>
          <w:p>
            <w:pPr>
              <w:spacing w:after="0"/>
              <w:rPr>
                <w:sz w:val="18"/>
                <w:szCs w:val="18"/>
                <w:color w:val="auto"/>
              </w:rPr>
            </w:pPr>
          </w:p>
        </w:tc>
      </w:tr>
      <w:tr>
        <w:trPr>
          <w:trHeight w:val="217"/>
        </w:trPr>
        <w:tc>
          <w:tcPr>
            <w:tcW w:w="6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at end of period</w:t>
            </w:r>
          </w:p>
        </w:tc>
        <w:tc>
          <w:tcPr>
            <w:tcW w:w="6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48,312</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71,048</w:t>
            </w:r>
          </w:p>
        </w:tc>
        <w:tc>
          <w:tcPr>
            <w:tcW w:w="20" w:type="dxa"/>
            <w:vAlign w:val="bottom"/>
          </w:tcPr>
          <w:p>
            <w:pPr>
              <w:spacing w:after="0"/>
              <w:rPr>
                <w:sz w:val="18"/>
                <w:szCs w:val="18"/>
                <w:color w:val="auto"/>
              </w:rPr>
            </w:pPr>
          </w:p>
        </w:tc>
      </w:tr>
      <w:tr>
        <w:trPr>
          <w:trHeight w:val="216"/>
        </w:trPr>
        <w:tc>
          <w:tcPr>
            <w:tcW w:w="6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Supplemental disclosures of cash flow information</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payments: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260" w:type="dxa"/>
            <w:vAlign w:val="bottom"/>
          </w:tcPr>
          <w:p>
            <w:pPr>
              <w:ind w:left="220"/>
              <w:spacing w:after="0"/>
              <w:rPr>
                <w:sz w:val="20"/>
                <w:szCs w:val="20"/>
                <w:color w:val="auto"/>
              </w:rPr>
            </w:pPr>
            <w:r>
              <w:rPr>
                <w:rFonts w:ascii="Arial" w:cs="Arial" w:eastAsia="Arial" w:hAnsi="Arial"/>
                <w:sz w:val="18"/>
                <w:szCs w:val="18"/>
                <w:color w:val="auto"/>
              </w:rPr>
              <w:t>Interest, net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7,542</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6,578</w:t>
            </w:r>
          </w:p>
        </w:tc>
        <w:tc>
          <w:tcPr>
            <w:tcW w:w="20" w:type="dxa"/>
            <w:vAlign w:val="bottom"/>
          </w:tcPr>
          <w:p>
            <w:pPr>
              <w:spacing w:after="0"/>
              <w:rPr>
                <w:sz w:val="18"/>
                <w:szCs w:val="18"/>
                <w:color w:val="auto"/>
              </w:rPr>
            </w:pPr>
          </w:p>
        </w:tc>
      </w:tr>
      <w:tr>
        <w:trPr>
          <w:trHeight w:val="216"/>
        </w:trPr>
        <w:tc>
          <w:tcPr>
            <w:tcW w:w="6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payments, net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9,930</w:t>
            </w:r>
          </w:p>
        </w:tc>
        <w:tc>
          <w:tcPr>
            <w:tcW w:w="20" w:type="dxa"/>
            <w:vAlign w:val="bottom"/>
          </w:tcPr>
          <w:p>
            <w:pPr>
              <w:spacing w:after="0"/>
              <w:rPr>
                <w:sz w:val="18"/>
                <w:szCs w:val="18"/>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877" w:right="141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25"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1 – Basis of Presentation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used in these financial statements, the term “Company” or “G-III” refers to G-III Apparel Group, Ltd. and its subsidiaries. The Company designs, sources and markets an extensive range of apparel, including outerwear, dresses, sportswear, swimwear, women’s suits and women’s performance wear, as well as women’s handbags, footwear, small leather goods, cold weather accessories and luggage. The Company also operates retail stores and licenses its proprietary brands under several product categories.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consolidates the accounts of its wholly-owned and majority-owned subsidiaries. KL North America B.V. (“KLNA”) and Fabco Holding B.V. (“Fabco”) are Dutch joint venture limited liability companies that are 49% owned by the Company. Karl Lagerfeld Holding B.V. is a Dutch limited liability company that is 19% owned by the Company. These investments are accounted for using the equity method of accounting. All material intercompany balances and transactions have been eliminated.</w:t>
      </w:r>
    </w:p>
    <w:p>
      <w:pPr>
        <w:spacing w:after="0" w:line="188"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color w:val="auto"/>
        </w:rPr>
        <w:t>Vilebrequin International SA (“Vilebrequin”), a Swiss corporation that is wholly-owned by the Company, KLH, KLNA and Fabco report results on a calendar year basis rather than on the January 31 fiscal year basis used by the Company. Accordingly, the results of Vilebrequin, KLH, KLNA and Fabco are, and will be, included in the financial statements for the quarter ended or ending closest to the Company’s fiscal quarter. For example, with respect to the Company’s results for the three-month period ended April 30, 2019, the results of Vilebrequin, KLH, KLNA and Fabco are included for the three-month period ended March 31, 2019. The Company’s retail operations segment reports on a 52/53</w:t>
      </w:r>
      <w:r>
        <w:rPr>
          <w:rFonts w:ascii="MS PGothic" w:cs="MS PGothic" w:eastAsia="MS PGothic" w:hAnsi="MS PGothic"/>
          <w:sz w:val="18"/>
          <w:szCs w:val="18"/>
          <w:color w:val="auto"/>
        </w:rPr>
        <w:t>‑</w:t>
      </w:r>
      <w:r>
        <w:rPr>
          <w:rFonts w:ascii="Arial" w:cs="Arial" w:eastAsia="Arial" w:hAnsi="Arial"/>
          <w:sz w:val="18"/>
          <w:szCs w:val="18"/>
          <w:color w:val="auto"/>
        </w:rPr>
        <w:t>week fiscal year. The Company’s three month periods ended April 30, 2019 and 2018 were each 13</w:t>
      </w:r>
      <w:r>
        <w:rPr>
          <w:rFonts w:ascii="MS PGothic" w:cs="MS PGothic" w:eastAsia="MS PGothic" w:hAnsi="MS PGothic"/>
          <w:sz w:val="18"/>
          <w:szCs w:val="18"/>
          <w:color w:val="auto"/>
        </w:rPr>
        <w:t>‑</w:t>
      </w:r>
      <w:r>
        <w:rPr>
          <w:rFonts w:ascii="Arial" w:cs="Arial" w:eastAsia="Arial" w:hAnsi="Arial"/>
          <w:sz w:val="18"/>
          <w:szCs w:val="18"/>
          <w:color w:val="auto"/>
        </w:rPr>
        <w:t>week fiscal quarters for the retail operations segment. For fiscal 2020 and 2019, the three month period for the retail operations segment ended on May 4, 2019 and May 5, 2018, respectively.</w:t>
      </w:r>
    </w:p>
    <w:p>
      <w:pPr>
        <w:spacing w:after="0" w:line="20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results for the three months ended April 30, 2019 are not necessarily indicative of the results expected for the entire fiscal year, given the seasonal nature of the Company’s business. The accompanying financial statements included herein are unaudited. All adjustments (consisting of only normal recurring adjustments) necessary for a fair presentation of the financial position, results of operations and cash flows for the interim period presented have been reflected.</w:t>
      </w:r>
    </w:p>
    <w:p>
      <w:pPr>
        <w:spacing w:after="0" w:line="171" w:lineRule="exact"/>
        <w:rPr>
          <w:sz w:val="20"/>
          <w:szCs w:val="20"/>
          <w:color w:val="auto"/>
        </w:rPr>
      </w:pPr>
    </w:p>
    <w:p>
      <w:pPr>
        <w:jc w:val="both"/>
        <w:spacing w:after="0" w:line="221" w:lineRule="exact"/>
        <w:rPr>
          <w:sz w:val="20"/>
          <w:szCs w:val="20"/>
          <w:color w:val="auto"/>
        </w:rPr>
      </w:pPr>
      <w:r>
        <w:rPr>
          <w:rFonts w:ascii="Arial" w:cs="Arial" w:eastAsia="Arial" w:hAnsi="Arial"/>
          <w:sz w:val="18"/>
          <w:szCs w:val="18"/>
          <w:color w:val="auto"/>
        </w:rPr>
        <w:t>The accompanying financial statements should be read in conjunction with the financial statements and notes included in the Company’s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fiscal year ended January 31, 2019 filed with the Securities and Exchange Commission (the “SEC”).</w:t>
      </w:r>
    </w:p>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Assets and liabilities of the Company’s foreign operations, where the functional currency is not the U.S. Dollar (reporting currency), are translated from foreign currency into U.S. dollars at period-end rates, while income and expenses are translated at the weighted-average exchange rates for the period. The related translation adjustments are reflected as a foreign currency translation adjustment in accumulated other comprehensive loss within stockholders’ equity.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2 – Inventories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Wholesale inventories, which comprise a significant portion of the Company’s inventory, are stated at the lower of cost (determined by the first-in, first-out method) or net realizable value. Retail inventories are valued at the lower of cost or market as determined by the retail inventory method. Vilebrequin inventories are stated at the lower of cost (determined by the weighted average method) or net realizable value. Substantially all of the Company’s inventories consist of finished goods.</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inventory return asset, which consists of the amount of goods that are anticipated to be returned by customers, represented $35.5 million, $42.4 million and $39.4 million as of April 30, 2019, January 31, 2019 and April 30, 2018, respectively. The inventory return asset is recorded within prepaid expenses and other current assets.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877" w:right="1419" w:bottom="1440" w:gutter="0" w:footer="0" w:header="0"/>
        </w:sectPr>
      </w:pPr>
    </w:p>
    <w:bookmarkStart w:id="6" w:name="page7"/>
    <w:bookmarkEnd w:id="6"/>
    <w:p>
      <w:pPr>
        <w:jc w:val="both"/>
        <w:spacing w:after="0" w:line="264" w:lineRule="auto"/>
        <w:rPr>
          <w:sz w:val="20"/>
          <w:szCs w:val="20"/>
          <w:color w:val="auto"/>
        </w:rPr>
      </w:pPr>
      <w:r>
        <w:rPr>
          <w:rFonts w:ascii="Arial" w:cs="Arial" w:eastAsia="Arial" w:hAnsi="Arial"/>
          <w:sz w:val="18"/>
          <w:szCs w:val="18"/>
          <w:color w:val="auto"/>
        </w:rPr>
        <w:t>Inventory held on consignment by the Company’s customers totaled $3.8 million, $4.9 million and $2.9 million at April 30, 2019, January 31, 2019 and April 30, 2018, respectively. The Company retains the title to its inventory stored at its customers’ facilities.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3 – Fair Value of Financial Instruments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Generally Accepted Accounting Principles establishes a three-level valuation hierarchy for disclosure of fair value measurements. The determination of the applicable level within the hierarchy for a particular asset or liability depends on the inputs used in its valuation as of the measurement date, notably the extent to which the inputs are market-based (observable) or internally-derived (unobservable). A financial instrument’s categorization within the valuation hierarchy is based upon the lowest level of input that is significant to the fair value measurement. The three levels are defined as follows:</w:t>
      </w:r>
    </w:p>
    <w:p>
      <w:pPr>
        <w:spacing w:after="0" w:line="158" w:lineRule="exact"/>
        <w:rPr>
          <w:sz w:val="20"/>
          <w:szCs w:val="20"/>
          <w:color w:val="auto"/>
        </w:rPr>
      </w:pPr>
    </w:p>
    <w:p>
      <w:pPr>
        <w:ind w:left="660" w:hanging="333"/>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 inputs to the valuation methodology based on quoted prices (unadjusted) for identical assets or liabilities in active markets.</w:t>
      </w:r>
    </w:p>
    <w:p>
      <w:pPr>
        <w:spacing w:after="0" w:line="170" w:lineRule="exact"/>
        <w:rPr>
          <w:rFonts w:ascii="Arial" w:cs="Arial" w:eastAsia="Arial" w:hAnsi="Arial"/>
          <w:sz w:val="18"/>
          <w:szCs w:val="18"/>
          <w:color w:val="auto"/>
        </w:rPr>
      </w:pPr>
    </w:p>
    <w:p>
      <w:pPr>
        <w:jc w:val="both"/>
        <w:ind w:left="660" w:hanging="333"/>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 — inputs to the valuation methodology based on quoted prices for similar assets or liabilities in active markets for substantially the full term of the financial instrument; quoted prices for identical or similar instruments in markets that are not active for substantially the full term of the financial instrument; and model-derived valuations whose inputs or significant value drivers are observable.</w:t>
      </w:r>
    </w:p>
    <w:p>
      <w:pPr>
        <w:spacing w:after="0" w:line="186"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 — inputs to the valuation methodology based on unobservable prices or valuation techniques that are significant to the fair value measurement.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carrying values and the estimated fair values of the Company’s debt instruments: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Carrying Value</w:t>
            </w:r>
          </w:p>
        </w:tc>
        <w:tc>
          <w:tcPr>
            <w:tcW w:w="9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Financial Instrument</w:t>
            </w: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Level</w:t>
            </w:r>
          </w:p>
        </w:tc>
        <w:tc>
          <w:tcPr>
            <w:tcW w:w="160" w:type="dxa"/>
            <w:vAlign w:val="bottom"/>
          </w:tcPr>
          <w:p>
            <w:pPr>
              <w:spacing w:after="0"/>
              <w:rPr>
                <w:sz w:val="10"/>
                <w:szCs w:val="10"/>
                <w:color w:val="auto"/>
              </w:rPr>
            </w:pPr>
          </w:p>
        </w:tc>
        <w:tc>
          <w:tcPr>
            <w:tcW w:w="900" w:type="dxa"/>
            <w:vAlign w:val="bottom"/>
          </w:tcPr>
          <w:p>
            <w:pPr>
              <w:jc w:val="right"/>
              <w:ind w:right="113"/>
              <w:spacing w:after="0" w:line="119" w:lineRule="exact"/>
              <w:rPr>
                <w:sz w:val="20"/>
                <w:szCs w:val="20"/>
                <w:color w:val="auto"/>
              </w:rPr>
            </w:pPr>
            <w:r>
              <w:rPr>
                <w:rFonts w:ascii="Arial" w:cs="Arial" w:eastAsia="Arial" w:hAnsi="Arial"/>
                <w:sz w:val="13"/>
                <w:szCs w:val="13"/>
                <w:b w:val="1"/>
                <w:bCs w:val="1"/>
                <w:color w:val="auto"/>
              </w:rPr>
              <w:t>April 30,</w:t>
            </w:r>
          </w:p>
        </w:tc>
        <w:tc>
          <w:tcPr>
            <w:tcW w:w="10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April 30,</w:t>
            </w:r>
          </w:p>
        </w:tc>
        <w:tc>
          <w:tcPr>
            <w:tcW w:w="9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January 31,</w:t>
            </w:r>
          </w:p>
        </w:tc>
        <w:tc>
          <w:tcPr>
            <w:tcW w:w="140" w:type="dxa"/>
            <w:vAlign w:val="bottom"/>
          </w:tcPr>
          <w:p>
            <w:pPr>
              <w:spacing w:after="0"/>
              <w:rPr>
                <w:sz w:val="10"/>
                <w:szCs w:val="10"/>
                <w:color w:val="auto"/>
              </w:rPr>
            </w:pPr>
          </w:p>
        </w:tc>
        <w:tc>
          <w:tcPr>
            <w:tcW w:w="900" w:type="dxa"/>
            <w:vAlign w:val="bottom"/>
          </w:tcPr>
          <w:p>
            <w:pPr>
              <w:jc w:val="right"/>
              <w:ind w:right="113"/>
              <w:spacing w:after="0" w:line="119" w:lineRule="exact"/>
              <w:rPr>
                <w:sz w:val="20"/>
                <w:szCs w:val="20"/>
                <w:color w:val="auto"/>
              </w:rPr>
            </w:pPr>
            <w:r>
              <w:rPr>
                <w:rFonts w:ascii="Arial" w:cs="Arial" w:eastAsia="Arial" w:hAnsi="Arial"/>
                <w:sz w:val="13"/>
                <w:szCs w:val="13"/>
                <w:b w:val="1"/>
                <w:bCs w:val="1"/>
                <w:color w:val="auto"/>
              </w:rPr>
              <w:t>April 30,</w:t>
            </w:r>
          </w:p>
        </w:tc>
        <w:tc>
          <w:tcPr>
            <w:tcW w:w="9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April 30,</w:t>
            </w:r>
          </w:p>
        </w:tc>
        <w:tc>
          <w:tcPr>
            <w:tcW w:w="9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January 31,</w:t>
            </w:r>
          </w:p>
        </w:tc>
        <w:tc>
          <w:tcPr>
            <w:tcW w:w="0" w:type="dxa"/>
            <w:vAlign w:val="bottom"/>
          </w:tcPr>
          <w:p>
            <w:pPr>
              <w:spacing w:after="0"/>
              <w:rPr>
                <w:sz w:val="1"/>
                <w:szCs w:val="1"/>
                <w:color w:val="auto"/>
              </w:rPr>
            </w:pPr>
          </w:p>
        </w:tc>
      </w:tr>
      <w:tr>
        <w:trPr>
          <w:trHeight w:val="171"/>
        </w:trPr>
        <w:tc>
          <w:tcPr>
            <w:tcW w:w="2280" w:type="dxa"/>
            <w:vAlign w:val="bottom"/>
            <w:gridSpan w:val="2"/>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060" w:type="dxa"/>
            <w:vAlign w:val="bottom"/>
            <w:gridSpan w:val="2"/>
          </w:tcPr>
          <w:p>
            <w:pPr>
              <w:jc w:val="right"/>
              <w:ind w:right="233"/>
              <w:spacing w:after="0"/>
              <w:rPr>
                <w:sz w:val="20"/>
                <w:szCs w:val="20"/>
                <w:color w:val="auto"/>
              </w:rPr>
            </w:pPr>
            <w:r>
              <w:rPr>
                <w:rFonts w:ascii="Arial" w:cs="Arial" w:eastAsia="Arial" w:hAnsi="Arial"/>
                <w:sz w:val="14"/>
                <w:szCs w:val="14"/>
                <w:b w:val="1"/>
                <w:bCs w:val="1"/>
                <w:color w:val="auto"/>
              </w:rPr>
              <w:t>2019</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6"/>
              </w:rPr>
              <w:t>2018</w:t>
            </w:r>
          </w:p>
        </w:tc>
        <w:tc>
          <w:tcPr>
            <w:tcW w:w="920" w:type="dxa"/>
            <w:vAlign w:val="bottom"/>
          </w:tcPr>
          <w:p>
            <w:pPr>
              <w:jc w:val="right"/>
              <w:ind w:right="220"/>
              <w:spacing w:after="0"/>
              <w:rPr>
                <w:sz w:val="20"/>
                <w:szCs w:val="20"/>
                <w:color w:val="auto"/>
              </w:rPr>
            </w:pPr>
            <w:r>
              <w:rPr>
                <w:rFonts w:ascii="Arial" w:cs="Arial" w:eastAsia="Arial" w:hAnsi="Arial"/>
                <w:sz w:val="14"/>
                <w:szCs w:val="14"/>
                <w:b w:val="1"/>
                <w:bCs w:val="1"/>
                <w:color w:val="auto"/>
              </w:rPr>
              <w:t>2019</w:t>
            </w:r>
          </w:p>
        </w:tc>
        <w:tc>
          <w:tcPr>
            <w:tcW w:w="1040" w:type="dxa"/>
            <w:vAlign w:val="bottom"/>
            <w:gridSpan w:val="2"/>
          </w:tcPr>
          <w:p>
            <w:pPr>
              <w:jc w:val="right"/>
              <w:ind w:right="253"/>
              <w:spacing w:after="0"/>
              <w:rPr>
                <w:sz w:val="20"/>
                <w:szCs w:val="20"/>
                <w:color w:val="auto"/>
              </w:rPr>
            </w:pPr>
            <w:r>
              <w:rPr>
                <w:rFonts w:ascii="Arial" w:cs="Arial" w:eastAsia="Arial" w:hAnsi="Arial"/>
                <w:sz w:val="14"/>
                <w:szCs w:val="14"/>
                <w:b w:val="1"/>
                <w:bCs w:val="1"/>
                <w:color w:val="auto"/>
              </w:rPr>
              <w:t>2019</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2018</w:t>
            </w:r>
          </w:p>
        </w:tc>
        <w:tc>
          <w:tcPr>
            <w:tcW w:w="920" w:type="dxa"/>
            <w:vAlign w:val="bottom"/>
          </w:tcPr>
          <w:p>
            <w:pPr>
              <w:jc w:val="right"/>
              <w:ind w:right="19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42"/>
        </w:trPr>
        <w:tc>
          <w:tcPr>
            <w:tcW w:w="21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960" w:type="dxa"/>
            <w:vAlign w:val="bottom"/>
            <w:tcBorders>
              <w:top w:val="single" w:sz="8" w:color="auto"/>
            </w:tcBorders>
            <w:gridSpan w:val="3"/>
          </w:tcPr>
          <w:p>
            <w:pPr>
              <w:jc w:val="right"/>
              <w:ind w:right="493"/>
              <w:spacing w:after="0" w:line="142" w:lineRule="exact"/>
              <w:rPr>
                <w:sz w:val="20"/>
                <w:szCs w:val="20"/>
                <w:color w:val="auto"/>
              </w:rPr>
            </w:pPr>
            <w:r>
              <w:rPr>
                <w:rFonts w:ascii="Arial" w:cs="Arial" w:eastAsia="Arial" w:hAnsi="Arial"/>
                <w:sz w:val="14"/>
                <w:szCs w:val="14"/>
                <w:b w:val="1"/>
                <w:bCs w:val="1"/>
                <w:color w:val="auto"/>
              </w:rPr>
              <w:t>(In thousands)</w:t>
            </w:r>
          </w:p>
        </w:tc>
        <w:tc>
          <w:tcPr>
            <w:tcW w:w="9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Term loan</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300,000</w:t>
            </w: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  300,000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  300,000</w:t>
            </w:r>
          </w:p>
        </w:tc>
        <w:tc>
          <w:tcPr>
            <w:tcW w:w="1040" w:type="dxa"/>
            <w:vAlign w:val="bottom"/>
            <w:gridSpan w:val="2"/>
            <w:shd w:val="clear" w:color="auto" w:fill="CCEEFF"/>
          </w:tcPr>
          <w:p>
            <w:pPr>
              <w:jc w:val="right"/>
              <w:ind w:right="13"/>
              <w:spacing w:after="0"/>
              <w:rPr>
                <w:sz w:val="20"/>
                <w:szCs w:val="20"/>
                <w:color w:val="auto"/>
              </w:rPr>
            </w:pPr>
            <w:r>
              <w:rPr>
                <w:rFonts w:ascii="Arial" w:cs="Arial" w:eastAsia="Arial" w:hAnsi="Arial"/>
                <w:sz w:val="18"/>
                <w:szCs w:val="18"/>
                <w:color w:val="auto"/>
              </w:rPr>
              <w:t>$  300,000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300,000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300,000</w:t>
            </w:r>
          </w:p>
        </w:tc>
        <w:tc>
          <w:tcPr>
            <w:tcW w:w="0" w:type="dxa"/>
            <w:vAlign w:val="bottom"/>
          </w:tcPr>
          <w:p>
            <w:pPr>
              <w:spacing w:after="0"/>
              <w:rPr>
                <w:sz w:val="1"/>
                <w:szCs w:val="1"/>
                <w:color w:val="auto"/>
              </w:rPr>
            </w:pPr>
          </w:p>
        </w:tc>
      </w:tr>
      <w:tr>
        <w:trPr>
          <w:trHeight w:val="216"/>
        </w:trPr>
        <w:tc>
          <w:tcPr>
            <w:tcW w:w="2280" w:type="dxa"/>
            <w:vAlign w:val="bottom"/>
            <w:gridSpan w:val="2"/>
          </w:tcPr>
          <w:p>
            <w:pPr>
              <w:spacing w:after="0"/>
              <w:rPr>
                <w:sz w:val="20"/>
                <w:szCs w:val="20"/>
                <w:color w:val="auto"/>
              </w:rPr>
            </w:pPr>
            <w:r>
              <w:rPr>
                <w:rFonts w:ascii="Arial" w:cs="Arial" w:eastAsia="Arial" w:hAnsi="Arial"/>
                <w:sz w:val="18"/>
                <w:szCs w:val="18"/>
                <w:color w:val="auto"/>
              </w:rPr>
              <w:t>Revolving credit facility</w:t>
            </w:r>
          </w:p>
        </w:tc>
        <w:tc>
          <w:tcPr>
            <w:tcW w:w="84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22,509</w:t>
            </w:r>
          </w:p>
        </w:tc>
        <w:tc>
          <w:tcPr>
            <w:tcW w:w="1040" w:type="dxa"/>
            <w:vAlign w:val="bottom"/>
          </w:tcPr>
          <w:p>
            <w:pPr>
              <w:jc w:val="right"/>
              <w:ind w:right="20"/>
              <w:spacing w:after="0"/>
              <w:rPr>
                <w:sz w:val="20"/>
                <w:szCs w:val="20"/>
                <w:color w:val="auto"/>
              </w:rPr>
            </w:pPr>
            <w:r>
              <w:rPr>
                <w:rFonts w:ascii="Arial" w:cs="Arial" w:eastAsia="Arial" w:hAnsi="Arial"/>
                <w:sz w:val="18"/>
                <w:szCs w:val="18"/>
                <w:color w:val="auto"/>
              </w:rPr>
              <w:t>67,377</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3"/>
              <w:spacing w:after="0"/>
              <w:rPr>
                <w:sz w:val="20"/>
                <w:szCs w:val="20"/>
                <w:color w:val="auto"/>
              </w:rPr>
            </w:pPr>
            <w:r>
              <w:rPr>
                <w:rFonts w:ascii="Arial" w:cs="Arial" w:eastAsia="Arial" w:hAnsi="Arial"/>
                <w:sz w:val="18"/>
                <w:szCs w:val="18"/>
                <w:color w:val="auto"/>
              </w:rPr>
              <w:t>22,509</w:t>
            </w:r>
          </w:p>
        </w:tc>
        <w:tc>
          <w:tcPr>
            <w:tcW w:w="960" w:type="dxa"/>
            <w:vAlign w:val="bottom"/>
          </w:tcPr>
          <w:p>
            <w:pPr>
              <w:jc w:val="right"/>
              <w:spacing w:after="0"/>
              <w:rPr>
                <w:sz w:val="20"/>
                <w:szCs w:val="20"/>
                <w:color w:val="auto"/>
              </w:rPr>
            </w:pPr>
            <w:r>
              <w:rPr>
                <w:rFonts w:ascii="Arial" w:cs="Arial" w:eastAsia="Arial" w:hAnsi="Arial"/>
                <w:sz w:val="18"/>
                <w:szCs w:val="18"/>
                <w:color w:val="auto"/>
              </w:rPr>
              <w:t>67,377</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 issued to LVMH</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97,938</w:t>
            </w: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92,860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96,618</w:t>
            </w:r>
          </w:p>
        </w:tc>
        <w:tc>
          <w:tcPr>
            <w:tcW w:w="1040" w:type="dxa"/>
            <w:vAlign w:val="bottom"/>
            <w:gridSpan w:val="2"/>
            <w:shd w:val="clear" w:color="auto" w:fill="CCEEFF"/>
          </w:tcPr>
          <w:p>
            <w:pPr>
              <w:jc w:val="right"/>
              <w:ind w:right="13"/>
              <w:spacing w:after="0"/>
              <w:rPr>
                <w:sz w:val="20"/>
                <w:szCs w:val="20"/>
                <w:color w:val="auto"/>
              </w:rPr>
            </w:pPr>
            <w:r>
              <w:rPr>
                <w:rFonts w:ascii="Arial" w:cs="Arial" w:eastAsia="Arial" w:hAnsi="Arial"/>
                <w:sz w:val="18"/>
                <w:szCs w:val="18"/>
                <w:color w:val="auto"/>
              </w:rPr>
              <w:t>90,065</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88,608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debt instruments are recorded at their carrying values in its condensed consolidated balance sheets, which may differ from their respective fair values. The carrying amount of the Company’s variable rate debt approximates the fair value, as interest rates change with the market rates. Furthermore, the carrying value of all other financial instruments potentially subject to valuation risk (principally consisting of cash, accounts receivable and accounts payable) also approximates fair value due to the short-term nature of these accounts.</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The 2% note issued to LVMH Moet Hennessy Louis Vuitton Inc. (“LVMH”) in connection with the acquisition of Donna Karan International (“DKI”) was issued at a discount of $40.0 million in accordance with Accounting Standards Codification (“ASC”) 820 – </w:t>
      </w:r>
      <w:r>
        <w:rPr>
          <w:rFonts w:ascii="Arial" w:cs="Arial" w:eastAsia="Arial" w:hAnsi="Arial"/>
          <w:sz w:val="17"/>
          <w:szCs w:val="17"/>
          <w:i w:val="1"/>
          <w:iCs w:val="1"/>
          <w:color w:val="auto"/>
        </w:rPr>
        <w:t>Fair Value Measurements</w:t>
      </w:r>
      <w:r>
        <w:rPr>
          <w:rFonts w:ascii="Arial" w:cs="Arial" w:eastAsia="Arial" w:hAnsi="Arial"/>
          <w:sz w:val="17"/>
          <w:szCs w:val="17"/>
          <w:color w:val="auto"/>
        </w:rPr>
        <w:t>. For purposes of this fair value disclosure, the Company based its fair value estimate for the note issued to LVMH on the initial fair value as determined at the date of the acquisition of DKI and records the amortization using the effective interest method over the term of the note.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881" w:right="141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u w:val="single" w:color="auto"/>
          <w:color w:val="auto"/>
        </w:rPr>
        <w:t>Non-Financial Assets and Liabilities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The Company’s non-financial assets, which primarily consist of operating lease assets, goodwill, other intangible assets and property and equipment, are not required to be measured at fair value on a recurring basis and are reported at carrying value. However, whenever events or changes in circumstances indicate that their carrying value may not be fully recoverable (and at least annually for goodwill and indefinite-lived intangible assets), non-financial instruments are assessed for impairment and, if applicable, written down to and recorded at fair value, considering external market participant assumptions. During the three months ended April 30, 2019, the Company recorded a $9.6 million, net of tax, impairment in connection with the adoption of ASC 842 –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(“ASC 842”) that was recognized through retained earnings.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4 – Leases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February 1, 2019, the Company adopted ASC 842 using the optional transition method to apply the standard as of the effective date and therefore, the standard has not been applied to the comparative periods presented in its financial statements. The Company has elected the transition package of three practical expedients permitted within the standard, which eliminates the requirements to reassess prior conclusions about lease identification, lease classification, and initial direct costs. The hindsight practical expedient, which permits the use of hindsight when determining lease term and impairment of right-of-use assets has not been elected. Further, the Company elected the short-term lease exception policy, permitting it to not apply the recognition requirements of this standard to short-term leases (i.e. leases with terms of 12 months or less) and an accounting policy to account for lease and non-lease components as a single component.</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determines whether an arrangement is or contains a lease at contract inception. The Company leases certain retail stores, warehouses, distribution centers, office space, and equipment. Leases with an initial term of 12 months or less are not recorded on the balance sheet. The Company recognizes lease expense for these leases on a straight-line basis over the lease term.</w:t>
      </w:r>
    </w:p>
    <w:p>
      <w:pPr>
        <w:spacing w:after="0" w:line="18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Total rent payable is recorded during the lease term, including rent escalations in which the amount of future rent is certain or fixed on the straight-line basis over the term of the lease (including any rent holiday periods beginning upon control of the premises, and any fixed payments stated in the lease). For leases with an initial term greater than 12 months, a lease liability is recorded on the balance sheet at the present value of future payments discounted at the incremental borrowing rate (discount rate) corresponding with the lease term. An operating lease asset is recorded based on the initial amount of the lease liability, plus any lease payments made to the lessor before or at the lease commencement date and any initial direct costs incurred, less any tenant improvement allowance incentives received. The difference between the minimum rents paid and the straight-line rent (deferred rent) is reflected within the associated operating lease asset.</w:t>
      </w:r>
    </w:p>
    <w:p>
      <w:pPr>
        <w:spacing w:after="0" w:line="16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lease classification evaluation begins at the commencement date. The lease term used in the evaluation includes the non-cancellable period for which the Company has the right to use the underlying asset, together with renewal option periods when the exercise of the renewal option is reasonably certain and failure to exercise such option would result in an economic penalty. All retail store, warehouse, distribution center, and office leases are classified as operating leases. The Company does not have any finance leases. Operating lease expense is generally recognized on a straight-line basis over the lease term.</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Certain leases contain provisions that require contingent rent payments based upon sales volume (variable lease cost).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Contingent rent is accrued each period as the liabilities are incurred.</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Most leases are for a term of one to ten years. Some leases include one or more options to renew, with renewal terms that can extend the lease term from one to ten years. Several of the Company’s retail store leases include an option to terminate the lease based on a certain specified sales volume. The exercise of lease renewal and termination options are generally at the Company’s sole discretion.</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Certain of the Company’s lease agreements include rental payments based on a percentage of retail sales over contractual levels and others include rental payments adjusted periodically for inflation. The Company’s leases do not contain any material residual value guarantees or material restrictive covenants.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881" w:right="141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The Company’s lease assets and liabilities as of April 30, 2019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20" w:type="dxa"/>
            <w:vAlign w:val="bottom"/>
            <w:gridSpan w:val="2"/>
          </w:tcPr>
          <w:p>
            <w:pPr>
              <w:spacing w:after="0"/>
              <w:rPr>
                <w:sz w:val="20"/>
                <w:szCs w:val="20"/>
                <w:color w:val="auto"/>
              </w:rPr>
            </w:pPr>
            <w:r>
              <w:rPr>
                <w:rFonts w:ascii="Arial" w:cs="Arial" w:eastAsia="Arial" w:hAnsi="Arial"/>
                <w:sz w:val="14"/>
                <w:szCs w:val="14"/>
                <w:b w:val="1"/>
                <w:bCs w:val="1"/>
                <w:color w:val="auto"/>
              </w:rPr>
              <w:t>Leases</w:t>
            </w:r>
          </w:p>
        </w:tc>
        <w:tc>
          <w:tcPr>
            <w:tcW w:w="4200" w:type="dxa"/>
            <w:vAlign w:val="bottom"/>
            <w:gridSpan w:val="3"/>
          </w:tcPr>
          <w:p>
            <w:pPr>
              <w:ind w:left="340"/>
              <w:spacing w:after="0"/>
              <w:rPr>
                <w:sz w:val="20"/>
                <w:szCs w:val="20"/>
                <w:color w:val="auto"/>
              </w:rPr>
            </w:pPr>
            <w:r>
              <w:rPr>
                <w:rFonts w:ascii="Arial" w:cs="Arial" w:eastAsia="Arial" w:hAnsi="Arial"/>
                <w:sz w:val="14"/>
                <w:szCs w:val="14"/>
                <w:b w:val="1"/>
                <w:bCs w:val="1"/>
                <w:color w:val="auto"/>
              </w:rPr>
              <w:t>Classification</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00" w:type="dxa"/>
            <w:vAlign w:val="bottom"/>
          </w:tcPr>
          <w:p>
            <w:pPr>
              <w:jc w:val="right"/>
              <w:ind w:right="495"/>
              <w:spacing w:after="0"/>
              <w:rPr>
                <w:sz w:val="20"/>
                <w:szCs w:val="20"/>
                <w:color w:val="auto"/>
              </w:rPr>
            </w:pPr>
            <w:r>
              <w:rPr>
                <w:rFonts w:ascii="Arial" w:cs="Arial" w:eastAsia="Arial" w:hAnsi="Arial"/>
                <w:sz w:val="14"/>
                <w:szCs w:val="14"/>
                <w:b w:val="1"/>
                <w:bCs w:val="1"/>
                <w:color w:val="auto"/>
              </w:rPr>
              <w:t>April 30, 2019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0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52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tcPr>
          <w:p>
            <w:pPr>
              <w:jc w:val="right"/>
              <w:ind w:right="475"/>
              <w:spacing w:after="0" w:line="142" w:lineRule="exact"/>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34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ind w:left="100"/>
              <w:spacing w:after="0"/>
              <w:rPr>
                <w:sz w:val="20"/>
                <w:szCs w:val="20"/>
                <w:color w:val="auto"/>
              </w:rPr>
            </w:pPr>
            <w:r>
              <w:rPr>
                <w:rFonts w:ascii="Arial" w:cs="Arial" w:eastAsia="Arial" w:hAnsi="Arial"/>
                <w:sz w:val="18"/>
                <w:szCs w:val="18"/>
                <w:color w:val="auto"/>
              </w:rPr>
              <w:t>Operating</w:t>
            </w:r>
          </w:p>
        </w:tc>
        <w:tc>
          <w:tcPr>
            <w:tcW w:w="4200" w:type="dxa"/>
            <w:vAlign w:val="bottom"/>
            <w:gridSpan w:val="3"/>
          </w:tcPr>
          <w:p>
            <w:pPr>
              <w:ind w:left="340"/>
              <w:spacing w:after="0"/>
              <w:rPr>
                <w:sz w:val="20"/>
                <w:szCs w:val="20"/>
                <w:color w:val="auto"/>
              </w:rPr>
            </w:pPr>
            <w:r>
              <w:rPr>
                <w:rFonts w:ascii="Arial" w:cs="Arial" w:eastAsia="Arial" w:hAnsi="Arial"/>
                <w:sz w:val="18"/>
                <w:szCs w:val="18"/>
                <w:color w:val="auto"/>
              </w:rPr>
              <w:t>Operating lease assets</w:t>
            </w:r>
          </w:p>
        </w:tc>
        <w:tc>
          <w:tcPr>
            <w:tcW w:w="340" w:type="dxa"/>
            <w:vAlign w:val="bottom"/>
            <w:gridSpan w:val="2"/>
          </w:tcPr>
          <w:p>
            <w:pPr>
              <w:jc w:val="right"/>
              <w:ind w:right="165"/>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320,169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lease assets</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35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320,169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34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ind w:left="100"/>
              <w:spacing w:after="0"/>
              <w:rPr>
                <w:sz w:val="20"/>
                <w:szCs w:val="20"/>
                <w:color w:val="auto"/>
              </w:rPr>
            </w:pPr>
            <w:r>
              <w:rPr>
                <w:rFonts w:ascii="Arial" w:cs="Arial" w:eastAsia="Arial" w:hAnsi="Arial"/>
                <w:sz w:val="18"/>
                <w:szCs w:val="18"/>
                <w:color w:val="auto"/>
              </w:rPr>
              <w:t>Current operating</w:t>
            </w:r>
          </w:p>
        </w:tc>
        <w:tc>
          <w:tcPr>
            <w:tcW w:w="4200" w:type="dxa"/>
            <w:vAlign w:val="bottom"/>
            <w:gridSpan w:val="3"/>
          </w:tcPr>
          <w:p>
            <w:pPr>
              <w:ind w:left="340"/>
              <w:spacing w:after="0"/>
              <w:rPr>
                <w:sz w:val="20"/>
                <w:szCs w:val="20"/>
                <w:color w:val="auto"/>
              </w:rPr>
            </w:pPr>
            <w:r>
              <w:rPr>
                <w:rFonts w:ascii="Arial" w:cs="Arial" w:eastAsia="Arial" w:hAnsi="Arial"/>
                <w:sz w:val="18"/>
                <w:szCs w:val="18"/>
                <w:color w:val="auto"/>
              </w:rPr>
              <w:t>Current operating lease liabilities</w:t>
            </w:r>
          </w:p>
        </w:tc>
        <w:tc>
          <w:tcPr>
            <w:tcW w:w="340" w:type="dxa"/>
            <w:vAlign w:val="bottom"/>
            <w:gridSpan w:val="2"/>
          </w:tcPr>
          <w:p>
            <w:pPr>
              <w:jc w:val="right"/>
              <w:ind w:right="165"/>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74,761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Noncurrent operating</w:t>
            </w:r>
          </w:p>
        </w:tc>
        <w:tc>
          <w:tcPr>
            <w:tcW w:w="42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Noncurrent operating lease liabilities</w:t>
            </w: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286,663</w:t>
            </w:r>
          </w:p>
        </w:tc>
        <w:tc>
          <w:tcPr>
            <w:tcW w:w="0" w:type="dxa"/>
            <w:vAlign w:val="bottom"/>
          </w:tcPr>
          <w:p>
            <w:pPr>
              <w:spacing w:after="0"/>
              <w:rPr>
                <w:sz w:val="1"/>
                <w:szCs w:val="1"/>
                <w:color w:val="auto"/>
              </w:rPr>
            </w:pPr>
          </w:p>
        </w:tc>
      </w:tr>
      <w:tr>
        <w:trPr>
          <w:trHeight w:val="217"/>
        </w:trPr>
        <w:tc>
          <w:tcPr>
            <w:tcW w:w="2820" w:type="dxa"/>
            <w:vAlign w:val="bottom"/>
            <w:gridSpan w:val="2"/>
          </w:tcPr>
          <w:p>
            <w:pPr>
              <w:spacing w:after="0"/>
              <w:rPr>
                <w:sz w:val="20"/>
                <w:szCs w:val="20"/>
                <w:color w:val="auto"/>
              </w:rPr>
            </w:pPr>
            <w:r>
              <w:rPr>
                <w:rFonts w:ascii="Arial" w:cs="Arial" w:eastAsia="Arial" w:hAnsi="Arial"/>
                <w:sz w:val="18"/>
                <w:szCs w:val="18"/>
                <w:color w:val="auto"/>
              </w:rPr>
              <w:t>Total lease liabilities</w:t>
            </w:r>
          </w:p>
        </w:tc>
        <w:tc>
          <w:tcPr>
            <w:tcW w:w="3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361,424</w:t>
            </w:r>
          </w:p>
        </w:tc>
        <w:tc>
          <w:tcPr>
            <w:tcW w:w="0" w:type="dxa"/>
            <w:vAlign w:val="bottom"/>
          </w:tcPr>
          <w:p>
            <w:pPr>
              <w:spacing w:after="0"/>
              <w:rPr>
                <w:sz w:val="1"/>
                <w:szCs w:val="1"/>
                <w:color w:val="auto"/>
              </w:rPr>
            </w:pPr>
          </w:p>
        </w:tc>
      </w:tr>
    </w:tbl>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leases do not provide the rate of interest implicit in the lease. Therefore, the Company uses its incremental borrowing rate based on the information available at commencement date in determining the present value of lease payments. For transition purposes, the incremental borrowing rate on February 1, 2019 was used for operating leases that commenced prior to that date.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recorded lease costs of $25 million during the three months ended April 30, 2019. Lease costs are recorded within selling, general and administrative expenses in the Company’s condensed consolidated statements of income and comprehensive income. The Company recorded variable lease costs and short-term lease costs of $2.2 million for the three months ended April 30, 2019. Short-term lease costs are immaterial.</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April 30, 2019, the Company’s maturity of operating lease liabilities in the years ending up to January 31, 2024 and thereafter are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40" w:type="dxa"/>
            <w:vAlign w:val="bottom"/>
          </w:tcPr>
          <w:p>
            <w:pPr>
              <w:spacing w:after="0"/>
              <w:rPr>
                <w:sz w:val="20"/>
                <w:szCs w:val="20"/>
                <w:color w:val="auto"/>
              </w:rPr>
            </w:pPr>
            <w:r>
              <w:rPr>
                <w:rFonts w:ascii="Arial" w:cs="Arial" w:eastAsia="Arial" w:hAnsi="Arial"/>
                <w:sz w:val="14"/>
                <w:szCs w:val="14"/>
                <w:b w:val="1"/>
                <w:bCs w:val="1"/>
                <w:color w:val="auto"/>
              </w:rPr>
              <w:t>Year Ending January 31,</w:t>
            </w:r>
          </w:p>
        </w:tc>
        <w:tc>
          <w:tcPr>
            <w:tcW w:w="21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tcPr>
          <w:p>
            <w:pPr>
              <w:jc w:val="right"/>
              <w:ind w:right="893"/>
              <w:spacing w:after="0"/>
              <w:rPr>
                <w:sz w:val="20"/>
                <w:szCs w:val="20"/>
                <w:color w:val="auto"/>
              </w:rPr>
            </w:pPr>
            <w:r>
              <w:rPr>
                <w:rFonts w:ascii="Arial" w:cs="Arial" w:eastAsia="Arial" w:hAnsi="Arial"/>
                <w:sz w:val="14"/>
                <w:szCs w:val="14"/>
                <w:b w:val="1"/>
                <w:bCs w:val="1"/>
                <w:color w:val="auto"/>
              </w:rPr>
              <w:t>Amount</w:t>
            </w:r>
          </w:p>
        </w:tc>
      </w:tr>
      <w:tr>
        <w:trPr>
          <w:trHeight w:val="142"/>
        </w:trPr>
        <w:tc>
          <w:tcPr>
            <w:tcW w:w="44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20" w:type="dxa"/>
            <w:vAlign w:val="bottom"/>
          </w:tcPr>
          <w:p>
            <w:pPr>
              <w:jc w:val="right"/>
              <w:ind w:right="693"/>
              <w:spacing w:after="0" w:line="142" w:lineRule="exact"/>
              <w:rPr>
                <w:sz w:val="20"/>
                <w:szCs w:val="20"/>
                <w:color w:val="auto"/>
              </w:rPr>
            </w:pPr>
            <w:r>
              <w:rPr>
                <w:rFonts w:ascii="Arial" w:cs="Arial" w:eastAsia="Arial" w:hAnsi="Arial"/>
                <w:sz w:val="14"/>
                <w:szCs w:val="14"/>
                <w:b w:val="1"/>
                <w:bCs w:val="1"/>
                <w:color w:val="auto"/>
              </w:rPr>
              <w:t>(In thousands)</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600" w:type="dxa"/>
            <w:vAlign w:val="bottom"/>
            <w:gridSpan w:val="2"/>
            <w:shd w:val="clear" w:color="auto" w:fill="CCEEFF"/>
          </w:tcPr>
          <w:p>
            <w:pPr>
              <w:jc w:val="right"/>
              <w:ind w:right="285"/>
              <w:spacing w:after="0"/>
              <w:rPr>
                <w:sz w:val="20"/>
                <w:szCs w:val="20"/>
                <w:color w:val="auto"/>
              </w:rPr>
            </w:pPr>
            <w:r>
              <w:rPr>
                <w:rFonts w:ascii="Arial" w:cs="Arial" w:eastAsia="Arial" w:hAnsi="Arial"/>
                <w:sz w:val="18"/>
                <w:szCs w:val="18"/>
                <w:color w:val="auto"/>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75,311</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2021</w:t>
            </w:r>
          </w:p>
        </w:tc>
        <w:tc>
          <w:tcPr>
            <w:tcW w:w="2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88,230</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74,555</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2023</w:t>
            </w:r>
          </w:p>
        </w:tc>
        <w:tc>
          <w:tcPr>
            <w:tcW w:w="2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65,751</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53,097</w:t>
            </w:r>
          </w:p>
        </w:tc>
      </w:tr>
      <w:tr>
        <w:trPr>
          <w:trHeight w:val="216"/>
        </w:trPr>
        <w:tc>
          <w:tcPr>
            <w:tcW w:w="4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After 2024</w:t>
            </w:r>
          </w:p>
        </w:tc>
        <w:tc>
          <w:tcPr>
            <w:tcW w:w="21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86,444</w:t>
            </w:r>
          </w:p>
        </w:tc>
      </w:tr>
      <w:tr>
        <w:trPr>
          <w:trHeight w:val="210"/>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216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443,388</w:t>
            </w:r>
          </w:p>
        </w:tc>
      </w:tr>
      <w:tr>
        <w:trPr>
          <w:trHeight w:val="216"/>
        </w:trPr>
        <w:tc>
          <w:tcPr>
            <w:tcW w:w="4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Interest</w:t>
            </w:r>
          </w:p>
        </w:tc>
        <w:tc>
          <w:tcPr>
            <w:tcW w:w="21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81,964</w:t>
            </w:r>
          </w:p>
        </w:tc>
      </w:tr>
      <w:tr>
        <w:trPr>
          <w:trHeight w:val="217"/>
        </w:trPr>
        <w:tc>
          <w:tcPr>
            <w:tcW w:w="4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Present value of lease liabilities</w:t>
            </w:r>
          </w:p>
        </w:tc>
        <w:tc>
          <w:tcPr>
            <w:tcW w:w="21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361,424</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As of April 30, 2019, there are no material leases that are legally binding but have not commenced yet.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April 30, 2019, the weighted average remaining lease term related to operating leases is 5.3 years. The weighted average discount rate related to operating leases is 7.7%.</w:t>
      </w:r>
    </w:p>
    <w:p>
      <w:pPr>
        <w:spacing w:after="0" w:line="170" w:lineRule="exact"/>
        <w:rPr>
          <w:sz w:val="20"/>
          <w:szCs w:val="20"/>
          <w:color w:val="auto"/>
        </w:rPr>
      </w:pPr>
    </w:p>
    <w:p>
      <w:pPr>
        <w:ind w:right="560"/>
        <w:spacing w:after="0" w:line="418" w:lineRule="auto"/>
        <w:rPr>
          <w:sz w:val="20"/>
          <w:szCs w:val="20"/>
          <w:color w:val="auto"/>
        </w:rPr>
      </w:pPr>
      <w:r>
        <w:rPr>
          <w:rFonts w:ascii="Arial" w:cs="Arial" w:eastAsia="Arial" w:hAnsi="Arial"/>
          <w:sz w:val="18"/>
          <w:szCs w:val="18"/>
          <w:color w:val="auto"/>
        </w:rPr>
        <w:t xml:space="preserve">Cash paid for amounts included in the measurement of operating lease liabilities is $26.4 million as of April 30, 2019. </w:t>
      </w:r>
      <w:r>
        <w:rPr>
          <w:rFonts w:ascii="Arial" w:cs="Arial" w:eastAsia="Arial" w:hAnsi="Arial"/>
          <w:sz w:val="18"/>
          <w:szCs w:val="18"/>
          <w:u w:val="single" w:color="auto"/>
          <w:color w:val="auto"/>
        </w:rPr>
        <w:t>Note 5 – Net Income per Common Share</w:t>
      </w:r>
    </w:p>
    <w:p>
      <w:pPr>
        <w:spacing w:after="0" w:line="4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Basic net income per common share has been computed using the weighted average number of common shares outstanding during each period. Diluted net income per share is computed using the weighted average number of common shares and potential dilutive common shares, consisting of unvested restricted stock awards and unexercised stock options outstanding during the period. Approximately 355,900 and 341,700 shares of common stock have been excluded from the diluted net income per share calculation for the three months ended April 30, 2019 and 2018, respectively. In addition, all share based payments outstanding that vest based on the achievement of performance and/or market price conditions, and for which</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98" w:right="1419" w:bottom="1440" w:gutter="0" w:footer="0" w:header="0"/>
        </w:sectPr>
      </w:pPr>
    </w:p>
    <w:bookmarkStart w:id="9" w:name="page10"/>
    <w:bookmarkEnd w:id="9"/>
    <w:p>
      <w:pPr>
        <w:spacing w:after="0" w:line="277" w:lineRule="auto"/>
        <w:rPr>
          <w:sz w:val="20"/>
          <w:szCs w:val="20"/>
          <w:color w:val="auto"/>
        </w:rPr>
      </w:pPr>
      <w:r>
        <w:rPr>
          <w:rFonts w:ascii="Arial" w:cs="Arial" w:eastAsia="Arial" w:hAnsi="Arial"/>
          <w:sz w:val="18"/>
          <w:szCs w:val="18"/>
          <w:color w:val="auto"/>
        </w:rPr>
        <w:t>the respective performance and/or market price conditions have not been achieved, have been excluded from the diluted per share calculation.</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reconciles the numerators and denominators used in the calculation of basic and diluted net income per share: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gridSpan w:val="6"/>
          </w:tcPr>
          <w:p>
            <w:pPr>
              <w:jc w:val="right"/>
              <w:ind w:right="832"/>
              <w:spacing w:after="0"/>
              <w:rPr>
                <w:sz w:val="20"/>
                <w:szCs w:val="20"/>
                <w:color w:val="auto"/>
              </w:rPr>
            </w:pPr>
            <w:r>
              <w:rPr>
                <w:rFonts w:ascii="Arial" w:cs="Arial" w:eastAsia="Arial" w:hAnsi="Arial"/>
                <w:sz w:val="14"/>
                <w:szCs w:val="14"/>
                <w:b w:val="1"/>
                <w:bCs w:val="1"/>
                <w:color w:val="auto"/>
              </w:rPr>
              <w:t>Three Months Ended April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635"/>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12"/>
              <w:spacing w:after="0" w:line="142"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40" w:type="dxa"/>
            <w:vAlign w:val="bottom"/>
            <w:gridSpan w:val="6"/>
          </w:tcPr>
          <w:p>
            <w:pPr>
              <w:jc w:val="right"/>
              <w:ind w:right="512"/>
              <w:spacing w:after="0" w:line="142" w:lineRule="exact"/>
              <w:rPr>
                <w:sz w:val="20"/>
                <w:szCs w:val="20"/>
                <w:color w:val="auto"/>
              </w:rPr>
            </w:pPr>
            <w:r>
              <w:rPr>
                <w:rFonts w:ascii="Arial" w:cs="Arial" w:eastAsia="Arial" w:hAnsi="Arial"/>
                <w:sz w:val="14"/>
                <w:szCs w:val="14"/>
                <w:b w:val="1"/>
                <w:bCs w:val="1"/>
                <w:color w:val="auto"/>
                <w:w w:val="90"/>
              </w:rPr>
              <w:t>(In thousands, except per share amounts)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12,043</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3"/>
          </w:tcPr>
          <w:p>
            <w:pPr>
              <w:spacing w:after="0"/>
              <w:rPr>
                <w:sz w:val="20"/>
                <w:szCs w:val="20"/>
                <w:color w:val="auto"/>
              </w:rPr>
            </w:pPr>
            <w:r>
              <w:rPr>
                <w:rFonts w:ascii="Arial" w:cs="Arial" w:eastAsia="Arial" w:hAnsi="Arial"/>
                <w:sz w:val="18"/>
                <w:szCs w:val="18"/>
                <w:color w:val="auto"/>
              </w:rPr>
              <w:t>Basic net income per share:</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Basic common shares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48,781</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49,127</w:t>
            </w:r>
          </w:p>
        </w:tc>
        <w:tc>
          <w:tcPr>
            <w:tcW w:w="0" w:type="dxa"/>
            <w:vAlign w:val="bottom"/>
          </w:tcPr>
          <w:p>
            <w:pPr>
              <w:spacing w:after="0"/>
              <w:rPr>
                <w:sz w:val="1"/>
                <w:szCs w:val="1"/>
                <w:color w:val="auto"/>
              </w:rPr>
            </w:pPr>
          </w:p>
        </w:tc>
      </w:tr>
      <w:tr>
        <w:trPr>
          <w:trHeight w:val="217"/>
        </w:trPr>
        <w:tc>
          <w:tcPr>
            <w:tcW w:w="3780" w:type="dxa"/>
            <w:vAlign w:val="bottom"/>
            <w:gridSpan w:val="4"/>
          </w:tcPr>
          <w:p>
            <w:pPr>
              <w:spacing w:after="0"/>
              <w:rPr>
                <w:sz w:val="20"/>
                <w:szCs w:val="20"/>
                <w:color w:val="auto"/>
              </w:rPr>
            </w:pPr>
            <w:r>
              <w:rPr>
                <w:rFonts w:ascii="Arial" w:cs="Arial" w:eastAsia="Arial" w:hAnsi="Arial"/>
                <w:sz w:val="18"/>
                <w:szCs w:val="18"/>
                <w:color w:val="auto"/>
              </w:rPr>
              <w:t>Basic net income per share</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0.25</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gridSpan w:val="3"/>
          </w:tcPr>
          <w:p>
            <w:pPr>
              <w:spacing w:after="0"/>
              <w:rPr>
                <w:sz w:val="20"/>
                <w:szCs w:val="20"/>
                <w:color w:val="auto"/>
              </w:rPr>
            </w:pPr>
            <w:r>
              <w:rPr>
                <w:rFonts w:ascii="Arial" w:cs="Arial" w:eastAsia="Arial" w:hAnsi="Arial"/>
                <w:sz w:val="18"/>
                <w:szCs w:val="18"/>
                <w:color w:val="auto"/>
              </w:rPr>
              <w:t>Diluted net income per share:</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Basic common shares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48,781</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w w:val="95"/>
              </w:rPr>
              <w:t>Diluted restricted stock awards and stock options</w:t>
            </w: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w:t>
            </w:r>
          </w:p>
        </w:tc>
        <w:tc>
          <w:tcPr>
            <w:tcW w:w="2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Diluted common shares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49,774</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50,137</w:t>
            </w:r>
          </w:p>
        </w:tc>
        <w:tc>
          <w:tcPr>
            <w:tcW w:w="0" w:type="dxa"/>
            <w:vAlign w:val="bottom"/>
          </w:tcPr>
          <w:p>
            <w:pPr>
              <w:spacing w:after="0"/>
              <w:rPr>
                <w:sz w:val="1"/>
                <w:szCs w:val="1"/>
                <w:color w:val="auto"/>
              </w:rPr>
            </w:pPr>
          </w:p>
        </w:tc>
      </w:tr>
      <w:tr>
        <w:trPr>
          <w:trHeight w:val="217"/>
        </w:trPr>
        <w:tc>
          <w:tcPr>
            <w:tcW w:w="3780" w:type="dxa"/>
            <w:vAlign w:val="bottom"/>
            <w:gridSpan w:val="4"/>
          </w:tcPr>
          <w:p>
            <w:pPr>
              <w:spacing w:after="0"/>
              <w:rPr>
                <w:sz w:val="20"/>
                <w:szCs w:val="20"/>
                <w:color w:val="auto"/>
              </w:rPr>
            </w:pPr>
            <w:r>
              <w:rPr>
                <w:rFonts w:ascii="Arial" w:cs="Arial" w:eastAsia="Arial" w:hAnsi="Arial"/>
                <w:sz w:val="18"/>
                <w:szCs w:val="18"/>
                <w:color w:val="auto"/>
              </w:rPr>
              <w:t>Diluted net income per share</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324"/>
        </w:trPr>
        <w:tc>
          <w:tcPr>
            <w:tcW w:w="3780" w:type="dxa"/>
            <w:vAlign w:val="bottom"/>
            <w:gridSpan w:val="4"/>
          </w:tcPr>
          <w:p>
            <w:pPr>
              <w:spacing w:after="0"/>
              <w:rPr>
                <w:sz w:val="20"/>
                <w:szCs w:val="20"/>
                <w:color w:val="auto"/>
              </w:rPr>
            </w:pPr>
            <w:r>
              <w:rPr>
                <w:rFonts w:ascii="Arial" w:cs="Arial" w:eastAsia="Arial" w:hAnsi="Arial"/>
                <w:sz w:val="18"/>
                <w:szCs w:val="18"/>
                <w:color w:val="auto"/>
              </w:rPr>
              <w:t>Note 6 – Notes Payable</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700" w:type="dxa"/>
            <w:vAlign w:val="bottom"/>
            <w:gridSpan w:val="2"/>
            <w:shd w:val="clear" w:color="auto" w:fill="000000"/>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780" w:type="dxa"/>
            <w:vAlign w:val="bottom"/>
            <w:gridSpan w:val="4"/>
          </w:tcPr>
          <w:p>
            <w:pPr>
              <w:spacing w:after="0"/>
              <w:rPr>
                <w:sz w:val="20"/>
                <w:szCs w:val="20"/>
                <w:color w:val="auto"/>
              </w:rPr>
            </w:pPr>
            <w:r>
              <w:rPr>
                <w:rFonts w:ascii="Arial" w:cs="Arial" w:eastAsia="Arial" w:hAnsi="Arial"/>
                <w:sz w:val="18"/>
                <w:szCs w:val="18"/>
                <w:color w:val="auto"/>
              </w:rPr>
              <w:t>Long-term debt consists of the following:</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April 30, 2019</w:t>
            </w: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April 30, 2018</w:t>
            </w: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6"/>
              </w:rPr>
              <w:t>January 31, 2019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Term loan</w:t>
            </w:r>
          </w:p>
        </w:tc>
        <w:tc>
          <w:tcPr>
            <w:tcW w:w="4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300,000</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3"/>
          </w:tcPr>
          <w:p>
            <w:pPr>
              <w:spacing w:after="0"/>
              <w:rPr>
                <w:sz w:val="20"/>
                <w:szCs w:val="20"/>
                <w:color w:val="auto"/>
              </w:rPr>
            </w:pPr>
            <w:r>
              <w:rPr>
                <w:rFonts w:ascii="Arial" w:cs="Arial" w:eastAsia="Arial" w:hAnsi="Arial"/>
                <w:sz w:val="18"/>
                <w:szCs w:val="18"/>
                <w:color w:val="auto"/>
              </w:rPr>
              <w:t>Revolving credit facility</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22,509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67,377</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Note issued to LVMH</w:t>
            </w:r>
          </w:p>
        </w:tc>
        <w:tc>
          <w:tcPr>
            <w:tcW w:w="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125,000</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gridSpan w:val="3"/>
          </w:tcPr>
          <w:p>
            <w:pPr>
              <w:ind w:left="100"/>
              <w:spacing w:after="0"/>
              <w:rPr>
                <w:sz w:val="20"/>
                <w:szCs w:val="20"/>
                <w:color w:val="auto"/>
              </w:rPr>
            </w:pPr>
            <w:r>
              <w:rPr>
                <w:rFonts w:ascii="Arial" w:cs="Arial" w:eastAsia="Arial" w:hAnsi="Arial"/>
                <w:sz w:val="18"/>
                <w:szCs w:val="18"/>
                <w:color w:val="auto"/>
              </w:rPr>
              <w:t>Subtotal</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447,509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492,377</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Less: Net debt issuance costs </w:t>
            </w:r>
            <w:r>
              <w:rPr>
                <w:rFonts w:ascii="Arial" w:cs="Arial" w:eastAsia="Arial" w:hAnsi="Arial"/>
                <w:sz w:val="8"/>
                <w:szCs w:val="8"/>
                <w:color w:val="auto"/>
              </w:rPr>
              <w:t>(1)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(9,360)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(11,974)</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3"/>
          </w:tcPr>
          <w:p>
            <w:pPr>
              <w:ind w:left="420"/>
              <w:spacing w:after="0"/>
              <w:rPr>
                <w:sz w:val="20"/>
                <w:szCs w:val="20"/>
                <w:color w:val="auto"/>
              </w:rPr>
            </w:pPr>
            <w:r>
              <w:rPr>
                <w:rFonts w:ascii="Arial" w:cs="Arial" w:eastAsia="Arial" w:hAnsi="Arial"/>
                <w:sz w:val="18"/>
                <w:szCs w:val="18"/>
                <w:color w:val="auto"/>
              </w:rPr>
              <w:t>Debt discount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right"/>
              <w:ind w:right="140"/>
              <w:spacing w:after="0"/>
              <w:rPr>
                <w:sz w:val="20"/>
                <w:szCs w:val="20"/>
                <w:color w:val="auto"/>
              </w:rPr>
            </w:pPr>
            <w:r>
              <w:rPr>
                <w:rFonts w:ascii="Arial" w:cs="Arial" w:eastAsia="Arial" w:hAnsi="Arial"/>
                <w:sz w:val="18"/>
                <w:szCs w:val="18"/>
                <w:color w:val="auto"/>
              </w:rPr>
              <w:t>(27,062)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(32,140)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(28,382)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6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411,087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448,263</w:t>
            </w:r>
          </w:p>
        </w:tc>
        <w:tc>
          <w:tcPr>
            <w:tcW w:w="30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386,604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6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jc w:val="both"/>
        <w:ind w:left="320" w:hanging="317"/>
        <w:spacing w:after="0" w:line="204" w:lineRule="exact"/>
        <w:tabs>
          <w:tab w:leader="none" w:pos="320" w:val="left"/>
        </w:tabs>
        <w:numPr>
          <w:ilvl w:val="0"/>
          <w:numId w:val="4"/>
        </w:numPr>
        <w:rPr>
          <w:rFonts w:ascii="Arial" w:cs="Arial" w:eastAsia="Arial" w:hAnsi="Arial"/>
          <w:sz w:val="16"/>
          <w:szCs w:val="16"/>
          <w:color w:val="auto"/>
        </w:rPr>
      </w:pPr>
      <w:r>
        <w:rPr>
          <w:rFonts w:ascii="Arial" w:cs="Arial" w:eastAsia="Arial" w:hAnsi="Arial"/>
          <w:sz w:val="16"/>
          <w:szCs w:val="16"/>
          <w:color w:val="auto"/>
        </w:rPr>
        <w:t>Does not include debt issuance costs, net of amortization, totaling $6.4 million, $8.9 million and $7.1 million as of April 30, 2019, April 30, 2018 and January 31, 2019, respectively, related to the revolving credit facility. These debt issuance costs have been deferred and are classified in prepaid expenses and other current assets in the accompanying Condensed Consolidated Balance Sheets in accordance with Accounting Standards Update (“ASU”) 2015</w:t>
      </w:r>
      <w:r>
        <w:rPr>
          <w:rFonts w:ascii="MS PGothic" w:cs="MS PGothic" w:eastAsia="MS PGothic" w:hAnsi="MS PGothic"/>
          <w:sz w:val="16"/>
          <w:szCs w:val="16"/>
          <w:color w:val="auto"/>
        </w:rPr>
        <w:t>‑</w:t>
      </w:r>
      <w:r>
        <w:rPr>
          <w:rFonts w:ascii="Arial" w:cs="Arial" w:eastAsia="Arial" w:hAnsi="Arial"/>
          <w:sz w:val="16"/>
          <w:szCs w:val="16"/>
          <w:color w:val="auto"/>
        </w:rPr>
        <w:t>15.</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acquisition of DKI, the Company borrowed $350.0 million under a senior secured term loan facility (the “Term Loan”). On December 1, 2016, the Company prepaid $50.0 million in principal amount of the Term Loan. The Term Loan will mature in December 2022.</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Interest on the outstanding principal amount of the Term Loan accrues at a rate equal to the London Interbank Offered Rate (“LIBOR”), subject to a 1% floor, plus an applicable margin of 5.25% or an alternate base rate (defined as the greatest of</w:t>
      </w:r>
    </w:p>
    <w:p>
      <w:pPr>
        <w:jc w:val="both"/>
        <w:ind w:firstLine="3"/>
        <w:spacing w:after="0" w:line="255" w:lineRule="auto"/>
        <w:tabs>
          <w:tab w:leader="none" w:pos="219"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“prime rate” as published by the Wall Street Journal from time to time, (ii) the federal funds rate plus 0.5% or (iii) the LIBOR rate for a borrowing with an interest period of one month) plus 4.25%, per annum, payable in cash. As of April 30, 2019, interest under the Term Loan was being paid at an average rate of 7.76% per annum.</w:t>
      </w:r>
    </w:p>
    <w:p>
      <w:pPr>
        <w:spacing w:after="0" w:line="19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Term Loan is secured by certain assets of the Company and certain of its subsidiaries. The Term Loan is required to be prepaid with the proceeds of certain asset sales if such proceeds are not applied as required by the Term Loan within certain specified deadlines. The Term Loan contains covenants that restrict the Company’s ability to, among other things, incur additional debt, sell or dispose certain assets, make certain investments, incur liens and enter into acquisitions. This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881" w:right="1419" w:bottom="1440" w:gutter="0" w:footer="0" w:header="0"/>
        </w:sectPr>
      </w:pPr>
    </w:p>
    <w:bookmarkStart w:id="10" w:name="page11"/>
    <w:bookmarkEnd w:id="10"/>
    <w:p>
      <w:pPr>
        <w:jc w:val="both"/>
        <w:spacing w:after="0" w:line="286" w:lineRule="auto"/>
        <w:rPr>
          <w:sz w:val="20"/>
          <w:szCs w:val="20"/>
          <w:color w:val="auto"/>
        </w:rPr>
      </w:pPr>
      <w:r>
        <w:rPr>
          <w:rFonts w:ascii="Arial" w:cs="Arial" w:eastAsia="Arial" w:hAnsi="Arial"/>
          <w:sz w:val="17"/>
          <w:szCs w:val="17"/>
          <w:color w:val="auto"/>
        </w:rPr>
        <w:t>loan also includes a mandatory prepayment provision based on excess cash flow as defined within the agreement. A first lien leverage covenant requires the Company to maintain a level of debt to EBITDA at a ratio as defined over the term of the agreement. As of April 30, 2019, the Company was in compliance with these covenants.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4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Upon closing of the acquisition of DKI, the Company’s prior credit agreement was refinanced and replaced by a $650 million amended and restated credit agreement (the “revolving credit facility”). Amounts available under the revolving credit facility are subject to borrowing base formulas and over advances as specified in the revolving credit facility agreement. Borrowings bear interest, at the Company’s option, at LIBOR plus a margin of 1.25% to 1.75% or an alternate base rate (defined as the greatest of (i) the “prime rate” of JPMorgan Chase Bank, N.A. from time to time, (ii) the federal funds rate plus 0.5% or</w:t>
      </w:r>
    </w:p>
    <w:p>
      <w:pPr>
        <w:spacing w:after="0" w:line="2" w:lineRule="exact"/>
        <w:rPr>
          <w:sz w:val="20"/>
          <w:szCs w:val="20"/>
          <w:color w:val="auto"/>
        </w:rPr>
      </w:pPr>
    </w:p>
    <w:p>
      <w:pPr>
        <w:jc w:val="both"/>
        <w:ind w:firstLine="3"/>
        <w:spacing w:after="0" w:line="252" w:lineRule="auto"/>
        <w:tabs>
          <w:tab w:leader="none" w:pos="343"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LIBOR rate for a borrowing with an interest period of one month) plus a margin of 0.25% to 0.75%, with the applicable margin determined based on the availability under the revolving credit facility agreement. As of April 30, 2019, interest under the revolving credit agreement was being paid at an average rate of 4.52% per annum. The revolving credit facility has a five-year term ending December 1, 2021. In addition to paying interest on any outstanding borrowings under the revolving credit facility, the Company is required to pay a commitment fee to the lenders under the credit agreement with respect to the unutilized commitments. The commitment fee accrues at a rate equal to 0.25% per annum on the average daily amount of the available commitments.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April 30, 2019, the Company had $22.5 million of borrowings outstanding under the revolving credit facility, all of which are classified as long-term liabilities. As of April 30, 2019, there were outstanding trade and standby letters of credit amounting to $14.7 million and $3.4 million, respectively.</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LVMH Note</w:t>
      </w:r>
    </w:p>
    <w:p>
      <w:pPr>
        <w:spacing w:after="0" w:line="144"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As part of the consideration for the acquisition of DKI, the Company issued to LVMH a junior lien secured promissory note in the principal amount of $125.0 million (the “LVMH Note”) that bears interest at the rate of 2% per year. $75.0 million of the principal amount of the LVMH Note is due and payable on June 1, 2023 and $50.0 million of such principal amount is due and payable on December 1, 2023. Accounting Standards Codification (“ASC”) 820 - Fair Value Measurements requires the note to be recorded at fair value at issuance. As a result, the Company recorded a $40.0 million debt discount. This discount is being amortized as interest expense using the effective interest method over the term of the LVMH Note.</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7 – Revenue Recognition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Disaggregation of Revenue</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accordance with ASC 606, the Company elected to disclose its revenues by segment. Each segment has its own characteristics with respect to the timing of revenue recognition and the type of customer. In addition, disaggregating revenues using a segment basis is consistent with how the Company’s Chief Operating Decision Maker manages the Company. The Company identified the wholesale operations segment and the retail operations segment as distinct sources of revenue.</w:t>
      </w:r>
    </w:p>
    <w:p>
      <w:pPr>
        <w:spacing w:after="0" w:line="18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Wholesale Operations Segment. </w:t>
      </w:r>
      <w:r>
        <w:rPr>
          <w:rFonts w:ascii="Arial" w:cs="Arial" w:eastAsia="Arial" w:hAnsi="Arial"/>
          <w:sz w:val="16"/>
          <w:szCs w:val="16"/>
          <w:color w:val="auto"/>
        </w:rPr>
        <w:t>Wholesale revenues include sales of products to retailers under owned, licensed and private</w:t>
      </w:r>
      <w:r>
        <w:rPr>
          <w:rFonts w:ascii="Arial" w:cs="Arial" w:eastAsia="Arial" w:hAnsi="Arial"/>
          <w:sz w:val="16"/>
          <w:szCs w:val="16"/>
          <w:i w:val="1"/>
          <w:iCs w:val="1"/>
          <w:color w:val="auto"/>
        </w:rPr>
        <w:t xml:space="preserve"> </w:t>
      </w:r>
      <w:r>
        <w:rPr>
          <w:rFonts w:ascii="Arial" w:cs="Arial" w:eastAsia="Arial" w:hAnsi="Arial"/>
          <w:sz w:val="16"/>
          <w:szCs w:val="16"/>
          <w:color w:val="auto"/>
        </w:rPr>
        <w:t>label brands, as well as sales related to the Vilebrequin business. Wholesale revenues from sales of products are recognized when control transfers to the customer. The Company considers control to have been transferred when the Company has transferred physical possession of the product, the Company has a right to payment for the product, the customer has legal title to the product and the customer has the significant risks and rewards of the product. Wholesale revenues are adjusted by variable considerations arising from implicit or explicit obligations. Wholesale revenues also include royalty revenues from license agreements related to our owned trademarks including DKNY, Donna Karan, Vilebrequin, G.H. Bass and Andrew Marc. As of April 30, 2019, revenues from license agreements represented an insignificant portion of wholesale revenues.</w:t>
      </w:r>
    </w:p>
    <w:p>
      <w:pPr>
        <w:spacing w:after="0" w:line="16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Retail Operations Segment. </w:t>
      </w:r>
      <w:r>
        <w:rPr>
          <w:rFonts w:ascii="Arial" w:cs="Arial" w:eastAsia="Arial" w:hAnsi="Arial"/>
          <w:sz w:val="16"/>
          <w:szCs w:val="16"/>
          <w:color w:val="auto"/>
        </w:rPr>
        <w:t>Retail store revenues are generated by direct sales to consumers through company-operated</w:t>
      </w:r>
      <w:r>
        <w:rPr>
          <w:rFonts w:ascii="Arial" w:cs="Arial" w:eastAsia="Arial" w:hAnsi="Arial"/>
          <w:sz w:val="16"/>
          <w:szCs w:val="16"/>
          <w:i w:val="1"/>
          <w:iCs w:val="1"/>
          <w:color w:val="auto"/>
        </w:rPr>
        <w:t xml:space="preserve"> </w:t>
      </w:r>
      <w:r>
        <w:rPr>
          <w:rFonts w:ascii="Arial" w:cs="Arial" w:eastAsia="Arial" w:hAnsi="Arial"/>
          <w:sz w:val="16"/>
          <w:szCs w:val="16"/>
          <w:color w:val="auto"/>
        </w:rPr>
        <w:t>stores and product sales through the Company’s owned websites for the DKNY, Donna Karan, Wilsons, G.H. Bass, Andrew Marc and Karl Lagerfeld Paris businesses. Retail stores primarily consist of Wilsons Leather, G.H. Bass and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881" w:right="1419" w:bottom="1440" w:gutter="0" w:footer="0" w:header="0"/>
        </w:sectPr>
      </w:pPr>
    </w:p>
    <w:bookmarkStart w:id="11" w:name="page12"/>
    <w:bookmarkEnd w:id="11"/>
    <w:p>
      <w:pPr>
        <w:jc w:val="both"/>
        <w:spacing w:after="0" w:line="279" w:lineRule="auto"/>
        <w:rPr>
          <w:sz w:val="20"/>
          <w:szCs w:val="20"/>
          <w:color w:val="auto"/>
        </w:rPr>
      </w:pPr>
      <w:r>
        <w:rPr>
          <w:rFonts w:ascii="Arial" w:cs="Arial" w:eastAsia="Arial" w:hAnsi="Arial"/>
          <w:sz w:val="17"/>
          <w:szCs w:val="17"/>
          <w:color w:val="auto"/>
        </w:rPr>
        <w:t>DKNY retail stores, substantially all of which are operated as outlet stores. Retail operations segment revenues are recognized at the point of sale when the customer takes possession of the goods and tenders payment. E-commerce revenues primarily consist of sales to consumers through the Company’s e-commerce platforms. E-commerce revenue is recognized when a customer takes possession of the goods. Retail sales are recorded net of applicable sales tax.</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Contract Liabilities</w:t>
      </w:r>
    </w:p>
    <w:p>
      <w:pPr>
        <w:spacing w:after="0" w:line="15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Company’s contract liabilities, which are recorded within accrued expenses in the accompanying Condensed Consolidated Balance Sheets, primarily consist of gift card liabilities and advance payments from licensees. In some of its retail concepts, the Company also offers a limited loyalty program where customers accumulate points redeemable for cash discount certificates that expire 90 days after issuance. Total contract liabilities were $6.3 million, $1.8 million and $6.4 million at April 30, 2019, April 30, 2018 and January 31, 2019, respectively. The Company recognized $4.3 million in revenue for the three months ended April 30, 2019, which related to contract liabilities that existed at January 31, 2019. The Company recognized $3.3 million in revenue for the three months ended April 30, 2018, which related to contract liabilities that existed at January 31, 2018. There were no contract assets recorded as of April 30, 2019, April 30, 2018 and January 31, 2019. Substantially all of the advance payments from licenses as of April 30, 2019 are expected to be recognized as revenue within the next twelve months.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8 – Segments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has two reportable segments: wholesale operations and retail operations. The wholesale operations segment includes sales of products under the Company’s owned, licensed and private label brands, as well as sales related to the Vilebrequin business. Wholesale revenues also include royalty revenues from license agreements related to our owned trademarks including Donna Karan, DKNY, Vilebrequin, G.H. Bass and Andrew Marc. The retail operations segment consists primarily of the Wilsons Leather, G.H. Bass and DKNY stores, as well as a smaller number of Karl Lagerfeld Paris and Calvin Klein Performance stores. Sales through the Company’s owned websites, with the exception of Vilebrequin, are also included in the retail operations segment.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segment information is presented for the three-month periods indicated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rPr>
              <w:t>Three Months Ended April 30, 2019</w:t>
            </w: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r>
      <w:tr>
        <w:trPr>
          <w:trHeight w:val="142"/>
        </w:trPr>
        <w:tc>
          <w:tcPr>
            <w:tcW w:w="3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w w:val="98"/>
              </w:rPr>
              <w:t>Wholesale</w:t>
            </w:r>
          </w:p>
        </w:tc>
        <w:tc>
          <w:tcPr>
            <w:tcW w:w="2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Retail</w:t>
            </w: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w w:val="90"/>
              </w:rPr>
              <w:t xml:space="preserve">Elimination </w:t>
            </w:r>
            <w:r>
              <w:rPr>
                <w:rFonts w:ascii="Arial" w:cs="Arial" w:eastAsia="Arial" w:hAnsi="Arial"/>
                <w:sz w:val="14"/>
                <w:szCs w:val="14"/>
                <w:b w:val="1"/>
                <w:bCs w:val="1"/>
                <w:color w:val="auto"/>
                <w:w w:val="90"/>
                <w:vertAlign w:val="superscript"/>
              </w:rPr>
              <w:t>(1)</w:t>
            </w: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Total</w:t>
            </w:r>
          </w:p>
        </w:tc>
      </w:tr>
      <w:tr>
        <w:trPr>
          <w:trHeight w:val="142"/>
        </w:trPr>
        <w:tc>
          <w:tcPr>
            <w:tcW w:w="3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40" w:type="dxa"/>
            <w:vAlign w:val="bottom"/>
            <w:gridSpan w:val="5"/>
          </w:tcPr>
          <w:p>
            <w:pPr>
              <w:jc w:val="right"/>
              <w:ind w:right="900"/>
              <w:spacing w:after="0" w:line="142" w:lineRule="exact"/>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570,639</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81,904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(18,991)</w:t>
            </w:r>
          </w:p>
        </w:tc>
        <w:tc>
          <w:tcPr>
            <w:tcW w:w="220" w:type="dxa"/>
            <w:vAlign w:val="bottom"/>
            <w:gridSpan w:val="2"/>
            <w:shd w:val="clear" w:color="auto" w:fill="CCEEFF"/>
          </w:tcPr>
          <w:p>
            <w:pPr>
              <w:jc w:val="right"/>
              <w:ind w:right="9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633,552</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Cost of goods sold</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371,580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44,899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(18,991)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397,488</w:t>
            </w: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5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199,059</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37,005</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236,064</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147,258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54,601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201,859</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9,473</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Gain on lease terminations</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(829)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(829)</w:t>
            </w:r>
          </w:p>
        </w:tc>
      </w:tr>
      <w:tr>
        <w:trPr>
          <w:trHeight w:val="217"/>
        </w:trPr>
        <w:tc>
          <w:tcPr>
            <w:tcW w:w="37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profit (loss)</w:t>
            </w:r>
          </w:p>
        </w:tc>
        <w:tc>
          <w:tcPr>
            <w:tcW w:w="5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44,279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(18,718)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25,561</w:t>
            </w:r>
          </w:p>
        </w:tc>
      </w:tr>
      <w:tr>
        <w:trPr>
          <w:trHeight w:val="378"/>
        </w:trPr>
        <w:tc>
          <w:tcPr>
            <w:tcW w:w="3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rPr>
              <w:t>Three Months Ended April 30, 2018</w:t>
            </w: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r>
        <w:trPr>
          <w:trHeight w:val="142"/>
        </w:trPr>
        <w:tc>
          <w:tcPr>
            <w:tcW w:w="3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w w:val="98"/>
              </w:rPr>
              <w:t>Wholesale</w:t>
            </w:r>
          </w:p>
        </w:tc>
        <w:tc>
          <w:tcPr>
            <w:tcW w:w="2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Retail</w:t>
            </w: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w w:val="90"/>
              </w:rPr>
              <w:t xml:space="preserve">Elimination </w:t>
            </w:r>
            <w:r>
              <w:rPr>
                <w:rFonts w:ascii="Arial" w:cs="Arial" w:eastAsia="Arial" w:hAnsi="Arial"/>
                <w:sz w:val="14"/>
                <w:szCs w:val="14"/>
                <w:b w:val="1"/>
                <w:bCs w:val="1"/>
                <w:color w:val="auto"/>
                <w:w w:val="90"/>
                <w:vertAlign w:val="superscript"/>
              </w:rPr>
              <w:t>(1)</w:t>
            </w: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Total</w:t>
            </w:r>
          </w:p>
        </w:tc>
      </w:tr>
      <w:tr>
        <w:trPr>
          <w:trHeight w:val="142"/>
        </w:trPr>
        <w:tc>
          <w:tcPr>
            <w:tcW w:w="3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40" w:type="dxa"/>
            <w:vAlign w:val="bottom"/>
            <w:gridSpan w:val="5"/>
          </w:tcPr>
          <w:p>
            <w:pPr>
              <w:jc w:val="right"/>
              <w:ind w:right="900"/>
              <w:spacing w:after="0" w:line="142" w:lineRule="exact"/>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527,673</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104,519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(20,449)</w:t>
            </w:r>
          </w:p>
        </w:tc>
        <w:tc>
          <w:tcPr>
            <w:tcW w:w="220" w:type="dxa"/>
            <w:vAlign w:val="bottom"/>
            <w:gridSpan w:val="2"/>
            <w:shd w:val="clear" w:color="auto" w:fill="CCEEFF"/>
          </w:tcPr>
          <w:p>
            <w:pPr>
              <w:jc w:val="right"/>
              <w:ind w:right="9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611,743</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Cost of goods sold</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341,575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56,090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(20,449)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377,216</w:t>
            </w: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5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186,098</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48,429</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234,527</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136,413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65,658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202,071</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9,380</w:t>
            </w:r>
          </w:p>
        </w:tc>
      </w:tr>
      <w:tr>
        <w:trPr>
          <w:trHeight w:val="217"/>
        </w:trPr>
        <w:tc>
          <w:tcPr>
            <w:tcW w:w="3780" w:type="dxa"/>
            <w:vAlign w:val="bottom"/>
          </w:tcPr>
          <w:p>
            <w:pPr>
              <w:spacing w:after="0"/>
              <w:rPr>
                <w:sz w:val="20"/>
                <w:szCs w:val="20"/>
                <w:color w:val="auto"/>
              </w:rPr>
            </w:pPr>
            <w:r>
              <w:rPr>
                <w:rFonts w:ascii="Arial" w:cs="Arial" w:eastAsia="Arial" w:hAnsi="Arial"/>
                <w:sz w:val="18"/>
                <w:szCs w:val="18"/>
                <w:color w:val="auto"/>
              </w:rPr>
              <w:t>Operating profit (loss)</w:t>
            </w:r>
          </w:p>
        </w:tc>
        <w:tc>
          <w:tcPr>
            <w:tcW w:w="5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42,549</w:t>
            </w: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(19,473)</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146050</wp:posOffset>
            </wp:positionV>
            <wp:extent cx="144081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321" w:lineRule="exact"/>
        <w:rPr>
          <w:sz w:val="20"/>
          <w:szCs w:val="20"/>
          <w:color w:val="auto"/>
        </w:rPr>
      </w:pPr>
    </w:p>
    <w:p>
      <w:pPr>
        <w:ind w:left="320" w:hanging="317"/>
        <w:spacing w:after="0"/>
        <w:tabs>
          <w:tab w:leader="none" w:pos="32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Represents intersegment sales to the Company’s retail operations segment.</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62" w:lineRule="exact"/>
        <w:rPr>
          <w:rFonts w:ascii="Arial" w:cs="Arial" w:eastAsia="Arial" w:hAnsi="Arial"/>
          <w:sz w:val="16"/>
          <w:szCs w:val="16"/>
          <w:color w:val="auto"/>
        </w:rPr>
      </w:pPr>
    </w:p>
    <w:p>
      <w:pPr>
        <w:ind w:left="4440"/>
        <w:spacing w:after="0"/>
        <w:rPr>
          <w:rFonts w:ascii="Arial" w:cs="Arial" w:eastAsia="Arial" w:hAnsi="Arial"/>
          <w:sz w:val="16"/>
          <w:szCs w:val="16"/>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881" w:right="1419" w:bottom="1440" w:gutter="0" w:footer="0" w:header="0"/>
        </w:sectPr>
      </w:pPr>
    </w:p>
    <w:bookmarkStart w:id="12" w:name="page13"/>
    <w:bookmarkEnd w:id="12"/>
    <w:p>
      <w:pPr>
        <w:spacing w:after="0"/>
        <w:rPr>
          <w:sz w:val="20"/>
          <w:szCs w:val="20"/>
          <w:color w:val="auto"/>
        </w:rPr>
      </w:pPr>
      <w:r>
        <w:rPr>
          <w:rFonts w:ascii="Arial" w:cs="Arial" w:eastAsia="Arial" w:hAnsi="Arial"/>
          <w:sz w:val="16"/>
          <w:szCs w:val="16"/>
          <w:color w:val="auto"/>
        </w:rPr>
        <w:t>The total assets for each of the Company’s reportable segments, as well as assets not allocated to a segment, are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rPr>
              <w:t>April 30, 2019</w:t>
            </w: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5"/>
          </w:tcPr>
          <w:p>
            <w:pPr>
              <w:jc w:val="right"/>
              <w:ind w:right="46"/>
              <w:spacing w:after="0"/>
              <w:rPr>
                <w:sz w:val="20"/>
                <w:szCs w:val="20"/>
                <w:color w:val="auto"/>
              </w:rPr>
            </w:pPr>
            <w:r>
              <w:rPr>
                <w:rFonts w:ascii="Arial" w:cs="Arial" w:eastAsia="Arial" w:hAnsi="Arial"/>
                <w:sz w:val="14"/>
                <w:szCs w:val="14"/>
                <w:b w:val="1"/>
                <w:bCs w:val="1"/>
                <w:color w:val="auto"/>
              </w:rPr>
              <w:t>April 30, 2018</w:t>
            </w: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8"/>
              </w:rPr>
              <w:t>January 31, 2019</w:t>
            </w:r>
          </w:p>
        </w:tc>
        <w:tc>
          <w:tcPr>
            <w:tcW w:w="0" w:type="dxa"/>
            <w:vAlign w:val="bottom"/>
          </w:tcPr>
          <w:p>
            <w:pPr>
              <w:spacing w:after="0"/>
              <w:rPr>
                <w:sz w:val="1"/>
                <w:szCs w:val="1"/>
                <w:color w:val="auto"/>
              </w:rPr>
            </w:pPr>
          </w:p>
        </w:tc>
      </w:tr>
      <w:tr>
        <w:trPr>
          <w:trHeight w:val="142"/>
        </w:trPr>
        <w:tc>
          <w:tcPr>
            <w:tcW w:w="2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5"/>
          </w:tcPr>
          <w:p>
            <w:pPr>
              <w:jc w:val="right"/>
              <w:ind w:right="46"/>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Wholesale</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1,813,238</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1,655,714</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1,834,610</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Retail</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376,619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5"/>
          </w:tcPr>
          <w:p>
            <w:pPr>
              <w:jc w:val="right"/>
              <w:spacing w:after="0"/>
              <w:rPr>
                <w:sz w:val="20"/>
                <w:szCs w:val="20"/>
                <w:color w:val="auto"/>
              </w:rPr>
            </w:pPr>
            <w:r>
              <w:rPr>
                <w:rFonts w:ascii="Arial" w:cs="Arial" w:eastAsia="Arial" w:hAnsi="Arial"/>
                <w:sz w:val="18"/>
                <w:szCs w:val="18"/>
                <w:color w:val="auto"/>
              </w:rPr>
              <w:t>211,475</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190,996</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256,687</w:t>
            </w:r>
          </w:p>
        </w:tc>
        <w:tc>
          <w:tcPr>
            <w:tcW w:w="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rPr>
              <w:t>173,374</w:t>
            </w:r>
          </w:p>
        </w:tc>
        <w:tc>
          <w:tcPr>
            <w:tcW w:w="4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182,452</w:t>
            </w:r>
          </w:p>
        </w:tc>
        <w:tc>
          <w:tcPr>
            <w:tcW w:w="0" w:type="dxa"/>
            <w:vAlign w:val="bottom"/>
          </w:tcPr>
          <w:p>
            <w:pPr>
              <w:spacing w:after="0"/>
              <w:rPr>
                <w:sz w:val="1"/>
                <w:szCs w:val="1"/>
                <w:color w:val="auto"/>
              </w:rPr>
            </w:pPr>
          </w:p>
        </w:tc>
      </w:tr>
      <w:tr>
        <w:trPr>
          <w:trHeight w:val="217"/>
        </w:trPr>
        <w:tc>
          <w:tcPr>
            <w:tcW w:w="328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2,446,544</w:t>
            </w: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2,040,563</w:t>
            </w:r>
          </w:p>
        </w:tc>
        <w:tc>
          <w:tcPr>
            <w:tcW w:w="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2,208,058</w:t>
            </w:r>
          </w:p>
        </w:tc>
        <w:tc>
          <w:tcPr>
            <w:tcW w:w="0" w:type="dxa"/>
            <w:vAlign w:val="bottom"/>
          </w:tcPr>
          <w:p>
            <w:pPr>
              <w:spacing w:after="0"/>
              <w:rPr>
                <w:sz w:val="1"/>
                <w:szCs w:val="1"/>
                <w:color w:val="auto"/>
              </w:rPr>
            </w:pPr>
          </w:p>
        </w:tc>
      </w:tr>
      <w:tr>
        <w:trPr>
          <w:trHeight w:val="378"/>
        </w:trPr>
        <w:tc>
          <w:tcPr>
            <w:tcW w:w="3280" w:type="dxa"/>
            <w:vAlign w:val="bottom"/>
            <w:gridSpan w:val="2"/>
          </w:tcPr>
          <w:p>
            <w:pPr>
              <w:spacing w:after="0"/>
              <w:rPr>
                <w:sz w:val="20"/>
                <w:szCs w:val="20"/>
                <w:color w:val="auto"/>
              </w:rPr>
            </w:pPr>
            <w:r>
              <w:rPr>
                <w:rFonts w:ascii="Arial" w:cs="Arial" w:eastAsia="Arial" w:hAnsi="Arial"/>
                <w:sz w:val="18"/>
                <w:szCs w:val="18"/>
                <w:color w:val="auto"/>
              </w:rPr>
              <w:t>Note 9 – Stockholders’ Equity</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200" w:type="dxa"/>
            <w:vAlign w:val="bottom"/>
            <w:tcBorders>
              <w:top w:val="single" w:sz="8" w:color="auto"/>
            </w:tcBorders>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5"/>
              </w:rPr>
              <w:t>Common</w:t>
            </w: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Common</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4"/>
            <w:vMerge w:val="restart"/>
          </w:tcPr>
          <w:p>
            <w:pPr>
              <w:jc w:val="right"/>
              <w:ind w:right="120"/>
              <w:spacing w:after="0"/>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Stock</w:t>
            </w: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rPr>
              <w:t>Paid-In</w:t>
            </w:r>
          </w:p>
        </w:tc>
        <w:tc>
          <w:tcPr>
            <w:tcW w:w="1120" w:type="dxa"/>
            <w:vAlign w:val="bottom"/>
            <w:gridSpan w:val="6"/>
          </w:tcPr>
          <w:p>
            <w:pPr>
              <w:jc w:val="center"/>
              <w:ind w:left="39"/>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98"/>
              </w:rPr>
              <w:t>Held In</w:t>
            </w:r>
          </w:p>
        </w:tc>
        <w:tc>
          <w:tcPr>
            <w:tcW w:w="20" w:type="dxa"/>
            <w:vAlign w:val="bottom"/>
          </w:tcPr>
          <w:p>
            <w:pPr>
              <w:spacing w:after="0"/>
              <w:rPr>
                <w:sz w:val="12"/>
                <w:szCs w:val="12"/>
                <w:color w:val="auto"/>
              </w:rPr>
            </w:pPr>
          </w:p>
        </w:tc>
        <w:tc>
          <w:tcPr>
            <w:tcW w:w="86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4"/>
              </w:rPr>
              <w:t>Stock</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Capital</w:t>
            </w: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rPr>
              <w:t>Earnings</w:t>
            </w: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4"/>
                <w:szCs w:val="14"/>
                <w:b w:val="1"/>
                <w:bCs w:val="1"/>
                <w:color w:val="auto"/>
                <w:w w:val="94"/>
              </w:rPr>
              <w:t>Treasury</w:t>
            </w:r>
          </w:p>
        </w:tc>
        <w:tc>
          <w:tcPr>
            <w:tcW w:w="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00" w:type="dxa"/>
            <w:vAlign w:val="bottom"/>
            <w:tcBorders>
              <w:bottom w:val="single" w:sz="8" w:color="CCEEFF"/>
            </w:tcBorders>
          </w:tcPr>
          <w:p>
            <w:pPr>
              <w:spacing w:after="0"/>
              <w:rPr>
                <w:sz w:val="12"/>
                <w:szCs w:val="12"/>
                <w:color w:val="auto"/>
              </w:rPr>
            </w:pPr>
          </w:p>
        </w:tc>
        <w:tc>
          <w:tcPr>
            <w:tcW w:w="10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gridSpan w:val="9"/>
          </w:tcPr>
          <w:p>
            <w:pPr>
              <w:jc w:val="right"/>
              <w:ind w:right="420"/>
              <w:spacing w:after="0" w:line="142" w:lineRule="exact"/>
              <w:rPr>
                <w:sz w:val="20"/>
                <w:szCs w:val="20"/>
                <w:color w:val="auto"/>
              </w:rPr>
            </w:pPr>
            <w:r>
              <w:rPr>
                <w:rFonts w:ascii="Arial" w:cs="Arial" w:eastAsia="Arial" w:hAnsi="Arial"/>
                <w:sz w:val="14"/>
                <w:szCs w:val="14"/>
                <w:b w:val="1"/>
                <w:bCs w:val="1"/>
                <w:color w:val="auto"/>
              </w:rPr>
              <w:t>(In thousands)</w:t>
            </w:r>
          </w:p>
        </w:tc>
        <w:tc>
          <w:tcPr>
            <w:tcW w:w="1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January 31, 2019</w:t>
            </w:r>
          </w:p>
        </w:tc>
        <w:tc>
          <w:tcPr>
            <w:tcW w:w="2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9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$ 464,112</w:t>
            </w:r>
          </w:p>
        </w:tc>
        <w:tc>
          <w:tcPr>
            <w:tcW w:w="2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99"/>
              </w:rPr>
              <w:t>$ 758,881</w:t>
            </w:r>
          </w:p>
        </w:tc>
        <w:tc>
          <w:tcPr>
            <w:tcW w:w="20" w:type="dxa"/>
            <w:vAlign w:val="bottom"/>
            <w:shd w:val="clear" w:color="auto" w:fill="CCEEFF"/>
          </w:tcPr>
          <w:p>
            <w:pPr>
              <w:spacing w:after="0"/>
              <w:rPr>
                <w:sz w:val="18"/>
                <w:szCs w:val="18"/>
                <w:color w:val="auto"/>
              </w:rPr>
            </w:pPr>
          </w:p>
        </w:tc>
        <w:tc>
          <w:tcPr>
            <w:tcW w:w="1040" w:type="dxa"/>
            <w:vAlign w:val="bottom"/>
            <w:gridSpan w:val="7"/>
            <w:shd w:val="clear" w:color="auto" w:fill="CCEEFF"/>
          </w:tcPr>
          <w:p>
            <w:pPr>
              <w:jc w:val="right"/>
              <w:ind w:right="160"/>
              <w:spacing w:after="0"/>
              <w:rPr>
                <w:sz w:val="20"/>
                <w:szCs w:val="20"/>
                <w:color w:val="auto"/>
              </w:rPr>
            </w:pPr>
            <w:r>
              <w:rPr>
                <w:rFonts w:ascii="Arial" w:cs="Arial" w:eastAsia="Arial" w:hAnsi="Arial"/>
                <w:sz w:val="18"/>
                <w:szCs w:val="18"/>
                <w:color w:val="auto"/>
              </w:rPr>
              <w:t>$ (19,054)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$ 1,189,009</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Equity awards exercised/vested, net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5"/>
          </w:tcPr>
          <w:p>
            <w:pPr>
              <w:jc w:val="right"/>
              <w:spacing w:after="0"/>
              <w:rPr>
                <w:sz w:val="20"/>
                <w:szCs w:val="20"/>
                <w:color w:val="auto"/>
              </w:rPr>
            </w:pPr>
            <w:r>
              <w:rPr>
                <w:rFonts w:ascii="Arial" w:cs="Arial" w:eastAsia="Arial" w:hAnsi="Arial"/>
                <w:sz w:val="18"/>
                <w:szCs w:val="18"/>
                <w:color w:val="auto"/>
              </w:rPr>
              <w:t>(5,818)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gridSpan w:val="6"/>
          </w:tcPr>
          <w:p>
            <w:pPr>
              <w:jc w:val="right"/>
              <w:spacing w:after="0"/>
              <w:rPr>
                <w:sz w:val="20"/>
                <w:szCs w:val="20"/>
                <w:color w:val="auto"/>
              </w:rPr>
            </w:pPr>
            <w:r>
              <w:rPr>
                <w:rFonts w:ascii="Arial" w:cs="Arial" w:eastAsia="Arial" w:hAnsi="Arial"/>
                <w:sz w:val="18"/>
                <w:szCs w:val="18"/>
                <w:color w:val="auto"/>
              </w:rPr>
              <w:t>5,858</w:t>
            </w:r>
          </w:p>
        </w:tc>
        <w:tc>
          <w:tcPr>
            <w:tcW w:w="1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4,227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4,227</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Taxes paid for net share settlements</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5"/>
          </w:tcPr>
          <w:p>
            <w:pPr>
              <w:jc w:val="right"/>
              <w:spacing w:after="0"/>
              <w:rPr>
                <w:sz w:val="20"/>
                <w:szCs w:val="20"/>
                <w:color w:val="auto"/>
              </w:rPr>
            </w:pPr>
            <w:r>
              <w:rPr>
                <w:rFonts w:ascii="Arial" w:cs="Arial" w:eastAsia="Arial" w:hAnsi="Arial"/>
                <w:sz w:val="18"/>
                <w:szCs w:val="18"/>
                <w:color w:val="auto"/>
              </w:rPr>
              <w:t>(5,686)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(5,686)</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loss, net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(3,227)</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(3,227)</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w w:val="98"/>
              </w:rPr>
              <w:t>Cumulative effect of adoption of ASC 842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(9,580)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(9,580)</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12,043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12,043</w:t>
            </w:r>
          </w:p>
        </w:tc>
        <w:tc>
          <w:tcPr>
            <w:tcW w:w="0" w:type="dxa"/>
            <w:vAlign w:val="bottom"/>
          </w:tcPr>
          <w:p>
            <w:pPr>
              <w:spacing w:after="0"/>
              <w:rPr>
                <w:sz w:val="1"/>
                <w:szCs w:val="1"/>
                <w:color w:val="auto"/>
              </w:rPr>
            </w:pPr>
          </w:p>
        </w:tc>
      </w:tr>
      <w:tr>
        <w:trPr>
          <w:trHeight w:val="217"/>
        </w:trPr>
        <w:tc>
          <w:tcPr>
            <w:tcW w:w="3280" w:type="dxa"/>
            <w:vAlign w:val="bottom"/>
            <w:gridSpan w:val="2"/>
          </w:tcPr>
          <w:p>
            <w:pPr>
              <w:spacing w:after="0"/>
              <w:rPr>
                <w:sz w:val="20"/>
                <w:szCs w:val="20"/>
                <w:color w:val="auto"/>
              </w:rPr>
            </w:pPr>
            <w:r>
              <w:rPr>
                <w:rFonts w:ascii="Arial" w:cs="Arial" w:eastAsia="Arial" w:hAnsi="Arial"/>
                <w:sz w:val="18"/>
                <w:szCs w:val="18"/>
                <w:color w:val="auto"/>
              </w:rPr>
              <w:t>Balance as of April 30, 2019</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4"/>
              </w:rPr>
              <w:t>$ 456,835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jc w:val="right"/>
              <w:ind w:right="2"/>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(18,421)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w w:val="84"/>
              </w:rPr>
              <w:t>$ 761,344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8"/>
                <w:szCs w:val="18"/>
                <w:color w:val="auto"/>
                <w:w w:val="87"/>
              </w:rPr>
              <w:t>$ (13,196)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$ 1,186,826</w:t>
            </w:r>
          </w:p>
        </w:tc>
        <w:tc>
          <w:tcPr>
            <w:tcW w:w="0" w:type="dxa"/>
            <w:vAlign w:val="bottom"/>
          </w:tcPr>
          <w:p>
            <w:pPr>
              <w:spacing w:after="0"/>
              <w:rPr>
                <w:sz w:val="1"/>
                <w:szCs w:val="1"/>
                <w:color w:val="auto"/>
              </w:rPr>
            </w:pPr>
          </w:p>
        </w:tc>
      </w:tr>
      <w:tr>
        <w:trPr>
          <w:trHeight w:val="355"/>
        </w:trPr>
        <w:tc>
          <w:tcPr>
            <w:tcW w:w="2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gridSpan w:val="3"/>
            <w:vMerge w:val="restart"/>
          </w:tcPr>
          <w:p>
            <w:pPr>
              <w:jc w:val="right"/>
              <w:ind w:right="4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2"/>
              </w:rPr>
              <w:t>Common</w:t>
            </w: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Common</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w w:val="91"/>
              </w:rPr>
              <w:t>Retained</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Stock</w:t>
            </w: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2"/>
                <w:szCs w:val="12"/>
                <w:color w:val="auto"/>
              </w:rPr>
            </w:pPr>
          </w:p>
        </w:tc>
        <w:tc>
          <w:tcPr>
            <w:tcW w:w="980" w:type="dxa"/>
            <w:vAlign w:val="bottom"/>
            <w:gridSpan w:val="5"/>
          </w:tcPr>
          <w:p>
            <w:pPr>
              <w:ind w:left="2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color w:val="auto"/>
              </w:rPr>
              <w:t>Held In</w:t>
            </w:r>
          </w:p>
        </w:tc>
        <w:tc>
          <w:tcPr>
            <w:tcW w:w="20" w:type="dxa"/>
            <w:vAlign w:val="bottom"/>
          </w:tcPr>
          <w:p>
            <w:pPr>
              <w:spacing w:after="0"/>
              <w:rPr>
                <w:sz w:val="12"/>
                <w:szCs w:val="12"/>
                <w:color w:val="auto"/>
              </w:rPr>
            </w:pPr>
          </w:p>
        </w:tc>
        <w:tc>
          <w:tcPr>
            <w:tcW w:w="86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9"/>
              </w:rPr>
              <w:t>Stock</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Capital</w:t>
            </w: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90"/>
              </w:rPr>
              <w:t>Earnings</w:t>
            </w: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5"/>
          </w:tcPr>
          <w:p>
            <w:pPr>
              <w:jc w:val="center"/>
              <w:ind w:right="160"/>
              <w:spacing w:after="0"/>
              <w:rPr>
                <w:sz w:val="20"/>
                <w:szCs w:val="20"/>
                <w:color w:val="auto"/>
              </w:rPr>
            </w:pPr>
            <w:r>
              <w:rPr>
                <w:rFonts w:ascii="Arial" w:cs="Arial" w:eastAsia="Arial" w:hAnsi="Arial"/>
                <w:sz w:val="14"/>
                <w:szCs w:val="14"/>
                <w:b w:val="1"/>
                <w:bCs w:val="1"/>
                <w:color w:val="auto"/>
                <w:w w:val="94"/>
              </w:rPr>
              <w:t>Treasury</w:t>
            </w:r>
          </w:p>
        </w:tc>
        <w:tc>
          <w:tcPr>
            <w:tcW w:w="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gridSpan w:val="9"/>
          </w:tcPr>
          <w:p>
            <w:pPr>
              <w:jc w:val="right"/>
              <w:ind w:right="420"/>
              <w:spacing w:after="0" w:line="142" w:lineRule="exact"/>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January 31, 2018</w:t>
            </w:r>
          </w:p>
        </w:tc>
        <w:tc>
          <w:tcPr>
            <w:tcW w:w="3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9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$ 451,844</w:t>
            </w:r>
          </w:p>
        </w:tc>
        <w:tc>
          <w:tcPr>
            <w:tcW w:w="20" w:type="dxa"/>
            <w:vAlign w:val="bottom"/>
            <w:shd w:val="clear" w:color="auto" w:fill="CCEEFF"/>
          </w:tcPr>
          <w:p>
            <w:pPr>
              <w:spacing w:after="0"/>
              <w:rPr>
                <w:sz w:val="18"/>
                <w:szCs w:val="18"/>
                <w:color w:val="auto"/>
              </w:rPr>
            </w:pPr>
          </w:p>
        </w:tc>
        <w:tc>
          <w:tcPr>
            <w:tcW w:w="3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(5,522)</w:t>
            </w:r>
          </w:p>
        </w:tc>
        <w:tc>
          <w:tcPr>
            <w:tcW w:w="2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$ 674,542</w:t>
            </w:r>
          </w:p>
        </w:tc>
        <w:tc>
          <w:tcPr>
            <w:tcW w:w="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146"/>
              <w:spacing w:after="0"/>
              <w:rPr>
                <w:sz w:val="20"/>
                <w:szCs w:val="20"/>
                <w:color w:val="auto"/>
              </w:rPr>
            </w:pPr>
            <w:r>
              <w:rPr>
                <w:rFonts w:ascii="Arial" w:cs="Arial" w:eastAsia="Arial" w:hAnsi="Arial"/>
                <w:sz w:val="18"/>
                <w:szCs w:val="18"/>
                <w:color w:val="auto"/>
              </w:rPr>
              <w:t>$</w:t>
            </w:r>
          </w:p>
        </w:tc>
        <w:tc>
          <w:tcPr>
            <w:tcW w:w="5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w w:val="90"/>
              </w:rPr>
              <w:t>(420)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$ 1,120,689</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Equity awards exercised/vested, net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w:t>
            </w:r>
          </w:p>
        </w:tc>
        <w:tc>
          <w:tcPr>
            <w:tcW w:w="940" w:type="dxa"/>
            <w:vAlign w:val="bottom"/>
            <w:gridSpan w:val="6"/>
          </w:tcPr>
          <w:p>
            <w:pPr>
              <w:jc w:val="right"/>
              <w:spacing w:after="0"/>
              <w:rPr>
                <w:sz w:val="20"/>
                <w:szCs w:val="20"/>
                <w:color w:val="auto"/>
              </w:rPr>
            </w:pPr>
            <w:r>
              <w:rPr>
                <w:rFonts w:ascii="Arial" w:cs="Arial" w:eastAsia="Arial" w:hAnsi="Arial"/>
                <w:sz w:val="18"/>
                <w:szCs w:val="18"/>
                <w:color w:val="auto"/>
              </w:rPr>
              <w:t>(98)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137</w:t>
            </w:r>
          </w:p>
        </w:tc>
        <w:tc>
          <w:tcPr>
            <w:tcW w:w="1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3,774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3,774</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Taxes paid for net share settlements</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6"/>
          </w:tcPr>
          <w:p>
            <w:pPr>
              <w:jc w:val="right"/>
              <w:spacing w:after="0"/>
              <w:rPr>
                <w:sz w:val="20"/>
                <w:szCs w:val="20"/>
                <w:color w:val="auto"/>
              </w:rPr>
            </w:pPr>
            <w:r>
              <w:rPr>
                <w:rFonts w:ascii="Arial" w:cs="Arial" w:eastAsia="Arial" w:hAnsi="Arial"/>
                <w:sz w:val="18"/>
                <w:szCs w:val="18"/>
                <w:color w:val="auto"/>
              </w:rPr>
              <w:t>(1,085)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(1,085)</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gain, net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3,436</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3,333</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w w:val="98"/>
              </w:rPr>
              <w:t>Cumulative effect of adoption of ASC 606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6"/>
          </w:tcPr>
          <w:p>
            <w:pPr>
              <w:jc w:val="right"/>
              <w:spacing w:after="0"/>
              <w:rPr>
                <w:sz w:val="20"/>
                <w:szCs w:val="20"/>
                <w:color w:val="auto"/>
              </w:rPr>
            </w:pPr>
            <w:r>
              <w:rPr>
                <w:rFonts w:ascii="Arial" w:cs="Arial" w:eastAsia="Arial" w:hAnsi="Arial"/>
                <w:sz w:val="18"/>
                <w:szCs w:val="18"/>
                <w:color w:val="auto"/>
              </w:rPr>
              <w:t>(53,728)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(53,728)</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9,885</w:t>
            </w:r>
          </w:p>
        </w:tc>
        <w:tc>
          <w:tcPr>
            <w:tcW w:w="0" w:type="dxa"/>
            <w:vAlign w:val="bottom"/>
          </w:tcPr>
          <w:p>
            <w:pPr>
              <w:spacing w:after="0"/>
              <w:rPr>
                <w:sz w:val="1"/>
                <w:szCs w:val="1"/>
                <w:color w:val="auto"/>
              </w:rPr>
            </w:pPr>
          </w:p>
        </w:tc>
      </w:tr>
      <w:tr>
        <w:trPr>
          <w:trHeight w:val="217"/>
        </w:trPr>
        <w:tc>
          <w:tcPr>
            <w:tcW w:w="3280" w:type="dxa"/>
            <w:vAlign w:val="bottom"/>
            <w:gridSpan w:val="2"/>
          </w:tcPr>
          <w:p>
            <w:pPr>
              <w:spacing w:after="0"/>
              <w:rPr>
                <w:sz w:val="20"/>
                <w:szCs w:val="20"/>
                <w:color w:val="auto"/>
              </w:rPr>
            </w:pPr>
            <w:r>
              <w:rPr>
                <w:rFonts w:ascii="Arial" w:cs="Arial" w:eastAsia="Arial" w:hAnsi="Arial"/>
                <w:sz w:val="18"/>
                <w:szCs w:val="18"/>
                <w:color w:val="auto"/>
              </w:rPr>
              <w:t>Balance as of April 30, 2018</w:t>
            </w:r>
          </w:p>
        </w:tc>
        <w:tc>
          <w:tcPr>
            <w:tcW w:w="220" w:type="dxa"/>
            <w:vAlign w:val="bottom"/>
            <w:gridSpan w:val="2"/>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gridSpan w:val="2"/>
          </w:tcPr>
          <w:p>
            <w:pPr>
              <w:spacing w:after="0"/>
              <w:rPr>
                <w:sz w:val="18"/>
                <w:szCs w:val="18"/>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4"/>
              </w:rPr>
              <w:t>$ 454,398</w:t>
            </w: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gridSpan w:val="2"/>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(2,086)</w:t>
            </w:r>
          </w:p>
        </w:tc>
        <w:tc>
          <w:tcPr>
            <w:tcW w:w="2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4"/>
              </w:rPr>
              <w:t>$ 630,633</w:t>
            </w: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gridSpan w:val="2"/>
          </w:tcPr>
          <w:p>
            <w:pPr>
              <w:spacing w:after="0"/>
              <w:rPr>
                <w:sz w:val="18"/>
                <w:szCs w:val="18"/>
                <w:color w:val="auto"/>
              </w:rPr>
            </w:pPr>
          </w:p>
        </w:tc>
        <w:tc>
          <w:tcPr>
            <w:tcW w:w="320" w:type="dxa"/>
            <w:vAlign w:val="bottom"/>
            <w:tcBorders>
              <w:top w:val="single" w:sz="8" w:color="auto"/>
              <w:bottom w:val="single" w:sz="8" w:color="auto"/>
            </w:tcBorders>
          </w:tcPr>
          <w:p>
            <w:pPr>
              <w:jc w:val="right"/>
              <w:ind w:right="146"/>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0"/>
              </w:rPr>
              <w:t>(283)</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$ 1,082,924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months ended April 30, 2019, the Company issued no shares of common stock and utilized 207,325 shares of treasury stock in connection with the vesting of equity awards. For the three months ended April 30, 2018, the Company issued 6,000 shares of common stock and utilized 34,515 shares of treasury stock in connection with the exercise or vesting of equity awards.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10 – Canadian Customs Duty Examination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October 2017, the Canada Border Service Agency (“CBSA”) issued a final audit report to G-III Apparel Canada ULC (“G-III Canada”), a wholly-owned subsidiary of the Company. The report challenged the valuation used by G-III Canada for certain goods imported into Canada. The period covered by the examination is February 1, 2014 through the date of the final report, October 27, 2017. The CBSA has requested G-III Canada to reassess its customs entries for that period using the price paid or payable by the Canadian retail customers for certain imported goods rather than the price paid by G-III Canada to the vendor. The CBSA has also requested that G-III Canada change the valuation method used to pay duties with respect to goods imported in the future.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881" w:right="1419" w:bottom="1440" w:gutter="0" w:footer="0" w:header="0"/>
        </w:sectPr>
      </w:pPr>
    </w:p>
    <w:bookmarkStart w:id="13" w:name="page14"/>
    <w:bookmarkEnd w:id="13"/>
    <w:p>
      <w:pPr>
        <w:jc w:val="both"/>
        <w:spacing w:after="0" w:line="271" w:lineRule="auto"/>
        <w:rPr>
          <w:sz w:val="20"/>
          <w:szCs w:val="20"/>
          <w:color w:val="auto"/>
        </w:rPr>
      </w:pPr>
      <w:r>
        <w:rPr>
          <w:rFonts w:ascii="Arial" w:cs="Arial" w:eastAsia="Arial" w:hAnsi="Arial"/>
          <w:sz w:val="17"/>
          <w:szCs w:val="17"/>
          <w:color w:val="auto"/>
        </w:rPr>
        <w:t>In March 2018, G-III Canada provided a bond to guarantee payment to the CBSA for additional duties payable as a result of the reassessment required by the final audit report. The Company secured a bond in the amount of CAD$26.9 million ($20.9 million) representing customs duty and interest through December 31, 2017 that is claimed to be owed to the CBSA. In March 2018, the Company amended the duties filed for the month of January 2018 based on the new valuation method. This amount was paid to the CBSA. Beginning February 1, 2018, the Company began paying duties based on the new valuation method. Expense amounts deferred for the three months ended April 30, 2019, related to the higher dutiable values, were CAD$1.6 million ($1.2 million). Cumulative expense amounts deferred through April 30, 2019, related to the higher dutiable values, were CAD$12.4 million ($9.2 million).</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G-III Canada, based on the advice of counsel, believes it has positions that support its ability to receive a refund of amounts claimed to be owed to the CBSA on appeal and intends to vigorously contest the findings of the CBSA. G-III Canada filed its appeal with the CBSA in May 2018.</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Effective June 1, 2019, G-III commenced paying based on the dutiable value of G-III Canada’s imports based on the pre-audit levels. G-III will continue to defer the additional duty paid through the month of May 2019 pending the final outcome of the appeal.</w:t>
      </w:r>
    </w:p>
    <w:p>
      <w:pPr>
        <w:spacing w:after="0" w:line="100" w:lineRule="exact"/>
        <w:rPr>
          <w:sz w:val="20"/>
          <w:szCs w:val="20"/>
          <w:color w:val="auto"/>
        </w:rPr>
      </w:pPr>
    </w:p>
    <w:p>
      <w:pPr>
        <w:ind w:right="4200"/>
        <w:spacing w:after="0" w:line="407" w:lineRule="auto"/>
        <w:rPr>
          <w:sz w:val="20"/>
          <w:szCs w:val="20"/>
          <w:color w:val="auto"/>
        </w:rPr>
      </w:pPr>
      <w:r>
        <w:rPr>
          <w:rFonts w:ascii="Arial" w:cs="Arial" w:eastAsia="Arial" w:hAnsi="Arial"/>
          <w:sz w:val="18"/>
          <w:szCs w:val="18"/>
          <w:color w:val="auto"/>
        </w:rPr>
        <w:t xml:space="preserve">Note 11 – Recent Adopted and Issued Accounting Pronouncements </w:t>
      </w:r>
      <w:r>
        <w:rPr>
          <w:rFonts w:ascii="Arial" w:cs="Arial" w:eastAsia="Arial" w:hAnsi="Arial"/>
          <w:sz w:val="18"/>
          <w:szCs w:val="18"/>
          <w:i w:val="1"/>
          <w:iCs w:val="1"/>
          <w:color w:val="auto"/>
        </w:rPr>
        <w:t>Recently Adopted Accounting Guidance</w:t>
      </w:r>
    </w:p>
    <w:p>
      <w:pPr>
        <w:jc w:val="both"/>
        <w:spacing w:after="0" w:line="218" w:lineRule="exact"/>
        <w:rPr>
          <w:sz w:val="20"/>
          <w:szCs w:val="20"/>
          <w:color w:val="auto"/>
        </w:rPr>
      </w:pPr>
      <w:r>
        <w:rPr>
          <w:rFonts w:ascii="Arial" w:cs="Arial" w:eastAsia="Arial" w:hAnsi="Arial"/>
          <w:sz w:val="17"/>
          <w:szCs w:val="17"/>
          <w:color w:val="auto"/>
        </w:rPr>
        <w:t>In February 2016, the FASB issued ASU 2016-02, “Leases (Topic 842).” ASU 2016</w:t>
      </w:r>
      <w:r>
        <w:rPr>
          <w:rFonts w:ascii="MS PGothic" w:cs="MS PGothic" w:eastAsia="MS PGothic" w:hAnsi="MS PGothic"/>
          <w:sz w:val="17"/>
          <w:szCs w:val="17"/>
          <w:color w:val="auto"/>
        </w:rPr>
        <w:t>‑</w:t>
      </w:r>
      <w:r>
        <w:rPr>
          <w:rFonts w:ascii="Arial" w:cs="Arial" w:eastAsia="Arial" w:hAnsi="Arial"/>
          <w:sz w:val="17"/>
          <w:szCs w:val="17"/>
          <w:color w:val="auto"/>
        </w:rPr>
        <w:t>02 requires that a lessee recognize in the statement of financial position a liability to make lease payments (the lease liability) and a right-of-use asset representing its right to use the underlying asset for the lease term (other than leases that meet the definition of a short-term lease). The liability will be equal to the present value of lease payments. The asset will be based on the liability, subject to certain adjustments. The Company adopted ASU 2016-02 during the first quarter of fiscal 2020 using the optional transition method to apply the standard as of the effective date. As a result of adopting this standard, as of February 1, 2019, the Company recognized operating lease liabilities of $384.5 million and corresponding operating lease assets of $341.2 million. In addition, the Company recorded a $9.6 million impairment of the operating lease assets, net of tax, at adoption. The impairment was recorded as a reduction to retained earnings.</w:t>
      </w:r>
    </w:p>
    <w:p>
      <w:pPr>
        <w:spacing w:after="0" w:line="204"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color w:val="auto"/>
        </w:rPr>
        <w:t>In June 2018, the FASB issued ASU 2018</w:t>
      </w:r>
      <w:r>
        <w:rPr>
          <w:rFonts w:ascii="MS PGothic" w:cs="MS PGothic" w:eastAsia="MS PGothic" w:hAnsi="MS PGothic"/>
          <w:sz w:val="18"/>
          <w:szCs w:val="18"/>
          <w:color w:val="auto"/>
        </w:rPr>
        <w:t>‑</w:t>
      </w:r>
      <w:r>
        <w:rPr>
          <w:rFonts w:ascii="Arial" w:cs="Arial" w:eastAsia="Arial" w:hAnsi="Arial"/>
          <w:sz w:val="18"/>
          <w:szCs w:val="18"/>
          <w:color w:val="auto"/>
        </w:rPr>
        <w:t>07, “FASB Simplifies Guidance on Nonemployee Share-Based Payments”, which supersedes ASC 505</w:t>
      </w:r>
      <w:r>
        <w:rPr>
          <w:rFonts w:ascii="MS PGothic" w:cs="MS PGothic" w:eastAsia="MS PGothic" w:hAnsi="MS PGothic"/>
          <w:sz w:val="18"/>
          <w:szCs w:val="18"/>
          <w:color w:val="auto"/>
        </w:rPr>
        <w:t>‑</w:t>
      </w:r>
      <w:r>
        <w:rPr>
          <w:rFonts w:ascii="Arial" w:cs="Arial" w:eastAsia="Arial" w:hAnsi="Arial"/>
          <w:sz w:val="18"/>
          <w:szCs w:val="18"/>
          <w:color w:val="auto"/>
        </w:rPr>
        <w:t>50 and expands the scope of ASC 718 to include all share-based payment arrangements related to the acquisition of goods and services from both nonemployees and employees. As a result, most of the guidance in ASC 718 associated with employee share-based payments, including most of its requirements related to classification and measurement, applies to nonemployee share-based payment arrangements. The Company adopted ASU 2018</w:t>
      </w:r>
      <w:r>
        <w:rPr>
          <w:rFonts w:ascii="MS PGothic" w:cs="MS PGothic" w:eastAsia="MS PGothic" w:hAnsi="MS PGothic"/>
          <w:sz w:val="18"/>
          <w:szCs w:val="18"/>
          <w:color w:val="auto"/>
        </w:rPr>
        <w:t>‑</w:t>
      </w:r>
      <w:r>
        <w:rPr>
          <w:rFonts w:ascii="Arial" w:cs="Arial" w:eastAsia="Arial" w:hAnsi="Arial"/>
          <w:sz w:val="18"/>
          <w:szCs w:val="18"/>
          <w:color w:val="auto"/>
        </w:rPr>
        <w:t>07 during the first quarter of fiscal 2020. The adoption did not have an impact on the Company’s condensed consolidated financial statements.</w:t>
      </w:r>
    </w:p>
    <w:p>
      <w:pPr>
        <w:spacing w:after="0" w:line="207" w:lineRule="exact"/>
        <w:rPr>
          <w:sz w:val="20"/>
          <w:szCs w:val="20"/>
          <w:color w:val="auto"/>
        </w:rPr>
      </w:pPr>
    </w:p>
    <w:p>
      <w:pPr>
        <w:jc w:val="both"/>
        <w:spacing w:after="0" w:line="219" w:lineRule="exact"/>
        <w:rPr>
          <w:sz w:val="20"/>
          <w:szCs w:val="20"/>
          <w:color w:val="auto"/>
        </w:rPr>
      </w:pPr>
      <w:r>
        <w:rPr>
          <w:rFonts w:ascii="Arial" w:cs="Arial" w:eastAsia="Arial" w:hAnsi="Arial"/>
          <w:sz w:val="17"/>
          <w:szCs w:val="17"/>
          <w:color w:val="auto"/>
        </w:rPr>
        <w:t>In February 2018, the FASB issued ASU 2018</w:t>
      </w:r>
      <w:r>
        <w:rPr>
          <w:rFonts w:ascii="MS PGothic" w:cs="MS PGothic" w:eastAsia="MS PGothic" w:hAnsi="MS PGothic"/>
          <w:sz w:val="17"/>
          <w:szCs w:val="17"/>
          <w:color w:val="auto"/>
        </w:rPr>
        <w:t>‑</w:t>
      </w:r>
      <w:r>
        <w:rPr>
          <w:rFonts w:ascii="Arial" w:cs="Arial" w:eastAsia="Arial" w:hAnsi="Arial"/>
          <w:sz w:val="17"/>
          <w:szCs w:val="17"/>
          <w:color w:val="auto"/>
        </w:rPr>
        <w:t>02, “Income Statement — Reporting Comprehensive Income (Topic 220): Reclassification of Certain Tax Effects from Accumulated Other Comprehensive Income”, which provides financial statement preparers with an option to reclassify stranded tax effects within accumulated other comprehensive income to retained earnings in each period in which the effect of the change in the U.S. federal corporate income tax rate (or portion thereof) in the Tax Cut and Jobs Act is recorded. The Company adopted ASU 2018</w:t>
      </w:r>
      <w:r>
        <w:rPr>
          <w:rFonts w:ascii="MS PGothic" w:cs="MS PGothic" w:eastAsia="MS PGothic" w:hAnsi="MS PGothic"/>
          <w:sz w:val="17"/>
          <w:szCs w:val="17"/>
          <w:color w:val="auto"/>
        </w:rPr>
        <w:t>‑</w:t>
      </w:r>
      <w:r>
        <w:rPr>
          <w:rFonts w:ascii="Arial" w:cs="Arial" w:eastAsia="Arial" w:hAnsi="Arial"/>
          <w:sz w:val="17"/>
          <w:szCs w:val="17"/>
          <w:color w:val="auto"/>
        </w:rPr>
        <w:t>02 during the first quarter of fiscal 2020. The adoption did not have an impact on the Company’s condensed consolidated financial statements.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881" w:right="141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color w:val="auto"/>
        </w:rPr>
        <w:t>Issued Accounting Guidance Being Evaluated for Adoption</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August 2018, the FASB issued ASU 2018-13, “Fair Value Measurement (Topic 820): Disclosure Framework – Changes to the Disclosure Requirements for Fair Value Measurement,” which makes a number of changes meant to add, modify or remove certain disclosure requirements associated with the movement among or hierarchy associated with Level 1, Level 2 and Level 3 fair value measurements. The amendments in ASU 2018-13 modify the disclosure requirements with respect to fair value measurements based on the concepts in FASB Concepts Statement, Conceptual Framework for Financial Reporting —Chapter 8: Notes to Financial Statements, including the consideration of costs and benefits. The amendments to changes in unrealized gains and losses, the range and weighted average of significant unobservable inputs used to develop Level 3 fair value measurements, and the narrative description of measurement uncertainty should be applied prospectively for only the most recent interim or annual period presented in the initial fiscal year of adoption. All other amendments should be applied retrospectively to all periods presented upon their effective date. The amendments are effective for all entities for fiscal years beginning after December 15, 2019, and interim periods within those fiscal years, with early adoption permitted. The Company is currently evaluating the potential impact of ASU 2018-13 on its consolidated financial statements.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881" w:right="1419" w:bottom="1440" w:gutter="0" w:footer="0" w:header="0"/>
        </w:sectPr>
      </w:pPr>
    </w:p>
    <w:bookmarkStart w:id="15" w:name="page16"/>
    <w:bookmarkEnd w:id="15"/>
    <w:p>
      <w:pPr>
        <w:spacing w:after="0"/>
        <w:tabs>
          <w:tab w:leader="none" w:pos="9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17" w:lineRule="exact"/>
        <w:rPr>
          <w:sz w:val="20"/>
          <w:szCs w:val="20"/>
          <w:color w:val="auto"/>
        </w:rPr>
      </w:pPr>
      <w:r>
        <w:rPr>
          <w:rFonts w:ascii="Arial" w:cs="Arial" w:eastAsia="Arial" w:hAnsi="Arial"/>
          <w:sz w:val="17"/>
          <w:szCs w:val="17"/>
          <w:color w:val="auto"/>
        </w:rPr>
        <w:t>Unless the context otherwise requires, “G-III”, “us”, “we” and “our” refer to G-III Apparel Group, Ltd. and its subsidiaries. References to fiscal years refer to the year ended or ending on January 31 of that year. For example, our fiscal year ending January 31, 2020 is referred to as “fiscal 2020”. Vilebrequin, KLH, KLNA and Fabco report results on a calendar year basis rather than on the January 31 fiscal year basis used by G-III. Accordingly, the results of Vilebrequin, KLH, KLNA and Fabco are, and will be, included in our financial statements for the quarter ended or ending closest to G-III’s fiscal quarter. For example, with respect to our results for the three-month period ended April 30, 2019, the results of Vilebrequin, KLH, KLNA and Fabco are included for the three-month period ended March 31, 2019. We account for our investment in KLH, KLNA and Fabco using the equity method of accounting. The Company’s retail operations segment uses a 52/53</w:t>
      </w:r>
      <w:r>
        <w:rPr>
          <w:rFonts w:ascii="MS PGothic" w:cs="MS PGothic" w:eastAsia="MS PGothic" w:hAnsi="MS PGothic"/>
          <w:sz w:val="17"/>
          <w:szCs w:val="17"/>
          <w:color w:val="auto"/>
        </w:rPr>
        <w:t>‑</w:t>
      </w:r>
      <w:r>
        <w:rPr>
          <w:rFonts w:ascii="Arial" w:cs="Arial" w:eastAsia="Arial" w:hAnsi="Arial"/>
          <w:sz w:val="17"/>
          <w:szCs w:val="17"/>
          <w:color w:val="auto"/>
        </w:rPr>
        <w:t>week fiscal year. The Company’s three-month periods ended April 30, 2019 and 2018 were both a 13</w:t>
      </w:r>
      <w:r>
        <w:rPr>
          <w:rFonts w:ascii="MS PGothic" w:cs="MS PGothic" w:eastAsia="MS PGothic" w:hAnsi="MS PGothic"/>
          <w:sz w:val="17"/>
          <w:szCs w:val="17"/>
          <w:color w:val="auto"/>
        </w:rPr>
        <w:t>‑</w:t>
      </w:r>
      <w:r>
        <w:rPr>
          <w:rFonts w:ascii="Arial" w:cs="Arial" w:eastAsia="Arial" w:hAnsi="Arial"/>
          <w:sz w:val="17"/>
          <w:szCs w:val="17"/>
          <w:color w:val="auto"/>
        </w:rPr>
        <w:t>week fiscal quarter for the retail operations segment. For fiscal 2020 and 2019, the retail operations segment three month periods ended on May 4, 2019 and May 5, 2018, respectively.</w:t>
      </w:r>
    </w:p>
    <w:p>
      <w:pPr>
        <w:spacing w:after="0" w:line="210"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Various statements contained in this Form 10</w:t>
      </w:r>
      <w:r>
        <w:rPr>
          <w:rFonts w:ascii="MS PGothic" w:cs="MS PGothic" w:eastAsia="MS PGothic" w:hAnsi="MS PGothic"/>
          <w:sz w:val="17"/>
          <w:szCs w:val="17"/>
          <w:color w:val="auto"/>
        </w:rPr>
        <w:t>‑</w:t>
      </w:r>
      <w:r>
        <w:rPr>
          <w:rFonts w:ascii="Arial" w:cs="Arial" w:eastAsia="Arial" w:hAnsi="Arial"/>
          <w:sz w:val="17"/>
          <w:szCs w:val="17"/>
          <w:color w:val="auto"/>
        </w:rPr>
        <w:t>Q, in future filings by us with the SEC, in our press releases and in oral statements made from time to time by us or on our behalf constitute “forward-looking statements” within the meaning of the Private Securities Litigation Reform Act of 1995. Forward-looking statements are based on current expectations and are indicated by words or phrases such as “anticipate,” “estimate,” “expect,” “will,” “project,” “we believe,” “is or remains optimistic,” “currently envisions,” “forecasts,” “goal” and similar words or phrases and involve known and unknown risks, uncertainties and other factors that may cause actual results, performance or achievements to be materially different from the future results, performance or achievements expressed in or implied by such forward-looking statements. Forward-looking statements also include representations of our expectations or beliefs concerning future events that involve risks and uncertainties, including, but not limited to the following:</w:t>
      </w:r>
    </w:p>
    <w:p>
      <w:pPr>
        <w:spacing w:after="0" w:line="204" w:lineRule="exact"/>
        <w:rPr>
          <w:sz w:val="20"/>
          <w:szCs w:val="20"/>
          <w:color w:val="auto"/>
        </w:rPr>
      </w:pPr>
    </w:p>
    <w:p>
      <w:pPr>
        <w:ind w:left="660" w:hanging="333"/>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dependence on licensed products;</w:t>
      </w:r>
    </w:p>
    <w:p>
      <w:pPr>
        <w:spacing w:after="0" w:line="23" w:lineRule="exact"/>
        <w:rPr>
          <w:rFonts w:ascii="Arial" w:cs="Arial" w:eastAsia="Arial" w:hAnsi="Arial"/>
          <w:sz w:val="18"/>
          <w:szCs w:val="18"/>
          <w:color w:val="auto"/>
        </w:rPr>
      </w:pPr>
    </w:p>
    <w:p>
      <w:pPr>
        <w:ind w:left="660" w:hanging="333"/>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dependence on the strategies and reputation of our licensors;</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costs and uncertainties with respect to expansion of our product offerings;</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performance of our products at retail and customer acceptance of new products;</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retail customer concentration;</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of doing business abroad;</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price, availability and quality of materials used in our products;</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need to protect our trademarks and other intellectual property;</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relating to our retail business;</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dependence on existing management;</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make strategic acquisitions and possible disruptions from acquisitions;</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need for additional financing;</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seasonal nature of our business;</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reliance on foreign manufacturers;</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need to successfully upgrade, maintain and secure our information systems;</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data security or privacy breaches;</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the current economic and credit environment on us, our customers, suppliers and vendors;</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effects of competition in the markets in which we operate, including from e-commerce retailers;</w:t>
      </w:r>
    </w:p>
    <w:p>
      <w:pPr>
        <w:spacing w:after="0" w:line="9" w:lineRule="exact"/>
        <w:rPr>
          <w:rFonts w:ascii="Arial" w:cs="Arial" w:eastAsia="Arial" w:hAnsi="Arial"/>
          <w:sz w:val="18"/>
          <w:szCs w:val="18"/>
          <w:color w:val="auto"/>
        </w:rPr>
      </w:pPr>
    </w:p>
    <w:p>
      <w:pPr>
        <w:ind w:left="660" w:hanging="333"/>
        <w:spacing w:after="0" w:line="281"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redefinition of the retail store landscape in light of widespread retail store closings, the bankruptcy of a number of prominent retailers and the impact of online apparel purchases and innovations by e-commerce retailers;</w:t>
      </w:r>
    </w:p>
    <w:p>
      <w:pPr>
        <w:spacing w:after="0" w:line="1" w:lineRule="exact"/>
        <w:rPr>
          <w:rFonts w:ascii="Arial" w:cs="Arial" w:eastAsia="Arial" w:hAnsi="Arial"/>
          <w:sz w:val="16"/>
          <w:szCs w:val="16"/>
          <w:color w:val="auto"/>
        </w:rPr>
      </w:pPr>
    </w:p>
    <w:p>
      <w:pPr>
        <w:ind w:left="660" w:hanging="333"/>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consolidation of our retail customers;</w:t>
      </w:r>
    </w:p>
    <w:p>
      <w:pPr>
        <w:spacing w:after="0" w:line="9" w:lineRule="exact"/>
        <w:rPr>
          <w:rFonts w:ascii="Arial" w:cs="Arial" w:eastAsia="Arial" w:hAnsi="Arial"/>
          <w:sz w:val="18"/>
          <w:szCs w:val="18"/>
          <w:color w:val="auto"/>
        </w:rPr>
      </w:pPr>
    </w:p>
    <w:p>
      <w:pPr>
        <w:ind w:left="660" w:hanging="333"/>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on our business of the imposition of tariffs by the United States government and the escalation of trade tensions between countries;</w:t>
      </w:r>
    </w:p>
    <w:p>
      <w:pPr>
        <w:ind w:left="660" w:hanging="333"/>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additional legislation and/or regulation in the United States or around the world;</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import products in a timely and cost effective manner;</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continue to maintain our reputation;</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the price of our common stock;</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effect on the price of our common stock if actual results are worse than financial forecasts;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877" w:right="1419" w:bottom="1440" w:gutter="0" w:footer="0" w:header="0"/>
        </w:sectPr>
      </w:pPr>
    </w:p>
    <w:bookmarkStart w:id="16" w:name="page17"/>
    <w:bookmarkEnd w:id="16"/>
    <w:p>
      <w:pPr>
        <w:ind w:left="660" w:hanging="333"/>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 of regulations applicable to us as a U.S. public company; and</w:t>
      </w:r>
    </w:p>
    <w:p>
      <w:pPr>
        <w:spacing w:after="0" w:line="23" w:lineRule="exact"/>
        <w:rPr>
          <w:rFonts w:ascii="Arial" w:cs="Arial" w:eastAsia="Arial" w:hAnsi="Arial"/>
          <w:sz w:val="18"/>
          <w:szCs w:val="18"/>
          <w:color w:val="auto"/>
        </w:rPr>
      </w:pPr>
    </w:p>
    <w:p>
      <w:pPr>
        <w:ind w:left="660" w:hanging="333"/>
        <w:spacing w:after="0" w:line="261"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successfully implement our business strategies to realize the anticipated benefits of the acquisition of Donna Karan International Inc. (“DKI”)</w:t>
      </w:r>
    </w:p>
    <w:p>
      <w:pPr>
        <w:spacing w:after="0" w:line="400"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Any forward-looking statements are based largely on our expectations and judgments and are subject to a number of risks and uncertainties, many of which are unforeseeable and beyond our control. A detailed discussion of significant risk factors that have the potential to cause our actual results to differ materially from our expectations is described under the heading “Risk Factors”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January 31, 2019. We undertake no obligation to publicly update or revise any forward-looking statements, whether as a result of new information, future events or otherwise, except as required by law.</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G-III designs, sources and markets an extensive range of apparel, including outerwear, dresses, sportswear, swimwear, women’s suits and women’s performance wear, as well as women’s handbags, footwear, small leather goods, cold weather accessories and luggage. G-III has a substantial portfolio of more than 30 licensed and proprietary brands, anchored by five global power brands: DKNY, Donna Karan, Calvin Klein, Tommy Hilfiger and Karl Lagerfeld Paris. We are not only licensees, but also brand owners, and we distribute our products through multiple brick and mortar and online channels.</w:t>
      </w:r>
    </w:p>
    <w:p>
      <w:pPr>
        <w:spacing w:after="0" w:line="15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own proprietary brands include DKNY, Donna Karan, Vilebrequin, G.H. Bass, Andrew Marc, Marc New York, Eliza J and Jessica Howard. We sell products under an extensive portfolio of well-known licensed brands, including Calvin Klein, Tommy Hilfiger, Karl Lagerfeld Paris, Kenneth Cole, Cole Haan, Guess?, Vince Camuto, Levi’s and Dockers. Through our team sports business, we have licenses with the National Football League, National Basketball Association, Major League Baseball, National Hockey League, Starter and over 150 U.S. colleges and universities. We also sell products under private retail labels for retailers such as Costco, Ross Stores and Nordstrom.</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operate in fashion markets that are intensely competitive. Our ability to continuously evaluate and respond to changing consumer demands and tastes, across multiple market segments, distribution channels and geographic areas is critical to our success. Although our portfolio of brands is aimed at diversifying our risks in this regard, misjudging shifts in consumer preferences could have a negative effect on our business. Our success in the future will depend on our ability to design products that are accepted in the marketplace, source the manufacture of our products on a competitive basis, and continue to diversify our product portfolio and the markets we serve.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report based on two segments: wholesale operations and retail operations.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wholesale operations segment includes sales of products to retailers under owned, licensed and private label brands, as well as sales related to the Vilebrequin business. Wholesale revenues also include royalty revenues from license agreements related to our owned trademarks including DKNY, Donna Karan, Vilebrequin, G.H. Bass and Andrew Marc.</w:t>
      </w:r>
    </w:p>
    <w:p>
      <w:pPr>
        <w:spacing w:after="0" w:line="14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retail operations segment includes direct sales to consumers through company-operated stores and product sales through our owned websites for the DKNY, Donna Karan, Wilsons, G.H. Bass, Andrew Marc and Karl Lagerfeld Paris businesses. Our retail operations segment consists primarily of our Wilsons Leather, G.H. Bass and DKNY stores, substantially all of which are operated as outlet stores, as well as a smaller number of Karl Lagerfeld Paris and Calvin Klein Performance stores. As of April 30, 2019, we operated 134 Wilsons Leather stores, 107 G.H. Bass stores, 40 DKNY stores, 11 Karl Lagerfeld Paris stores and 4 Calvin Klein Performance stores.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Licensed Products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sale of licensed products is a key element of our strategy and we have continually expanded our offerings of licensed products for the past 25 years.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881" w:right="1419" w:bottom="1440" w:gutter="0" w:footer="0" w:header="0"/>
        </w:sectPr>
      </w:pPr>
    </w:p>
    <w:bookmarkStart w:id="17" w:name="page18"/>
    <w:bookmarkEnd w:id="17"/>
    <w:p>
      <w:pPr>
        <w:jc w:val="both"/>
        <w:spacing w:after="0" w:line="264" w:lineRule="auto"/>
        <w:rPr>
          <w:sz w:val="20"/>
          <w:szCs w:val="20"/>
          <w:color w:val="auto"/>
        </w:rPr>
      </w:pPr>
      <w:r>
        <w:rPr>
          <w:rFonts w:ascii="Arial" w:cs="Arial" w:eastAsia="Arial" w:hAnsi="Arial"/>
          <w:sz w:val="18"/>
          <w:szCs w:val="18"/>
          <w:color w:val="auto"/>
        </w:rPr>
        <w:t>Our most significant licensor is Calvin Klein with whom we have ten different license agreements in the US and Canada and distribution agreements with respect to Calvin Klein luggage in a number of countries in Asia, Europe, North America, Oceania, Central America, South America, the Caribbean Islands and the Middle East.</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Additionally, in June 2019, we announced that we had further expanded our relationship with Calvin Klein by entering into a license agreement with an initial term of five years for the design, production and wholesale distribution of </w:t>
      </w:r>
      <w:r>
        <w:rPr>
          <w:rFonts w:ascii="Arial" w:cs="Arial" w:eastAsia="Arial" w:hAnsi="Arial"/>
          <w:sz w:val="17"/>
          <w:szCs w:val="17"/>
          <w:i w:val="1"/>
          <w:iCs w:val="1"/>
          <w:color w:val="auto"/>
        </w:rPr>
        <w:t>Calvin Klein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Jeans </w:t>
      </w:r>
      <w:r>
        <w:rPr>
          <w:rFonts w:ascii="Arial" w:cs="Arial" w:eastAsia="Arial" w:hAnsi="Arial"/>
          <w:sz w:val="17"/>
          <w:szCs w:val="17"/>
          <w:color w:val="auto"/>
        </w:rPr>
        <w:t>women’s jeanswear collection in the U.S. and Canada. The launch of G-III’s first women’s Calvin Klein Jeans</w:t>
      </w:r>
      <w:r>
        <w:rPr>
          <w:rFonts w:ascii="Arial" w:cs="Arial" w:eastAsia="Arial" w:hAnsi="Arial"/>
          <w:sz w:val="17"/>
          <w:szCs w:val="17"/>
          <w:i w:val="1"/>
          <w:iCs w:val="1"/>
          <w:color w:val="auto"/>
        </w:rPr>
        <w:t xml:space="preserve"> </w:t>
      </w:r>
      <w:r>
        <w:rPr>
          <w:rFonts w:ascii="Arial" w:cs="Arial" w:eastAsia="Arial" w:hAnsi="Arial"/>
          <w:sz w:val="17"/>
          <w:szCs w:val="17"/>
          <w:color w:val="auto"/>
        </w:rPr>
        <w:t>collection is expected for the spring 2020 season. This is our eleventh license agreement with Calvin Klein.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 significant relationship with Tommy Hilfiger that has grown in recent years. We have an expanded license agreement with Tommy Hilfiger for womenswear in the United States and Canada. This license for women’s sportswear, dresses, suit separates, performance and denim was in addition to our licenses in the United States and Canada for Tommy Hilfiger men’s and women’s outerwear and luggage.</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February 2018, we expanded the product offerings under our Karl Lagerfeld Paris license to include men’s apparel (previously men’s outerwear only) and men’s footwear in North America. These expanded product categories are in addition to our North America rights for Karl Lagerfeld Paris women’s apparel, women’s footwear and women’s handbags, all of which are produced and distributed pursuant to a long-term license agreement.</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that consumers prefer to buy brands they know, and we have continually sought licenses that would increase the portfolio of name brands we can offer through different tiers of retail distribution, for a wide array of products at a variety of price points. We believe that brand owners are looking to consolidate the number of licensees they engage to develop product and to choose licensees who have a successful track record of developing brands. We continue to seek other opportunities to enter into license agreements in order to expand our product offerings under well-known labels and broaden the markets that we serve.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Licensing of Proprietary Brands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our portfolio of proprietary brands has grown, we have licensed these brands in new categories. We began licensing Andrew Marc, Vilebrequin and G.H. Bass in selected categories after acquiring these brands. Our licensing program has significantly increased as a result of owning the DKNY and Donna Karan brands.</w:t>
      </w:r>
    </w:p>
    <w:p>
      <w:pPr>
        <w:spacing w:after="0" w:line="18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currently license the DKNY and Donna Karan brands for a broad array of products in the U.S. and internationally including fragrance, hosiery, intimates, eyewear, jewelry, home furnishings and sleepwear. The DKNY brand is licensed in the U.S. and internationally for children’s clothing, watches and men’s tailored clothing. We have strong relationships with category leading license partners, including Estee Lauder, Fossil, PVH Corp. and Hanesbrands. We have also licensed DKNY and Donna Karan’s men’s and women’s apparel and accessories in China pursuant to a long-term license agreement with a joint venture of which we are a 49% owner. Further, we license the DKNY brand in North America for the following product categories: men’s sportswear, men’s dress shirts, men’s neckwear, men’s underwear, men’s loungewear, small leather goods, women’s belts and cold weather accessories and the DKNY and Donna Karan brands in North America for socks. Most recently, we licensed DKNY men’s underwear, men’s loungewear, men’s swimwear and men’s socks in Europe, the UK and Russia. We intend to continue to focus on expanding licensing opportunities for the DKNY and Donna Karan brands. We believe that we can capitalize on significant, untapped global licensing potential for these brands in a number of categories and we intend to grow royalty streams by expanding existing licenses, as well as through new categories with new licensees.</w:t>
      </w:r>
    </w:p>
    <w:p>
      <w:pPr>
        <w:spacing w:after="0" w:line="16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currently license the G.H. Bass brand for the wholesale distribution of men’s, women’s and children’s footwear, boy’s tailored clothing, men’s sportswear, men’s socks and women’s hosiery, and men’s accessories and small leather goods and home furnishings.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currently license the Vilebrequin brand internationally for a denim line.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currently license the Andrew Marc brand in North America for men’s and boy’s tailored clothing.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881" w:right="141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Retail Operations</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Given the current retail environment, we are focused on reducing the losses of our retail business with the goal of attaining profitability. Our strategy includes termination or renegotiation of long-term leases as they approach renewal, implementing cost-cutting initiatives, revising our merchandising strategy to drive additional sales and repurposing certain Wilsons and G.H. Bass stores for the Karl Lagerfeld Paris or DKNY brands. We also hired a new President of our retail business who is an industry veteran with a proven track record at leading retailers. We have already eliminated approximately $5.0 million of annualized expenses and salaries from our retail office support functions. In addition, we intend to continue our program of store count reduction and to increase the efficiency and productivity of our retail operations. We anticipate closing approximately 40 to 45 stores during fiscal 2020.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Significant trends that affect the apparel industry include retail chains closing unprofitable stores, an increased focus by retail chains and others on expanding e-commerce sales, the continued consolidation of retail chains and the desire on the part of retailers to consolidate vendors supplying them. In addition, consumer shopping preferences have continued to shift from physical stores to online shopping and retail traffic remains under pressure. All of these factors have led to a more promotional retail environment that includes aggressive markdowns in an attempt to offset declines caused by a reduction in physical store traffic.</w:t>
      </w:r>
    </w:p>
    <w:p>
      <w:pPr>
        <w:spacing w:after="0" w:line="19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sell our products over the web through retail partners such as macys.com and nordstrom.com, each of which has a substantial online business. As e-commerce sales of apparel continue to increase, we are developing additional digital marketing initiatives on our web sites and through social media. We are investing in digital personnel, marketing, logistics, planning and distribution to help us expand our online opportunities going forward. Our e-commerce business consists of our own web platforms at www.dkny.com, www.donnakaran.com, www.wilsonsleather.com, www.ghbass.com, www.vilebrequin.com and www.andrewmarc.com. We also sell Karl Lagerfeld Paris products on our website, www.karllagerfeldparis.com. In addition, we sell to pure play online retail partners such as Amazon and Fanatics.</w:t>
      </w:r>
    </w:p>
    <w:p>
      <w:pPr>
        <w:spacing w:after="0" w:line="16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 number of retailers are experiencing financial difficulties, which in some cases have resulted in bankruptcies, liquidations and/or store closings, such as the bankruptcy of Bon-Ton last year. The financial difficulties of a retail customer of ours could result in reduced business with that customer. We may also assume higher credit risk relating to receivables of a retail customer experiencing financial difficulty that could result in higher reserves for doubtful accounts or increased write-offs of accounts receivable. We attempt to mitigate credit risk from our customers by closely monitoring accounts receivable balances and shipping levels, as well as the ongoing financial performance and credit standing of customers.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Retailers are seeking to differentiate their offerings by devoting more resources to the development of exclusive products, whether by focusing on their own private label products or on products produced exclusively for a retailer by a national brand manufacturer. Exclusive brands are only made available to a specific retailer, and thus customers loyal to their brands can only find them in the stores of that retailer.</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have attempted to respond to trends in our industry by continuing to focus on selling products with recognized brand equity, by attention to design, quality and value and by improving our sourcing capabilities. We have also responded with the strategic acquisitions made by us and new license agreements entered into by us that added to our portfolio of licensed and proprietary brands and helped diversify our business by adding new product lines and expanding distribution channels. We believe that our broad distribution capabilities help us to respond to the various shifts by consumers between distribution channels and that our operational capabilities will enable us to continue to be a vendor of choice for our retail partners.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Tariffs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apparel and accessories industry has been impacted by tariffs implemented by the United States government on goods imported from China. Tariffs on handbags and leather outerwear imported from China were effective beginning in September 2018, and were initially in the amount of 10% of the merchandise cost to us. The level of additional tariffs on these product categories was increased to 25% beginning May 10, 2019.</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881" w:right="1419" w:bottom="1440" w:gutter="0" w:footer="0" w:header="0"/>
        </w:sectPr>
      </w:pPr>
    </w:p>
    <w:bookmarkStart w:id="19" w:name="page20"/>
    <w:bookmarkEnd w:id="19"/>
    <w:p>
      <w:pPr>
        <w:jc w:val="both"/>
        <w:spacing w:after="0" w:line="271" w:lineRule="auto"/>
        <w:rPr>
          <w:sz w:val="20"/>
          <w:szCs w:val="20"/>
          <w:color w:val="auto"/>
        </w:rPr>
      </w:pPr>
      <w:r>
        <w:rPr>
          <w:rFonts w:ascii="Arial" w:cs="Arial" w:eastAsia="Arial" w:hAnsi="Arial"/>
          <w:sz w:val="17"/>
          <w:szCs w:val="17"/>
          <w:color w:val="auto"/>
        </w:rPr>
        <w:t>The U.S. Government has also begun the process to impose a 25% tariff on substantially all remaining products imported from China which would include a broader range of apparel and accessory products. Whether these tariffs will be imposed, and if so, what level of tariffs will be assigned to our products is not known at this time. President Trump recently indicated that he would decide whether to impose a new round of tariffs on China after the G20 summit at the end of June 2019. As of January 31, 2019, approximately 61% of the products that we sell are manufactured in China. Potential tariffs on additional products imported by us from China would increase our costs and require us to increase prices to our customers and seek price concessions from our vendors. If we are unable to increase prices to offset an increase in tariffs, this would result in our realizing lower gross margins on the products sold by us.</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date, tariffs imposed on products imported by us from China primarily impacted our handbag and leather outerwear categories. These specific categories represented approximately 7% of our net sales in fiscal 2019. We estimate that, if the incremental 15% increase in tariffs on these categories remain in place for the remainder of fiscal 2020, our costs would increase by approximately $6.0 million.</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If the U.S. and China are not able to resolve their differences, additional tariffs may be put in place and additional products may become subject to tariffs. We have engaged in a number of efforts to mitigate the effect on our results of operations of increases in tariffs on products imported by us from China, including diversifying our sourcing network by arranging to move production out of China, negotiating with our vendors in China to receive vendor support to lessen the impact of increased tariffs on our cost of goods sold, and discussing with our customers the implementation of price increases that we believe our products can absorb because of the strength of our portfolio of brands. Because of the uncertainties involved with respect to the amount of tariffs that may be applicable, the products to which any additional tariffs will be applied and the results of our mitigation efforts, we cannot estimate at this point the effect of any additional increases in tariffs on our results of operations for fiscal 2020.</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April 30, 2019 compared to three months ended April 30, 2018</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sales for the three months ended April 30, 2019 increased to $633.6 million from $611.7 million in the same period last year. Net sales of our segments are reported before intercompany eliminations.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Net sales of our wholesale operations segment increased to $570.6 million from $527.7 million in the comparable period last year. This increase is primarily the result of a $44.6 million increase in net sales of Tommy Hilfiger licensed products and a $15.9 million increase in net sales of our DKNY and Donna Karan products. The Tommy Hilfiger increase was primarily related to the sportswear, dress and suit separates product lines and the DKNY/Donna Karan increase was primarily related to the sportswear, handbags and footwear product lines. These increases were offset, in part, by a $10.1 million decrease in sales of Ivanka Trump product in connection with the expiration of that license.</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sales of our retail operations segment were $81.9 million for the three months ended April 30, 2019 compared to $104.5 million in the same period last year. Net sales decreased $11.6 million at our Wilsons retail stores, $8.3 million at our G.H. Bass store chain and $2.2 million at our DKNY retail stores. Same store sales decreased by 23.1% at Wilsons stores, 10.9% at G.H. Bass stores and 1.1% at DKNY stores compared to the same period in the prior year. Net sales of our retail operations segment were negatively affected by the decrease in the number of stores operated by us from 350 at April 30, 2018 to 296 at April 30, 2019.</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Gross profit increased to $236.1 million, or 37.3% of net sales, for the three months ended April 30, 2019, from $234.5 million, or 38.3% of net sales, in the same period last year. The gross profit percentage in our wholesale operations segment was 34.8% in the three months ended April 30, 2019 compared to 35.2% in the same period last year. The gross profit percentage in our retail operations segment was 45.2% for the three months ended April 30, 2019 compared to 46.3% for the same period last year. This decrease for our retail operations segment is primarily the result of higher promotions in our Wilsons stores in the current year.</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881" w:right="1419" w:bottom="1440" w:gutter="0" w:footer="0" w:header="0"/>
        </w:sectPr>
      </w:pPr>
    </w:p>
    <w:bookmarkStart w:id="20" w:name="page21"/>
    <w:bookmarkEnd w:id="20"/>
    <w:p>
      <w:pPr>
        <w:jc w:val="both"/>
        <w:spacing w:after="0" w:line="264" w:lineRule="auto"/>
        <w:rPr>
          <w:sz w:val="20"/>
          <w:szCs w:val="20"/>
          <w:color w:val="auto"/>
        </w:rPr>
      </w:pPr>
      <w:r>
        <w:rPr>
          <w:rFonts w:ascii="Arial" w:cs="Arial" w:eastAsia="Arial" w:hAnsi="Arial"/>
          <w:sz w:val="18"/>
          <w:szCs w:val="18"/>
          <w:color w:val="auto"/>
        </w:rPr>
        <w:t>Selling, general and administrative expenses remained flat year-over-year. Increases in facility and third-party warehouse expenses of $2.7 million and annual incentive bonuses of $1.1 million were offset, in part, by a $3.0 million decrease in personnel costs primarily as a result of store closures.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and amortization was $9.5 million for the three months ended April 30, 2019 compared to $9.4 million in the same period last year.</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Other loss was $0.6 million in the three months ended April 30, 2019 compared to $0.5 million in the same period last year. This increase is primarily the result of recording $0.6 million of foreign currency losses during the three months ended April 30, 2019 compared to $0.9 million foreign currency gains recorded during the three months ended April 30, 2018. This was offset, in part, by recording a $0.1 million loss from unconsolidated affiliates in the current quarter compared to $1.3 million in the prior quarter.</w:t>
      </w:r>
    </w:p>
    <w:p>
      <w:pPr>
        <w:spacing w:after="0" w:line="18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Interest and financing charges, net, for the three months ended April 30, 2019 were $10.3 million compared to $9.6 million for the same period last year. This increase was due to higher interest rates, offset, in part, by lower average borrowings.</w:t>
      </w:r>
    </w:p>
    <w:p>
      <w:pPr>
        <w:spacing w:after="0" w:line="12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Income tax expense was $2.6 million for the three months ended April 30, 2019 compared to $3.1 million for the same period last year. Our effective tax rate decreased to 17.5% in the current year’s quarter from 24.0% in last year’s comparable quarter primarily due to an increase in excess tax benefits in connection with the vesting of equity awards. Our effective tax rate includes the effect of an income tax benefit of $1.4 million in the three months ended April 30, 2019 and $0.4 million in the three months ended April 30, 2018 in connection with the vesting of equity awards.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December 1, 2016, we borrowed $350.0 million under a senior secured term loan facility (the “Term Loan”). Additionally, on December 1, 2016, we prepaid $50.0 million in principal amount of the Term Loan, reducing the principal balance of the Term Loan to $300.0 million. The Term Loan will mature in December 2022.</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Interest on the outstanding principal amount of the Term Loan accrues at a rate equal to the London Interbank Offered Rate (“LIBOR”), subject to a 1% floor, plus an applicable margin of 5.25% or an alternate base rate (defined as the greatest of</w:t>
      </w:r>
    </w:p>
    <w:p>
      <w:pPr>
        <w:jc w:val="both"/>
        <w:ind w:firstLine="3"/>
        <w:spacing w:after="0" w:line="255" w:lineRule="auto"/>
        <w:tabs>
          <w:tab w:leader="none" w:pos="21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“prime rate” as published by the Wall Street Journal from time to time, (ii) the federal funds rate plus 0.5% and (iii) the LIBOR rate for a borrowing with an interest period of one month) plus 4.25%, per annum, payable in cash. As of April 30, 2019, interest under the Term Loan was being paid at the average rate of 7.76% per annum.</w:t>
      </w:r>
    </w:p>
    <w:p>
      <w:pPr>
        <w:spacing w:after="0" w:line="19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Term Loan is secured (i) on a first-priority basis by a lien on, among other things, our real estate assets, equipment and fixtures, equity interests and intellectual property and certain related rights owned by us and by certain of our subsidiaries and (ii) by a second-priority security interest in our and certain of our subsidiaries other assets, which will secure on a first-priority basis our asset-based loan facility described below under the caption “Revolving Credit Facility.”</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Term Loan is required to be prepaid with the proceeds of certain asset sales if such proceeds are not applied as required by the agreement within certain specified deadlines. The Term Loan is also required to be prepaid in an amount equal to 75% of our Excess Cash Flow (as defined in the agreement) with respect to each fiscal year ending on or after January 31, 2018. The percentage of Excess Cash Flow that must be so applied is reduced to 50% if our senior secured leverage ratio is less than 3.00 to 1.00, to 25% if our senior secured leverage ratio is less than 2.75 to 1.00 and to 0% if our senior secured leverage ratio is less than 2.25 to 1.00.</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Term Loan contains covenants that restrict the Company’s ability to, among other things, incur additional debt, sell or dispose certain assets, make certain investments, incur liens and enter into acquisitions. As described above, the Term Loan also includes a mandatory prepayment provision with respect to Excess Cash Flow. A first lien leverage covenant requires the Company to maintain a level of debt to EBITDA at a ratio as defined over the term of the agreement. As of April 30, 2019, we were in compliance with these covenants.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881" w:right="141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t>Revolving Credit Facility</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December 1, 2016, our previous credit agreement was refinanced and replaced by a five-year senior secured revolving credit facility providing for borrowings in the aggregate principal amount of up to $650 million (the “revolving credit facility”). Amounts available under the revolving credit facility are subject to borrowing base formulas and over advances as specified in the revolving credit facility agreement. Borrowings bear interest, at our option, at LIBOR plus a margin of 1.25% to 1.75% or an alternate base rate (defined as the greatest of (i) the “prime rate” of JPMorgan Chase Bank, N.A. from time to time, (ii) the federal funds rate plus 0.5% and (iii) the LIBOR rate for a borrowing with an interest period of one month) plus a margin of 0.25% to 0.75%, with the applicable margin determined based on the availability under the revolving credit facility agreement. As of April 30, 2019, interest under the revolving credit agreement was being paid at the average rate of 4.52% per annum. The revolving credit facility is secured by specified assets of us and certain of our subsidiaries. In addition to paying interest on any outstanding borrowings under the revolving credit facility, we are required to pay a commitment fee to the lenders under the revolving credit facility agreement with respect to the unutilized commitments. The commitment fee accrues at a rate equal to 0.25% per annum on the average daily amount of the available commitment.</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revolving credit facility contains a number of covenants that, among other things, restrict our ability, subject to specified exceptions, to incur additional debt; incur liens; sell or dispose of assets; merge with other companies; liquidate or dissolve G-III; acquire other companies; make loans, advances, or guarantees; and make certain investments. In certain circumstances, the revolving credit facility also requires us to maintain a minimum fixed charge coverage ratio, as defined, that may not exceed 1.00 to 1.00 for each period of twelve consecutive fiscal months of holdings. As of April 30, 2019, we were in compliance with these covenants.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LVMH Note</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On December 1, 2016, we issued to LVMH Moet Hennessy Louis Vuitton Inc. (“LVMH”), as a portion of the consideration for the acquisition of DKI, a junior lien secured promissory note in the principal amount of $125.0 million (the “LVMH Note”) that bears interest at the rate of 2% per year. $75.0 million of the principal amount of the LVMH Note is due and payable on June 1, 2023 and $50.0 million of such principal amount is due and payable on December 1, 2023. Based on an independent valuation, it was determined that the LVMH Note should be treated as having been issued at a discount of $40.0 million in accordance with ASC 820 – </w:t>
      </w:r>
      <w:r>
        <w:rPr>
          <w:rFonts w:ascii="Arial" w:cs="Arial" w:eastAsia="Arial" w:hAnsi="Arial"/>
          <w:sz w:val="17"/>
          <w:szCs w:val="17"/>
          <w:i w:val="1"/>
          <w:iCs w:val="1"/>
          <w:color w:val="auto"/>
        </w:rPr>
        <w:t>Fair Value Measurements</w:t>
      </w:r>
      <w:r>
        <w:rPr>
          <w:rFonts w:ascii="Arial" w:cs="Arial" w:eastAsia="Arial" w:hAnsi="Arial"/>
          <w:sz w:val="17"/>
          <w:szCs w:val="17"/>
          <w:color w:val="auto"/>
        </w:rPr>
        <w:t>. This discount is being amortized as interest expense using the effective interest method over the term of the LVMH Note.</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connection with the issuance of the LVMH Note, LVMH entered into (i) a subordination agreement providing that our obligations under the LVMH Note are subordinate and junior to our obligations under the revolving credit facility and the Term Loan, and (ii) a pledge and security agreement with us and our subsidiary, G-III Leather Fashions, Inc. (“G-III Leather”), pursuant to which we and G-III Leather granted to LVMH a security interest in specified collateral to secure our payment and performance of our obligations under the LVMH Note that is subordinate and junior to the security interest granted by us with respect to our obligations under the revolving credit facility and the Term Loan.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Outstanding Borrowings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primary operating cash requirements are to fund our seasonal buildup in inventories and accounts receivable, primarily during the second and third fiscal quarters each year. Due to the seasonality of our business, we generally reach our peak borrowings under our revolving credit facility during our third fiscal quarter. The primary sources to meet our operating cash requirements have been borrowings under our revolving credit facility and cash generated from operations.</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incurred significant additional debt in connection with our acquisition of DKI. We had borrowings outstanding under the revolving credit facility of $22.5 million and $67.4 million at April 30, 2019 and 2018, respectively. In addition, we had $300.0 million in borrowings outstanding under the Term Loan at both April 30, 2019 and 2018. Our contingent liability under open letters of credit was approximately $18.1 million and $17.3 million at April 30, 2019 and 2018, respectively. In addition to the amounts outstanding under these two loan agreements, at April 30, 2019 and 2018, we had $125.0 million of face value principal amount outstanding under the LVMH Note.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881" w:right="141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We had cash and cash equivalents of $48.3 million on April 30, 2019 and $71.0 million on April 30,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Board of Directors has authorized a share repurchase program of 5,000,000 shares. The timing and actual number of shares repurchased, if any, will depend on a number of factors, including market conditions and prevailing stock prices, and are subject to compliance with certain covenants contained in our loan agreement. Share repurchases may take place on the open market, in privately negotiated transactions or by other means, and would be made in accordance with applicable securities laws. No shares were repurchased during the three months ended April 30, 2019. As a result of prior purchases, we have 4,276,928 authorized shares remaining under this program. As of June 5, 2019, we had 48,939,190 shares of common stock outstanding.</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from Operating Activities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used $25.3 million of cash in operating activities during the three months ended April 30, 2019, primarily due to decreases of $75.0 million in accounts payable and accrued expenses, $33.3 million in customer refund liabilities and $20.2 million in operating lease liabilities. These items were offset, in part, by net income of $12.0 million, non-cash depreciation and amortization of $9.5 million and operating lease assets of $20.3 million and decreases of $37.4 million in inventories and $23.8 million in accounts receivable.</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changes in operating cash flow items are consistent with our seasonal pattern. The decrease in accounts payable and accrued expenses is primarily attributable to vendor payments related to inventory purchases and the payment of yearend bonuses in our first fiscal quarter. Our accounts receivable, customer refund liabilities and inventory decreased because we experience lower sales levels in our first and second quarters than in our third and fourth quarters.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from Investing Activities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used $13.3 million of cash in investing activities for the three months ended April 30, 2019 for capital expenditures. Capital expenditures in the quarter primarily related to information technology expenditures and additional fixturing costs at department stores.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from Financing Activities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provided by financing activities was $16.9 million for the three months ended April 30, 2019, primarily as a result of the net proceeds of $22.5 million in borrowings under the revolving credit facility, offset in part, by taxes paid for net share settlements.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Needs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that our cash on hand and cash generated from operations over the full fiscal year, together with funds available under our revolving credit facility, are sufficient to meet our expected operating and capital expenditure requirements. We may seek to acquire other businesses in order to expand our business. We may need additional financing in order to complete one or more acquisitions. We cannot be certain that we will be able to obtain additional financing, if required, on acceptable terms or at all.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discussion of results of operations and financial condition relies on our consolidated financial statements that are prepared based on certain critical accounting policies that require management to make judgments and estimates that are subject to varying degrees of uncertainty. We believe that investors need to be aware of these policies and how they impact our financial statements as a whole, as well as our related discussion and analysis presented herein. While we believe that these accounting policies are based on sound measurement criteria, actual future events can, and often do, result in outcomes that can be materially different from these estimates or forecasts.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881" w:right="1419" w:bottom="1440" w:gutter="0" w:footer="0" w:header="0"/>
        </w:sectPr>
      </w:pPr>
    </w:p>
    <w:bookmarkStart w:id="23" w:name="page24"/>
    <w:bookmarkEnd w:id="23"/>
    <w:p>
      <w:pPr>
        <w:jc w:val="both"/>
        <w:spacing w:after="0" w:line="220" w:lineRule="exact"/>
        <w:rPr>
          <w:sz w:val="20"/>
          <w:szCs w:val="20"/>
          <w:color w:val="auto"/>
        </w:rPr>
      </w:pPr>
      <w:r>
        <w:rPr>
          <w:rFonts w:ascii="Arial" w:cs="Arial" w:eastAsia="Arial" w:hAnsi="Arial"/>
          <w:sz w:val="18"/>
          <w:szCs w:val="18"/>
          <w:color w:val="auto"/>
        </w:rPr>
        <w:t>The accounting policies and related estimates described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January 31, 2019 are those that depend most heavily on these judgments and estimates. As of April 30, 2019, there have been no material changes to our critical accounting policies, other than the adoption of new lease accounting standards as discussed in Note 2 to the Condensed Consolidated Financial Statements.</w:t>
      </w:r>
    </w:p>
    <w:p>
      <w:pPr>
        <w:spacing w:after="0" w:line="200"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There are no material changes to the disclosure made with respect to these matters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January 31, 2019.</w:t>
      </w:r>
    </w:p>
    <w:p>
      <w:pPr>
        <w:spacing w:after="0" w:line="199"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color w:val="auto"/>
        </w:rPr>
        <w:t>As of the end of the period covered by this report, our management, including our Chief Executive Officer and Chief Financial Officer, carried out an evaluation of the effectiveness of the design and operation of our disclosure controls and procedures (as such term is defined in Rule 13a</w:t>
      </w:r>
      <w:r>
        <w:rPr>
          <w:rFonts w:ascii="MS PGothic" w:cs="MS PGothic" w:eastAsia="MS PGothic" w:hAnsi="MS PGothic"/>
          <w:sz w:val="16"/>
          <w:szCs w:val="16"/>
          <w:color w:val="auto"/>
        </w:rPr>
        <w:t>‑</w:t>
      </w:r>
      <w:r>
        <w:rPr>
          <w:rFonts w:ascii="Arial" w:cs="Arial" w:eastAsia="Arial" w:hAnsi="Arial"/>
          <w:sz w:val="16"/>
          <w:szCs w:val="16"/>
          <w:color w:val="auto"/>
        </w:rPr>
        <w:t>15(e) under the Securities Exchange Act of 1934, as amended (the “Exchange Act”). Based on that evaluation, our Chief Executive Officer and Chief Financial Officer concluded that our disclosure controls and procedures are designed to ensure that information required to be disclosed by us in the reports that we file or submit under the Exchange Act is (i) recorded, processed, summarized and reported, within the time periods specified in the SEC’s rules and forms and (ii) accumulated and communicated to our management, including our principal executive and principal financial officers, as appropriate to allow timely decisions regarding required disclosure, and thus, are effective in making known to them material information relating to G-III required to be included in this report.</w:t>
      </w:r>
    </w:p>
    <w:p>
      <w:pPr>
        <w:spacing w:after="0" w:line="20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During our last fiscal quarter, there were no changes in our internal control over financial reporting that have materially affected, or are reasonably likely to materially affect, our internal control over financial reporting, except for the following:</w:t>
      </w:r>
    </w:p>
    <w:p>
      <w:pPr>
        <w:spacing w:after="0" w:line="14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quarter ended April 30, 2019, we implemented controls to ensure we adequately evaluated our leases and properly assessed the impact of ASC 842 on our financial statements. We also implemented controls to support lease administration and accounting software to monitor and maintain appropriate internal control over financial reporting.</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881" w:right="141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jc w:val="both"/>
        <w:spacing w:after="0" w:line="219" w:lineRule="exact"/>
        <w:rPr>
          <w:sz w:val="20"/>
          <w:szCs w:val="20"/>
          <w:color w:val="auto"/>
        </w:rPr>
      </w:pPr>
      <w:r>
        <w:rPr>
          <w:rFonts w:ascii="Arial" w:cs="Arial" w:eastAsia="Arial" w:hAnsi="Arial"/>
          <w:sz w:val="17"/>
          <w:szCs w:val="17"/>
          <w:color w:val="auto"/>
        </w:rPr>
        <w:t>In addition to the other information set forth in this report, you should carefully consider the factors discussed in “Item 1A. Risk Factors” in our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for the year ended January 31, 2019 (the “Annual Report”), which could materially affect our business, financial condition or future results. There have been no material changes to these risk factors as of April 30, 2019. The risks described in our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are not the only risks facing our company. Additional risks and uncertainties not currently known to us or that we currently deem to be immaterial also may materially adversely affect our business, financial condition and/or operating results.</w:t>
      </w:r>
    </w:p>
    <w:p>
      <w:pPr>
        <w:spacing w:after="0" w:line="19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following table provides information with respect to the Company’s common stock that the Company repurchased during the three months ended April 30, 2019. Included in this table are shares withheld during March 2019 in connection with the settlement of vested restricted stock units to satisfy tax withholding requirements.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3"/>
              </w:rPr>
              <w:t>Total Number of Share</w:t>
            </w:r>
          </w:p>
        </w:tc>
        <w:tc>
          <w:tcPr>
            <w:tcW w:w="200" w:type="dxa"/>
            <w:vAlign w:val="bottom"/>
          </w:tcPr>
          <w:p>
            <w:pPr>
              <w:spacing w:after="0"/>
              <w:rPr>
                <w:sz w:val="14"/>
                <w:szCs w:val="14"/>
                <w:color w:val="auto"/>
              </w:rPr>
            </w:pPr>
          </w:p>
        </w:tc>
        <w:tc>
          <w:tcPr>
            <w:tcW w:w="1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9"/>
        </w:trPr>
        <w:tc>
          <w:tcPr>
            <w:tcW w:w="2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rPr>
              <w:t>Total Number of</w:t>
            </w:r>
          </w:p>
        </w:tc>
        <w:tc>
          <w:tcPr>
            <w:tcW w:w="200" w:type="dxa"/>
            <w:vAlign w:val="bottom"/>
          </w:tcPr>
          <w:p>
            <w:pPr>
              <w:spacing w:after="0"/>
              <w:rPr>
                <w:sz w:val="12"/>
                <w:szCs w:val="12"/>
                <w:color w:val="auto"/>
              </w:rPr>
            </w:pPr>
          </w:p>
        </w:tc>
        <w:tc>
          <w:tcPr>
            <w:tcW w:w="17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2"/>
              </w:rPr>
              <w:t>Average Price Paid Per</w:t>
            </w: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200" w:type="dxa"/>
            <w:vAlign w:val="bottom"/>
          </w:tcPr>
          <w:p>
            <w:pPr>
              <w:spacing w:after="0"/>
              <w:rPr>
                <w:sz w:val="12"/>
                <w:szCs w:val="12"/>
                <w:color w:val="auto"/>
              </w:rPr>
            </w:pPr>
          </w:p>
        </w:tc>
        <w:tc>
          <w:tcPr>
            <w:tcW w:w="1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Shares that may yet be</w:t>
            </w:r>
          </w:p>
        </w:tc>
        <w:tc>
          <w:tcPr>
            <w:tcW w:w="0" w:type="dxa"/>
            <w:vAlign w:val="bottom"/>
          </w:tcPr>
          <w:p>
            <w:pPr>
              <w:spacing w:after="0"/>
              <w:rPr>
                <w:sz w:val="1"/>
                <w:szCs w:val="1"/>
                <w:color w:val="auto"/>
              </w:rPr>
            </w:pPr>
          </w:p>
        </w:tc>
      </w:tr>
      <w:tr>
        <w:trPr>
          <w:trHeight w:val="149"/>
        </w:trPr>
        <w:tc>
          <w:tcPr>
            <w:tcW w:w="2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 Purchased</w:t>
            </w:r>
          </w:p>
        </w:tc>
        <w:tc>
          <w:tcPr>
            <w:tcW w:w="14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gridSpan w:val="3"/>
            <w:vMerge w:val="continue"/>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Publicly Announced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71"/>
        </w:trPr>
        <w:tc>
          <w:tcPr>
            <w:tcW w:w="2420" w:type="dxa"/>
            <w:vAlign w:val="bottom"/>
            <w:gridSpan w:val="2"/>
            <w:vMerge w:val="continue"/>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b w:val="1"/>
                <w:bCs w:val="1"/>
                <w:color w:val="auto"/>
                <w:w w:val="89"/>
              </w:rPr>
              <w:t xml:space="preserve">Shares Purchased </w:t>
            </w:r>
            <w:r>
              <w:rPr>
                <w:rFonts w:ascii="Arial" w:cs="Arial" w:eastAsia="Arial" w:hAnsi="Arial"/>
                <w:sz w:val="14"/>
                <w:szCs w:val="14"/>
                <w:b w:val="1"/>
                <w:bCs w:val="1"/>
                <w:color w:val="auto"/>
                <w:w w:val="89"/>
                <w:vertAlign w:val="superscript"/>
              </w:rPr>
              <w:t>(1) (2)</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4"/>
              </w:rPr>
              <w:t xml:space="preserve">Share </w:t>
            </w:r>
            <w:r>
              <w:rPr>
                <w:rFonts w:ascii="Arial" w:cs="Arial" w:eastAsia="Arial" w:hAnsi="Arial"/>
                <w:sz w:val="14"/>
                <w:szCs w:val="14"/>
                <w:b w:val="1"/>
                <w:bCs w:val="1"/>
                <w:color w:val="auto"/>
                <w:w w:val="84"/>
                <w:vertAlign w:val="superscript"/>
              </w:rPr>
              <w:t>(1)</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3"/>
              </w:rPr>
              <w:t xml:space="preserve">Program </w:t>
            </w:r>
            <w:r>
              <w:rPr>
                <w:rFonts w:ascii="Arial" w:cs="Arial" w:eastAsia="Arial" w:hAnsi="Arial"/>
                <w:sz w:val="14"/>
                <w:szCs w:val="14"/>
                <w:b w:val="1"/>
                <w:bCs w:val="1"/>
                <w:color w:val="auto"/>
                <w:w w:val="93"/>
                <w:vertAlign w:val="superscript"/>
              </w:rPr>
              <w:t>(2)</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center"/>
              <w:ind w:right="42"/>
              <w:spacing w:after="0"/>
              <w:rPr>
                <w:sz w:val="20"/>
                <w:szCs w:val="20"/>
                <w:color w:val="auto"/>
              </w:rPr>
            </w:pPr>
            <w:r>
              <w:rPr>
                <w:rFonts w:ascii="Arial" w:cs="Arial" w:eastAsia="Arial" w:hAnsi="Arial"/>
                <w:sz w:val="14"/>
                <w:szCs w:val="14"/>
                <w:b w:val="1"/>
                <w:bCs w:val="1"/>
                <w:color w:val="auto"/>
                <w:w w:val="90"/>
              </w:rPr>
              <w:t xml:space="preserve">Program </w:t>
            </w:r>
            <w:r>
              <w:rPr>
                <w:rFonts w:ascii="Arial" w:cs="Arial" w:eastAsia="Arial" w:hAnsi="Arial"/>
                <w:sz w:val="14"/>
                <w:szCs w:val="14"/>
                <w:b w:val="1"/>
                <w:bCs w:val="1"/>
                <w:color w:val="auto"/>
                <w:w w:val="90"/>
                <w:vertAlign w:val="superscript"/>
              </w:rPr>
              <w:t>(2)</w:t>
            </w:r>
          </w:p>
        </w:tc>
        <w:tc>
          <w:tcPr>
            <w:tcW w:w="0" w:type="dxa"/>
            <w:vAlign w:val="bottom"/>
          </w:tcPr>
          <w:p>
            <w:pPr>
              <w:spacing w:after="0"/>
              <w:rPr>
                <w:sz w:val="1"/>
                <w:szCs w:val="1"/>
                <w:color w:val="auto"/>
              </w:rPr>
            </w:pPr>
          </w:p>
        </w:tc>
      </w:tr>
      <w:tr>
        <w:trPr>
          <w:trHeight w:val="195"/>
        </w:trPr>
        <w:tc>
          <w:tcPr>
            <w:tcW w:w="22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February 1 - February 28,</w:t>
            </w:r>
          </w:p>
        </w:tc>
        <w:tc>
          <w:tcPr>
            <w:tcW w:w="20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4,276,928</w:t>
            </w:r>
          </w:p>
        </w:tc>
        <w:tc>
          <w:tcPr>
            <w:tcW w:w="0" w:type="dxa"/>
            <w:vAlign w:val="bottom"/>
          </w:tcPr>
          <w:p>
            <w:pPr>
              <w:spacing w:after="0"/>
              <w:rPr>
                <w:sz w:val="1"/>
                <w:szCs w:val="1"/>
                <w:color w:val="auto"/>
              </w:rPr>
            </w:pP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color w:val="auto"/>
              </w:rPr>
              <w:t>March 1 - March 31, 2019</w:t>
            </w:r>
          </w:p>
        </w:tc>
        <w:tc>
          <w:tcPr>
            <w:tcW w:w="1440" w:type="dxa"/>
            <w:vAlign w:val="bottom"/>
          </w:tcPr>
          <w:p>
            <w:pPr>
              <w:jc w:val="right"/>
              <w:spacing w:after="0"/>
              <w:rPr>
                <w:sz w:val="20"/>
                <w:szCs w:val="20"/>
                <w:color w:val="auto"/>
              </w:rPr>
            </w:pPr>
            <w:r>
              <w:rPr>
                <w:rFonts w:ascii="Arial" w:cs="Arial" w:eastAsia="Arial" w:hAnsi="Arial"/>
                <w:sz w:val="18"/>
                <w:szCs w:val="18"/>
                <w:color w:val="auto"/>
              </w:rPr>
              <w:t>143,956</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39.50</w:t>
            </w:r>
          </w:p>
        </w:tc>
        <w:tc>
          <w:tcPr>
            <w:tcW w:w="200" w:type="dxa"/>
            <w:vAlign w:val="bottom"/>
          </w:tcPr>
          <w:p>
            <w:pPr>
              <w:spacing w:after="0"/>
              <w:rPr>
                <w:sz w:val="18"/>
                <w:szCs w:val="18"/>
                <w:color w:val="auto"/>
              </w:rPr>
            </w:pPr>
          </w:p>
        </w:tc>
        <w:tc>
          <w:tcPr>
            <w:tcW w:w="1440" w:type="dxa"/>
            <w:vAlign w:val="bottom"/>
          </w:tcPr>
          <w:p>
            <w:pPr>
              <w:ind w:left="1200"/>
              <w:spacing w:after="0"/>
              <w:rPr>
                <w:sz w:val="20"/>
                <w:szCs w:val="20"/>
                <w:color w:val="auto"/>
              </w:rPr>
            </w:pPr>
            <w:r>
              <w:rPr>
                <w:rFonts w:ascii="Arial" w:cs="Arial" w:eastAsia="Arial" w:hAnsi="Arial"/>
                <w:sz w:val="18"/>
                <w:szCs w:val="18"/>
                <w:color w:val="auto"/>
              </w:rPr>
              <w:t>—</w:t>
            </w:r>
          </w:p>
        </w:tc>
        <w:tc>
          <w:tcPr>
            <w:tcW w:w="1780" w:type="dxa"/>
            <w:vAlign w:val="bottom"/>
            <w:gridSpan w:val="3"/>
          </w:tcPr>
          <w:p>
            <w:pPr>
              <w:jc w:val="right"/>
              <w:spacing w:after="0"/>
              <w:rPr>
                <w:sz w:val="20"/>
                <w:szCs w:val="20"/>
                <w:color w:val="auto"/>
              </w:rPr>
            </w:pPr>
            <w:r>
              <w:rPr>
                <w:rFonts w:ascii="Arial" w:cs="Arial" w:eastAsia="Arial" w:hAnsi="Arial"/>
                <w:sz w:val="18"/>
                <w:szCs w:val="18"/>
                <w:color w:val="auto"/>
              </w:rPr>
              <w:t>4,276,928</w:t>
            </w:r>
          </w:p>
        </w:tc>
        <w:tc>
          <w:tcPr>
            <w:tcW w:w="0" w:type="dxa"/>
            <w:vAlign w:val="bottom"/>
          </w:tcPr>
          <w:p>
            <w:pPr>
              <w:spacing w:after="0"/>
              <w:rPr>
                <w:sz w:val="1"/>
                <w:szCs w:val="1"/>
                <w:color w:val="auto"/>
              </w:rPr>
            </w:pPr>
          </w:p>
        </w:tc>
      </w:tr>
      <w:tr>
        <w:trPr>
          <w:trHeight w:val="216"/>
        </w:trPr>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1 - April 30, 2019</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4,276,928</w:t>
            </w:r>
          </w:p>
        </w:tc>
        <w:tc>
          <w:tcPr>
            <w:tcW w:w="0" w:type="dxa"/>
            <w:vAlign w:val="bottom"/>
          </w:tcPr>
          <w:p>
            <w:pPr>
              <w:spacing w:after="0"/>
              <w:rPr>
                <w:sz w:val="1"/>
                <w:szCs w:val="1"/>
                <w:color w:val="auto"/>
              </w:rPr>
            </w:pPr>
          </w:p>
        </w:tc>
      </w:tr>
      <w:tr>
        <w:trPr>
          <w:trHeight w:val="217"/>
        </w:trPr>
        <w:tc>
          <w:tcPr>
            <w:tcW w:w="2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143,956</w:t>
            </w:r>
          </w:p>
        </w:tc>
        <w:tc>
          <w:tcPr>
            <w:tcW w:w="2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39.50</w:t>
            </w:r>
          </w:p>
        </w:tc>
        <w:tc>
          <w:tcPr>
            <w:tcW w:w="200" w:type="dxa"/>
            <w:vAlign w:val="bottom"/>
          </w:tcPr>
          <w:p>
            <w:pPr>
              <w:spacing w:after="0"/>
              <w:rPr>
                <w:sz w:val="18"/>
                <w:szCs w:val="18"/>
                <w:color w:val="auto"/>
              </w:rPr>
            </w:pPr>
          </w:p>
        </w:tc>
        <w:tc>
          <w:tcPr>
            <w:tcW w:w="1440" w:type="dxa"/>
            <w:vAlign w:val="bottom"/>
            <w:tcBorders>
              <w:top w:val="single" w:sz="8" w:color="auto"/>
              <w:bottom w:val="single" w:sz="8" w:color="auto"/>
            </w:tcBorders>
          </w:tcPr>
          <w:p>
            <w:pPr>
              <w:ind w:left="1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4,276,928</w:t>
            </w: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580" w:right="120" w:hanging="286"/>
        <w:spacing w:after="0" w:line="248" w:lineRule="auto"/>
        <w:tabs>
          <w:tab w:leader="none" w:pos="5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Included are shares withheld during March 2019 in connection with the settlement of vested restricted stock units to satisfy tax withholding requirements. The 2015 Long-Term Incentive Plan provides that shares withheld are valued at the closing price per share on the date withheld.</w:t>
      </w:r>
    </w:p>
    <w:p>
      <w:pPr>
        <w:jc w:val="both"/>
        <w:ind w:left="580" w:right="120" w:hanging="286"/>
        <w:spacing w:after="0" w:line="249" w:lineRule="auto"/>
        <w:tabs>
          <w:tab w:leader="none" w:pos="5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In December 2015, our Board of Directors reapproved and increased a previously authorized share repurchase program from the 3,750,000 shares remaining under that plan to 5,000,000 shares. This program has no expiration date. Repurchases under the program may be made from time to time over the period through open market purchases, accelerated share repurchase programs, privately negotiated transactions or other methods, as we deem appropriate. There were no purchases under this program during the three months ended April 30, 2019.</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877" w:right="141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8240" w:type="dxa"/>
            <w:vAlign w:val="bottom"/>
            <w:gridSpan w:val="4"/>
          </w:tcPr>
          <w:p>
            <w:pPr>
              <w:ind w:left="80"/>
              <w:spacing w:after="0"/>
              <w:rPr>
                <w:sz w:val="20"/>
                <w:szCs w:val="20"/>
                <w:color w:val="auto"/>
              </w:rPr>
            </w:pPr>
            <w:r>
              <w:rPr>
                <w:rFonts w:ascii="Arial" w:cs="Arial" w:eastAsia="Arial" w:hAnsi="Arial"/>
                <w:sz w:val="18"/>
                <w:szCs w:val="18"/>
                <w:b w:val="1"/>
                <w:bCs w:val="1"/>
                <w:color w:val="auto"/>
              </w:rPr>
              <w:t>Exhibits.</w:t>
            </w:r>
          </w:p>
        </w:tc>
      </w:tr>
      <w:tr>
        <w:trPr>
          <w:trHeight w:val="405"/>
        </w:trPr>
        <w:tc>
          <w:tcPr>
            <w:tcW w:w="820" w:type="dxa"/>
            <w:vAlign w:val="bottom"/>
          </w:tcPr>
          <w:p>
            <w:pPr>
              <w:spacing w:after="0"/>
              <w:rPr>
                <w:sz w:val="20"/>
                <w:szCs w:val="20"/>
                <w:color w:val="auto"/>
              </w:rPr>
            </w:pPr>
            <w:r>
              <w:rPr>
                <w:rFonts w:ascii="Arial" w:cs="Arial" w:eastAsia="Arial" w:hAnsi="Arial"/>
                <w:sz w:val="18"/>
                <w:szCs w:val="18"/>
                <w:color w:val="auto"/>
              </w:rPr>
              <w:t>31.1</w:t>
            </w:r>
          </w:p>
        </w:tc>
        <w:tc>
          <w:tcPr>
            <w:tcW w:w="8240" w:type="dxa"/>
            <w:vAlign w:val="bottom"/>
            <w:tcBorders>
              <w:bottom w:val="single" w:sz="8" w:color="0000EE"/>
            </w:tcBorders>
            <w:gridSpan w:val="4"/>
          </w:tcPr>
          <w:p>
            <w:pPr>
              <w:spacing w:after="0"/>
              <w:rPr>
                <w:rFonts w:ascii="Arial" w:cs="Arial" w:eastAsia="Arial" w:hAnsi="Arial"/>
                <w:sz w:val="18"/>
                <w:szCs w:val="18"/>
                <w:color w:val="0000EE"/>
                <w:w w:val="96"/>
              </w:rPr>
            </w:pPr>
            <w:hyperlink w:anchor="page28">
              <w:r>
                <w:rPr>
                  <w:rFonts w:ascii="Arial" w:cs="Arial" w:eastAsia="Arial" w:hAnsi="Arial"/>
                  <w:sz w:val="18"/>
                  <w:szCs w:val="18"/>
                  <w:color w:val="0000EE"/>
                  <w:w w:val="96"/>
                </w:rPr>
                <w:t>Certification by Morris Goldfarb, Chief Executive Officer of G-III Apparel Group, Ltd., pursuant to Rule 13a -</w:t>
              </w:r>
            </w:hyperlink>
          </w:p>
        </w:tc>
      </w:tr>
      <w:tr>
        <w:trPr>
          <w:trHeight w:val="196"/>
        </w:trPr>
        <w:tc>
          <w:tcPr>
            <w:tcW w:w="820" w:type="dxa"/>
            <w:vAlign w:val="bottom"/>
          </w:tcPr>
          <w:p>
            <w:pPr>
              <w:spacing w:after="0"/>
              <w:rPr>
                <w:sz w:val="17"/>
                <w:szCs w:val="17"/>
                <w:color w:val="auto"/>
              </w:rPr>
            </w:pPr>
          </w:p>
        </w:tc>
        <w:tc>
          <w:tcPr>
            <w:tcW w:w="824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w:anchor="page28">
              <w:r>
                <w:rPr>
                  <w:rFonts w:ascii="Arial" w:cs="Arial" w:eastAsia="Arial" w:hAnsi="Arial"/>
                  <w:sz w:val="18"/>
                  <w:szCs w:val="18"/>
                  <w:color w:val="0000EE"/>
                  <w:w w:val="93"/>
                </w:rPr>
                <w:t>14(a) or Rule 15d - 14(a) of the Securities Exchange Act of 1934, as amended, in connection with G-III Apparel</w:t>
              </w:r>
            </w:hyperlink>
          </w:p>
        </w:tc>
      </w:tr>
      <w:tr>
        <w:trPr>
          <w:trHeight w:val="196"/>
        </w:trPr>
        <w:tc>
          <w:tcPr>
            <w:tcW w:w="820" w:type="dxa"/>
            <w:vAlign w:val="bottom"/>
          </w:tcPr>
          <w:p>
            <w:pPr>
              <w:spacing w:after="0"/>
              <w:rPr>
                <w:sz w:val="17"/>
                <w:szCs w:val="17"/>
                <w:color w:val="auto"/>
              </w:rPr>
            </w:pPr>
          </w:p>
        </w:tc>
        <w:tc>
          <w:tcPr>
            <w:tcW w:w="8240" w:type="dxa"/>
            <w:vAlign w:val="bottom"/>
            <w:gridSpan w:val="4"/>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Group, Ltd.’s Quarterly Report on Form 10</w:t>
              </w:r>
              <w:r>
                <w:rPr>
                  <w:rFonts w:ascii="MS PGothic" w:cs="MS PGothic" w:eastAsia="MS PGothic" w:hAnsi="MS PGothic"/>
                  <w:sz w:val="18"/>
                  <w:szCs w:val="18"/>
                  <w:color w:val="0000EE"/>
                </w:rPr>
                <w:t>‑</w:t>
              </w:r>
              <w:r>
                <w:rPr>
                  <w:rFonts w:ascii="Arial" w:cs="Arial" w:eastAsia="Arial" w:hAnsi="Arial"/>
                  <w:sz w:val="18"/>
                  <w:szCs w:val="18"/>
                  <w:color w:val="0000EE"/>
                </w:rPr>
                <w:t>Q for the fiscal quarter ended April 30, 2019.</w:t>
              </w:r>
            </w:hyperlink>
          </w:p>
        </w:tc>
      </w:tr>
      <w:tr>
        <w:trPr>
          <w:trHeight w:val="20"/>
        </w:trPr>
        <w:tc>
          <w:tcPr>
            <w:tcW w:w="820" w:type="dxa"/>
            <w:vAlign w:val="bottom"/>
          </w:tcPr>
          <w:p>
            <w:pPr>
              <w:spacing w:after="0" w:line="20" w:lineRule="exact"/>
              <w:rPr>
                <w:sz w:val="1"/>
                <w:szCs w:val="1"/>
                <w:color w:val="auto"/>
              </w:rPr>
            </w:pPr>
          </w:p>
        </w:tc>
        <w:tc>
          <w:tcPr>
            <w:tcW w:w="644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31.2</w:t>
            </w:r>
          </w:p>
        </w:tc>
        <w:tc>
          <w:tcPr>
            <w:tcW w:w="8240" w:type="dxa"/>
            <w:vAlign w:val="bottom"/>
            <w:tcBorders>
              <w:bottom w:val="single" w:sz="8" w:color="0000EE"/>
            </w:tcBorders>
            <w:gridSpan w:val="4"/>
          </w:tcPr>
          <w:p>
            <w:pPr>
              <w:spacing w:after="0"/>
              <w:rPr>
                <w:rFonts w:ascii="Arial" w:cs="Arial" w:eastAsia="Arial" w:hAnsi="Arial"/>
                <w:sz w:val="18"/>
                <w:szCs w:val="18"/>
                <w:color w:val="0000EE"/>
                <w:w w:val="95"/>
              </w:rPr>
            </w:pPr>
            <w:hyperlink w:anchor="page29">
              <w:r>
                <w:rPr>
                  <w:rFonts w:ascii="Arial" w:cs="Arial" w:eastAsia="Arial" w:hAnsi="Arial"/>
                  <w:sz w:val="18"/>
                  <w:szCs w:val="18"/>
                  <w:color w:val="0000EE"/>
                  <w:w w:val="95"/>
                </w:rPr>
                <w:t>Certification by Neal S. Nackman, Chief Financial Officer of G-III Apparel Group, Ltd., pursuant to Rule 13a -</w:t>
              </w:r>
            </w:hyperlink>
          </w:p>
        </w:tc>
      </w:tr>
      <w:tr>
        <w:trPr>
          <w:trHeight w:val="196"/>
        </w:trPr>
        <w:tc>
          <w:tcPr>
            <w:tcW w:w="820" w:type="dxa"/>
            <w:vAlign w:val="bottom"/>
          </w:tcPr>
          <w:p>
            <w:pPr>
              <w:spacing w:after="0"/>
              <w:rPr>
                <w:sz w:val="17"/>
                <w:szCs w:val="17"/>
                <w:color w:val="auto"/>
              </w:rPr>
            </w:pPr>
          </w:p>
        </w:tc>
        <w:tc>
          <w:tcPr>
            <w:tcW w:w="824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w:anchor="page29">
              <w:r>
                <w:rPr>
                  <w:rFonts w:ascii="Arial" w:cs="Arial" w:eastAsia="Arial" w:hAnsi="Arial"/>
                  <w:sz w:val="18"/>
                  <w:szCs w:val="18"/>
                  <w:color w:val="0000EE"/>
                  <w:w w:val="93"/>
                </w:rPr>
                <w:t>14(a) or Rule 15d - 14(a) of the Securities Exchange Act of 1934, as amended, in connection with G-III Apparel</w:t>
              </w:r>
            </w:hyperlink>
          </w:p>
        </w:tc>
      </w:tr>
      <w:tr>
        <w:trPr>
          <w:trHeight w:val="196"/>
        </w:trPr>
        <w:tc>
          <w:tcPr>
            <w:tcW w:w="820" w:type="dxa"/>
            <w:vAlign w:val="bottom"/>
          </w:tcPr>
          <w:p>
            <w:pPr>
              <w:spacing w:after="0"/>
              <w:rPr>
                <w:sz w:val="17"/>
                <w:szCs w:val="17"/>
                <w:color w:val="auto"/>
              </w:rPr>
            </w:pPr>
          </w:p>
        </w:tc>
        <w:tc>
          <w:tcPr>
            <w:tcW w:w="8240" w:type="dxa"/>
            <w:vAlign w:val="bottom"/>
            <w:gridSpan w:val="4"/>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Group, Ltd.’s Quarterly Report on Form 10</w:t>
              </w:r>
              <w:r>
                <w:rPr>
                  <w:rFonts w:ascii="MS PGothic" w:cs="MS PGothic" w:eastAsia="MS PGothic" w:hAnsi="MS PGothic"/>
                  <w:sz w:val="18"/>
                  <w:szCs w:val="18"/>
                  <w:color w:val="0000EE"/>
                </w:rPr>
                <w:t>‑</w:t>
              </w:r>
              <w:r>
                <w:rPr>
                  <w:rFonts w:ascii="Arial" w:cs="Arial" w:eastAsia="Arial" w:hAnsi="Arial"/>
                  <w:sz w:val="18"/>
                  <w:szCs w:val="18"/>
                  <w:color w:val="0000EE"/>
                </w:rPr>
                <w:t>Q for the fiscal quarter ended April 30, 2019.</w:t>
              </w:r>
            </w:hyperlink>
          </w:p>
        </w:tc>
      </w:tr>
      <w:tr>
        <w:trPr>
          <w:trHeight w:val="20"/>
        </w:trPr>
        <w:tc>
          <w:tcPr>
            <w:tcW w:w="820" w:type="dxa"/>
            <w:vAlign w:val="bottom"/>
          </w:tcPr>
          <w:p>
            <w:pPr>
              <w:spacing w:after="0" w:line="20" w:lineRule="exact"/>
              <w:rPr>
                <w:sz w:val="1"/>
                <w:szCs w:val="1"/>
                <w:color w:val="auto"/>
              </w:rPr>
            </w:pPr>
          </w:p>
        </w:tc>
        <w:tc>
          <w:tcPr>
            <w:tcW w:w="644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32.1</w:t>
            </w:r>
          </w:p>
        </w:tc>
        <w:tc>
          <w:tcPr>
            <w:tcW w:w="8240" w:type="dxa"/>
            <w:vAlign w:val="bottom"/>
            <w:tcBorders>
              <w:bottom w:val="single" w:sz="8" w:color="0000EE"/>
            </w:tcBorders>
            <w:gridSpan w:val="4"/>
          </w:tcPr>
          <w:p>
            <w:pPr>
              <w:spacing w:after="0"/>
              <w:rPr>
                <w:rFonts w:ascii="Arial" w:cs="Arial" w:eastAsia="Arial" w:hAnsi="Arial"/>
                <w:sz w:val="18"/>
                <w:szCs w:val="18"/>
                <w:color w:val="0000EE"/>
                <w:w w:val="97"/>
              </w:rPr>
            </w:pPr>
            <w:hyperlink w:anchor="page30">
              <w:r>
                <w:rPr>
                  <w:rFonts w:ascii="Arial" w:cs="Arial" w:eastAsia="Arial" w:hAnsi="Arial"/>
                  <w:sz w:val="18"/>
                  <w:szCs w:val="18"/>
                  <w:color w:val="0000EE"/>
                  <w:w w:val="97"/>
                </w:rPr>
                <w:t>Certification by Morris Goldfarb, Chief Executive Officer of G-III Apparel Group, Ltd., pursuant to 18 U.S.C.</w:t>
              </w:r>
            </w:hyperlink>
          </w:p>
        </w:tc>
      </w:tr>
      <w:tr>
        <w:trPr>
          <w:trHeight w:val="196"/>
        </w:trPr>
        <w:tc>
          <w:tcPr>
            <w:tcW w:w="820" w:type="dxa"/>
            <w:vAlign w:val="bottom"/>
          </w:tcPr>
          <w:p>
            <w:pPr>
              <w:spacing w:after="0"/>
              <w:rPr>
                <w:sz w:val="17"/>
                <w:szCs w:val="17"/>
                <w:color w:val="auto"/>
              </w:rPr>
            </w:pPr>
          </w:p>
        </w:tc>
        <w:tc>
          <w:tcPr>
            <w:tcW w:w="8240" w:type="dxa"/>
            <w:vAlign w:val="bottom"/>
            <w:tcBorders>
              <w:bottom w:val="single" w:sz="8" w:color="0000EE"/>
            </w:tcBorders>
            <w:gridSpan w:val="4"/>
          </w:tcPr>
          <w:p>
            <w:pPr>
              <w:spacing w:after="0" w:line="196" w:lineRule="exact"/>
              <w:rPr>
                <w:rFonts w:ascii="Arial" w:cs="Arial" w:eastAsia="Arial" w:hAnsi="Arial"/>
                <w:sz w:val="18"/>
                <w:szCs w:val="18"/>
                <w:color w:val="0000EE"/>
                <w:w w:val="94"/>
              </w:rPr>
            </w:pPr>
            <w:hyperlink w:anchor="page30">
              <w:r>
                <w:rPr>
                  <w:rFonts w:ascii="Arial" w:cs="Arial" w:eastAsia="Arial" w:hAnsi="Arial"/>
                  <w:sz w:val="18"/>
                  <w:szCs w:val="18"/>
                  <w:color w:val="0000EE"/>
                  <w:w w:val="94"/>
                </w:rPr>
                <w:t>Section 1350, as adopted pursuant to Section 906 of the Sarbanes-Oxley Act of 2002, in connection with G-III</w:t>
              </w:r>
            </w:hyperlink>
          </w:p>
        </w:tc>
      </w:tr>
      <w:tr>
        <w:trPr>
          <w:trHeight w:val="196"/>
        </w:trPr>
        <w:tc>
          <w:tcPr>
            <w:tcW w:w="820" w:type="dxa"/>
            <w:vAlign w:val="bottom"/>
          </w:tcPr>
          <w:p>
            <w:pPr>
              <w:spacing w:after="0"/>
              <w:rPr>
                <w:sz w:val="17"/>
                <w:szCs w:val="17"/>
                <w:color w:val="auto"/>
              </w:rPr>
            </w:pPr>
          </w:p>
        </w:tc>
        <w:tc>
          <w:tcPr>
            <w:tcW w:w="708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w:anchor="page30">
              <w:r>
                <w:rPr>
                  <w:rFonts w:ascii="Arial" w:cs="Arial" w:eastAsia="Arial" w:hAnsi="Arial"/>
                  <w:sz w:val="18"/>
                  <w:szCs w:val="18"/>
                  <w:color w:val="0000EE"/>
                  <w:w w:val="92"/>
                </w:rPr>
                <w:t>Apparel Group, Ltd.’s Quarterly Report on Form 10</w:t>
              </w:r>
              <w:r>
                <w:rPr>
                  <w:rFonts w:ascii="MS PGothic" w:cs="MS PGothic" w:eastAsia="MS PGothic" w:hAnsi="MS PGothic"/>
                  <w:sz w:val="18"/>
                  <w:szCs w:val="18"/>
                  <w:color w:val="0000EE"/>
                  <w:w w:val="92"/>
                </w:rPr>
                <w:t>‑</w:t>
              </w:r>
              <w:r>
                <w:rPr>
                  <w:rFonts w:ascii="Arial" w:cs="Arial" w:eastAsia="Arial" w:hAnsi="Arial"/>
                  <w:sz w:val="18"/>
                  <w:szCs w:val="18"/>
                  <w:color w:val="0000EE"/>
                  <w:w w:val="92"/>
                </w:rPr>
                <w:t>Q for the fiscal quarter ended April 30, 2019.</w:t>
              </w:r>
            </w:hyperlink>
          </w:p>
        </w:tc>
        <w:tc>
          <w:tcPr>
            <w:tcW w:w="1160" w:type="dxa"/>
            <w:vAlign w:val="bottom"/>
          </w:tcPr>
          <w:p>
            <w:pPr>
              <w:spacing w:after="0"/>
              <w:rPr>
                <w:sz w:val="17"/>
                <w:szCs w:val="17"/>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32.2</w:t>
            </w:r>
          </w:p>
        </w:tc>
        <w:tc>
          <w:tcPr>
            <w:tcW w:w="8240" w:type="dxa"/>
            <w:vAlign w:val="bottom"/>
            <w:tcBorders>
              <w:bottom w:val="single" w:sz="8" w:color="0000EE"/>
            </w:tcBorders>
            <w:gridSpan w:val="4"/>
          </w:tcPr>
          <w:p>
            <w:pPr>
              <w:spacing w:after="0"/>
              <w:rPr>
                <w:rFonts w:ascii="Arial" w:cs="Arial" w:eastAsia="Arial" w:hAnsi="Arial"/>
                <w:sz w:val="18"/>
                <w:szCs w:val="18"/>
                <w:color w:val="0000EE"/>
                <w:w w:val="95"/>
              </w:rPr>
            </w:pPr>
            <w:hyperlink w:anchor="page31">
              <w:r>
                <w:rPr>
                  <w:rFonts w:ascii="Arial" w:cs="Arial" w:eastAsia="Arial" w:hAnsi="Arial"/>
                  <w:sz w:val="18"/>
                  <w:szCs w:val="18"/>
                  <w:color w:val="0000EE"/>
                  <w:w w:val="95"/>
                </w:rPr>
                <w:t>Certification by Neal S. Nackman, Chief Financial Officer of G-III Apparel Group, Ltd., pursuant to 18 U.S.C.</w:t>
              </w:r>
            </w:hyperlink>
          </w:p>
        </w:tc>
      </w:tr>
      <w:tr>
        <w:trPr>
          <w:trHeight w:val="196"/>
        </w:trPr>
        <w:tc>
          <w:tcPr>
            <w:tcW w:w="820" w:type="dxa"/>
            <w:vAlign w:val="bottom"/>
          </w:tcPr>
          <w:p>
            <w:pPr>
              <w:spacing w:after="0"/>
              <w:rPr>
                <w:sz w:val="17"/>
                <w:szCs w:val="17"/>
                <w:color w:val="auto"/>
              </w:rPr>
            </w:pPr>
          </w:p>
        </w:tc>
        <w:tc>
          <w:tcPr>
            <w:tcW w:w="8240" w:type="dxa"/>
            <w:vAlign w:val="bottom"/>
            <w:tcBorders>
              <w:bottom w:val="single" w:sz="8" w:color="0000EE"/>
            </w:tcBorders>
            <w:gridSpan w:val="4"/>
          </w:tcPr>
          <w:p>
            <w:pPr>
              <w:spacing w:after="0" w:line="196" w:lineRule="exact"/>
              <w:rPr>
                <w:rFonts w:ascii="Arial" w:cs="Arial" w:eastAsia="Arial" w:hAnsi="Arial"/>
                <w:sz w:val="18"/>
                <w:szCs w:val="18"/>
                <w:color w:val="0000EE"/>
                <w:w w:val="94"/>
              </w:rPr>
            </w:pPr>
            <w:hyperlink w:anchor="page31">
              <w:r>
                <w:rPr>
                  <w:rFonts w:ascii="Arial" w:cs="Arial" w:eastAsia="Arial" w:hAnsi="Arial"/>
                  <w:sz w:val="18"/>
                  <w:szCs w:val="18"/>
                  <w:color w:val="0000EE"/>
                  <w:w w:val="94"/>
                </w:rPr>
                <w:t>Section 1350, as adopted pursuant to Section 906 of the Sarbanes-Oxley Act of 2002, in connection with G-III</w:t>
              </w:r>
            </w:hyperlink>
          </w:p>
        </w:tc>
      </w:tr>
      <w:tr>
        <w:trPr>
          <w:trHeight w:val="196"/>
        </w:trPr>
        <w:tc>
          <w:tcPr>
            <w:tcW w:w="820" w:type="dxa"/>
            <w:vAlign w:val="bottom"/>
          </w:tcPr>
          <w:p>
            <w:pPr>
              <w:spacing w:after="0"/>
              <w:rPr>
                <w:sz w:val="17"/>
                <w:szCs w:val="17"/>
                <w:color w:val="auto"/>
              </w:rPr>
            </w:pPr>
          </w:p>
        </w:tc>
        <w:tc>
          <w:tcPr>
            <w:tcW w:w="8240" w:type="dxa"/>
            <w:vAlign w:val="bottom"/>
            <w:gridSpan w:val="4"/>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Apparel Group, Ltd.’s Quarterly Report on Form 10</w:t>
              </w:r>
              <w:r>
                <w:rPr>
                  <w:rFonts w:ascii="MS PGothic" w:cs="MS PGothic" w:eastAsia="MS PGothic" w:hAnsi="MS PGothic"/>
                  <w:sz w:val="18"/>
                  <w:szCs w:val="18"/>
                  <w:color w:val="0000EE"/>
                </w:rPr>
                <w:t>‑</w:t>
              </w:r>
              <w:r>
                <w:rPr>
                  <w:rFonts w:ascii="Arial" w:cs="Arial" w:eastAsia="Arial" w:hAnsi="Arial"/>
                  <w:sz w:val="18"/>
                  <w:szCs w:val="18"/>
                  <w:color w:val="0000EE"/>
                </w:rPr>
                <w:t>Q for the fiscal quarter ended April 30, 2019.</w:t>
              </w:r>
            </w:hyperlink>
          </w:p>
        </w:tc>
      </w:tr>
      <w:tr>
        <w:trPr>
          <w:trHeight w:val="438"/>
        </w:trPr>
        <w:tc>
          <w:tcPr>
            <w:tcW w:w="820" w:type="dxa"/>
            <w:vAlign w:val="bottom"/>
          </w:tcPr>
          <w:p>
            <w:pPr>
              <w:spacing w:after="0"/>
              <w:rPr>
                <w:sz w:val="20"/>
                <w:szCs w:val="20"/>
                <w:color w:val="auto"/>
              </w:rPr>
            </w:pPr>
            <w:r>
              <w:rPr>
                <w:rFonts w:ascii="Arial" w:cs="Arial" w:eastAsia="Arial" w:hAnsi="Arial"/>
                <w:sz w:val="18"/>
                <w:szCs w:val="18"/>
                <w:color w:val="auto"/>
              </w:rPr>
              <w:t>101.INS</w:t>
            </w:r>
          </w:p>
        </w:tc>
        <w:tc>
          <w:tcPr>
            <w:tcW w:w="706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XBRL Instance Document.</w:t>
            </w:r>
          </w:p>
        </w:tc>
        <w:tc>
          <w:tcPr>
            <w:tcW w:w="1180" w:type="dxa"/>
            <w:vAlign w:val="bottom"/>
            <w:gridSpan w:val="2"/>
          </w:tcPr>
          <w:p>
            <w:pPr>
              <w:spacing w:after="0"/>
              <w:rPr>
                <w:sz w:val="24"/>
                <w:szCs w:val="24"/>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101.SCH</w:t>
            </w:r>
          </w:p>
        </w:tc>
        <w:tc>
          <w:tcPr>
            <w:tcW w:w="8240" w:type="dxa"/>
            <w:vAlign w:val="bottom"/>
            <w:gridSpan w:val="4"/>
          </w:tcPr>
          <w:p>
            <w:pPr>
              <w:spacing w:after="0"/>
              <w:rPr>
                <w:sz w:val="20"/>
                <w:szCs w:val="20"/>
                <w:color w:val="auto"/>
              </w:rPr>
            </w:pPr>
            <w:r>
              <w:rPr>
                <w:rFonts w:ascii="Arial" w:cs="Arial" w:eastAsia="Arial" w:hAnsi="Arial"/>
                <w:sz w:val="18"/>
                <w:szCs w:val="18"/>
                <w:color w:val="auto"/>
              </w:rPr>
              <w:t>XBRL Schema Document.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101.CAL</w:t>
            </w:r>
          </w:p>
        </w:tc>
        <w:tc>
          <w:tcPr>
            <w:tcW w:w="8240" w:type="dxa"/>
            <w:vAlign w:val="bottom"/>
            <w:gridSpan w:val="4"/>
          </w:tcPr>
          <w:p>
            <w:pPr>
              <w:spacing w:after="0"/>
              <w:rPr>
                <w:sz w:val="20"/>
                <w:szCs w:val="20"/>
                <w:color w:val="auto"/>
              </w:rPr>
            </w:pPr>
            <w:r>
              <w:rPr>
                <w:rFonts w:ascii="Arial" w:cs="Arial" w:eastAsia="Arial" w:hAnsi="Arial"/>
                <w:sz w:val="18"/>
                <w:szCs w:val="18"/>
                <w:color w:val="auto"/>
              </w:rPr>
              <w:t>XBRL Calculation Linkbase Document.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101.DEF</w:t>
            </w:r>
          </w:p>
        </w:tc>
        <w:tc>
          <w:tcPr>
            <w:tcW w:w="8240" w:type="dxa"/>
            <w:vAlign w:val="bottom"/>
            <w:gridSpan w:val="4"/>
          </w:tcPr>
          <w:p>
            <w:pPr>
              <w:spacing w:after="0"/>
              <w:rPr>
                <w:sz w:val="20"/>
                <w:szCs w:val="20"/>
                <w:color w:val="auto"/>
              </w:rPr>
            </w:pPr>
            <w:r>
              <w:rPr>
                <w:rFonts w:ascii="Arial" w:cs="Arial" w:eastAsia="Arial" w:hAnsi="Arial"/>
                <w:sz w:val="18"/>
                <w:szCs w:val="18"/>
                <w:color w:val="auto"/>
              </w:rPr>
              <w:t>XBRL Extension Definition.</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101.LAB</w:t>
            </w:r>
          </w:p>
        </w:tc>
        <w:tc>
          <w:tcPr>
            <w:tcW w:w="8240" w:type="dxa"/>
            <w:vAlign w:val="bottom"/>
            <w:gridSpan w:val="4"/>
          </w:tcPr>
          <w:p>
            <w:pPr>
              <w:spacing w:after="0"/>
              <w:rPr>
                <w:sz w:val="20"/>
                <w:szCs w:val="20"/>
                <w:color w:val="auto"/>
              </w:rPr>
            </w:pPr>
            <w:r>
              <w:rPr>
                <w:rFonts w:ascii="Arial" w:cs="Arial" w:eastAsia="Arial" w:hAnsi="Arial"/>
                <w:sz w:val="18"/>
                <w:szCs w:val="18"/>
                <w:color w:val="auto"/>
              </w:rPr>
              <w:t>XBRL Label Linkbase Document.</w:t>
            </w: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101.PRE</w:t>
            </w:r>
          </w:p>
        </w:tc>
        <w:tc>
          <w:tcPr>
            <w:tcW w:w="8240" w:type="dxa"/>
            <w:vAlign w:val="bottom"/>
            <w:gridSpan w:val="4"/>
          </w:tcPr>
          <w:p>
            <w:pPr>
              <w:spacing w:after="0"/>
              <w:rPr>
                <w:sz w:val="20"/>
                <w:szCs w:val="20"/>
                <w:color w:val="auto"/>
              </w:rPr>
            </w:pPr>
            <w:r>
              <w:rPr>
                <w:rFonts w:ascii="Arial" w:cs="Arial" w:eastAsia="Arial" w:hAnsi="Arial"/>
                <w:sz w:val="18"/>
                <w:szCs w:val="18"/>
                <w:color w:val="auto"/>
              </w:rPr>
              <w:t>XBRL Presentation Linkbase Document.</w:t>
            </w:r>
          </w:p>
        </w:tc>
      </w:tr>
      <w:tr>
        <w:trPr>
          <w:trHeight w:val="864"/>
        </w:trPr>
        <w:tc>
          <w:tcPr>
            <w:tcW w:w="820" w:type="dxa"/>
            <w:vAlign w:val="bottom"/>
          </w:tcPr>
          <w:p>
            <w:pPr>
              <w:spacing w:after="0"/>
              <w:rPr>
                <w:sz w:val="24"/>
                <w:szCs w:val="24"/>
                <w:color w:val="auto"/>
              </w:rPr>
            </w:pPr>
          </w:p>
        </w:tc>
        <w:tc>
          <w:tcPr>
            <w:tcW w:w="6440" w:type="dxa"/>
            <w:vAlign w:val="bottom"/>
          </w:tcPr>
          <w:p>
            <w:pPr>
              <w:ind w:left="3620"/>
              <w:spacing w:after="0"/>
              <w:rPr>
                <w:sz w:val="20"/>
                <w:szCs w:val="20"/>
                <w:color w:val="auto"/>
              </w:rPr>
            </w:pPr>
            <w:r>
              <w:rPr>
                <w:rFonts w:ascii="Arial" w:cs="Arial" w:eastAsia="Arial" w:hAnsi="Arial"/>
                <w:sz w:val="18"/>
                <w:szCs w:val="18"/>
                <w:color w:val="auto"/>
              </w:rPr>
              <w:t>26</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561"/>
        </w:trPr>
        <w:tc>
          <w:tcPr>
            <w:tcW w:w="820" w:type="dxa"/>
            <w:vAlign w:val="bottom"/>
            <w:tcBorders>
              <w:bottom w:val="single" w:sz="8" w:color="auto"/>
            </w:tcBorders>
          </w:tcPr>
          <w:p>
            <w:pPr>
              <w:spacing w:after="0"/>
              <w:rPr>
                <w:sz w:val="24"/>
                <w:szCs w:val="24"/>
                <w:color w:val="auto"/>
              </w:rPr>
            </w:pPr>
          </w:p>
        </w:tc>
        <w:tc>
          <w:tcPr>
            <w:tcW w:w="64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877" w:right="141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40" w:type="dxa"/>
            <w:vAlign w:val="bottom"/>
          </w:tcPr>
          <w:p>
            <w:pPr>
              <w:spacing w:after="0"/>
              <w:rPr>
                <w:sz w:val="18"/>
                <w:szCs w:val="18"/>
                <w:color w:val="auto"/>
              </w:rPr>
            </w:pPr>
          </w:p>
        </w:tc>
        <w:tc>
          <w:tcPr>
            <w:tcW w:w="6120" w:type="dxa"/>
            <w:vAlign w:val="bottom"/>
            <w:gridSpan w:val="2"/>
          </w:tcPr>
          <w:p>
            <w:pPr>
              <w:ind w:left="1600"/>
              <w:spacing w:after="0"/>
              <w:rPr>
                <w:sz w:val="20"/>
                <w:szCs w:val="20"/>
                <w:color w:val="auto"/>
              </w:rPr>
            </w:pPr>
            <w:r>
              <w:rPr>
                <w:rFonts w:ascii="Arial" w:cs="Arial" w:eastAsia="Arial" w:hAnsi="Arial"/>
                <w:sz w:val="18"/>
                <w:szCs w:val="18"/>
                <w:color w:val="auto"/>
              </w:rPr>
              <w:t>G-III APPAREL GROUP, LTD.</w:t>
            </w:r>
          </w:p>
        </w:tc>
      </w:tr>
      <w:tr>
        <w:trPr>
          <w:trHeight w:val="230"/>
        </w:trPr>
        <w:tc>
          <w:tcPr>
            <w:tcW w:w="29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180" w:type="dxa"/>
            <w:vAlign w:val="bottom"/>
          </w:tcPr>
          <w:p>
            <w:pPr>
              <w:ind w:left="480"/>
              <w:spacing w:after="0"/>
              <w:rPr>
                <w:sz w:val="20"/>
                <w:szCs w:val="20"/>
                <w:color w:val="auto"/>
              </w:rPr>
            </w:pPr>
            <w:r>
              <w:rPr>
                <w:rFonts w:ascii="Arial" w:cs="Arial" w:eastAsia="Arial" w:hAnsi="Arial"/>
                <w:sz w:val="18"/>
                <w:szCs w:val="18"/>
                <w:color w:val="auto"/>
              </w:rPr>
              <w:t>(Registrant)</w:t>
            </w:r>
          </w:p>
        </w:tc>
      </w:tr>
      <w:tr>
        <w:trPr>
          <w:trHeight w:val="648"/>
        </w:trPr>
        <w:tc>
          <w:tcPr>
            <w:tcW w:w="2940" w:type="dxa"/>
            <w:vAlign w:val="bottom"/>
          </w:tcPr>
          <w:p>
            <w:pPr>
              <w:spacing w:after="0"/>
              <w:rPr>
                <w:sz w:val="20"/>
                <w:szCs w:val="20"/>
                <w:color w:val="auto"/>
              </w:rPr>
            </w:pPr>
            <w:r>
              <w:rPr>
                <w:rFonts w:ascii="Arial" w:cs="Arial" w:eastAsia="Arial" w:hAnsi="Arial"/>
                <w:sz w:val="18"/>
                <w:szCs w:val="18"/>
                <w:color w:val="auto"/>
              </w:rPr>
              <w:t>Date: June 10, 2019</w:t>
            </w:r>
          </w:p>
        </w:tc>
        <w:tc>
          <w:tcPr>
            <w:tcW w:w="6120" w:type="dxa"/>
            <w:vAlign w:val="bottom"/>
            <w:gridSpan w:val="2"/>
          </w:tcPr>
          <w:p>
            <w:pPr>
              <w:ind w:left="1600"/>
              <w:spacing w:after="0"/>
              <w:rPr>
                <w:sz w:val="20"/>
                <w:szCs w:val="20"/>
                <w:color w:val="auto"/>
              </w:rPr>
            </w:pPr>
            <w:r>
              <w:rPr>
                <w:rFonts w:ascii="Arial" w:cs="Arial" w:eastAsia="Arial" w:hAnsi="Arial"/>
                <w:sz w:val="18"/>
                <w:szCs w:val="18"/>
                <w:color w:val="auto"/>
              </w:rPr>
              <w:t>By: /s/ Morris Goldfarb</w:t>
            </w:r>
          </w:p>
        </w:tc>
      </w:tr>
      <w:tr>
        <w:trPr>
          <w:trHeight w:val="195"/>
        </w:trPr>
        <w:tc>
          <w:tcPr>
            <w:tcW w:w="29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4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Morris Goldfarb</w:t>
            </w:r>
          </w:p>
        </w:tc>
      </w:tr>
      <w:tr>
        <w:trPr>
          <w:trHeight w:val="230"/>
        </w:trPr>
        <w:tc>
          <w:tcPr>
            <w:tcW w:w="29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648"/>
        </w:trPr>
        <w:tc>
          <w:tcPr>
            <w:tcW w:w="2940" w:type="dxa"/>
            <w:vAlign w:val="bottom"/>
          </w:tcPr>
          <w:p>
            <w:pPr>
              <w:spacing w:after="0"/>
              <w:rPr>
                <w:sz w:val="20"/>
                <w:szCs w:val="20"/>
                <w:color w:val="auto"/>
              </w:rPr>
            </w:pPr>
            <w:r>
              <w:rPr>
                <w:rFonts w:ascii="Arial" w:cs="Arial" w:eastAsia="Arial" w:hAnsi="Arial"/>
                <w:sz w:val="18"/>
                <w:szCs w:val="18"/>
                <w:color w:val="auto"/>
              </w:rPr>
              <w:t>Date: June 10, 2019</w:t>
            </w:r>
          </w:p>
        </w:tc>
        <w:tc>
          <w:tcPr>
            <w:tcW w:w="6120" w:type="dxa"/>
            <w:vAlign w:val="bottom"/>
            <w:gridSpan w:val="2"/>
          </w:tcPr>
          <w:p>
            <w:pPr>
              <w:ind w:left="1600"/>
              <w:spacing w:after="0"/>
              <w:rPr>
                <w:sz w:val="20"/>
                <w:szCs w:val="20"/>
                <w:color w:val="auto"/>
              </w:rPr>
            </w:pPr>
            <w:r>
              <w:rPr>
                <w:rFonts w:ascii="Arial" w:cs="Arial" w:eastAsia="Arial" w:hAnsi="Arial"/>
                <w:sz w:val="18"/>
                <w:szCs w:val="18"/>
                <w:color w:val="auto"/>
              </w:rPr>
              <w:t>By: /s/ Neal S. Nackman</w:t>
            </w:r>
          </w:p>
        </w:tc>
      </w:tr>
      <w:tr>
        <w:trPr>
          <w:trHeight w:val="195"/>
        </w:trPr>
        <w:tc>
          <w:tcPr>
            <w:tcW w:w="29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4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Neal S. Nackman</w:t>
            </w:r>
          </w:p>
        </w:tc>
      </w:tr>
      <w:tr>
        <w:trPr>
          <w:trHeight w:val="230"/>
        </w:trPr>
        <w:tc>
          <w:tcPr>
            <w:tcW w:w="29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662"/>
        </w:trPr>
        <w:tc>
          <w:tcPr>
            <w:tcW w:w="2940" w:type="dxa"/>
            <w:vAlign w:val="bottom"/>
          </w:tcPr>
          <w:p>
            <w:pPr>
              <w:spacing w:after="0"/>
              <w:rPr>
                <w:sz w:val="24"/>
                <w:szCs w:val="24"/>
                <w:color w:val="auto"/>
              </w:rPr>
            </w:pPr>
          </w:p>
        </w:tc>
        <w:tc>
          <w:tcPr>
            <w:tcW w:w="1940" w:type="dxa"/>
            <w:vAlign w:val="bottom"/>
          </w:tcPr>
          <w:p>
            <w:pPr>
              <w:jc w:val="right"/>
              <w:ind w:right="170"/>
              <w:spacing w:after="0"/>
              <w:rPr>
                <w:sz w:val="20"/>
                <w:szCs w:val="20"/>
                <w:color w:val="auto"/>
              </w:rPr>
            </w:pPr>
            <w:r>
              <w:rPr>
                <w:rFonts w:ascii="Arial" w:cs="Arial" w:eastAsia="Arial" w:hAnsi="Arial"/>
                <w:sz w:val="18"/>
                <w:szCs w:val="18"/>
                <w:color w:val="auto"/>
              </w:rPr>
              <w:t>27</w:t>
            </w:r>
          </w:p>
        </w:tc>
        <w:tc>
          <w:tcPr>
            <w:tcW w:w="4180" w:type="dxa"/>
            <w:vAlign w:val="bottom"/>
          </w:tcPr>
          <w:p>
            <w:pPr>
              <w:spacing w:after="0"/>
              <w:rPr>
                <w:sz w:val="24"/>
                <w:szCs w:val="24"/>
                <w:color w:val="auto"/>
              </w:rPr>
            </w:pPr>
          </w:p>
        </w:tc>
      </w:tr>
      <w:tr>
        <w:trPr>
          <w:trHeight w:val="561"/>
        </w:trPr>
        <w:tc>
          <w:tcPr>
            <w:tcW w:w="29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877" w:right="141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31.1</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jc w:val="center"/>
        <w:spacing w:after="0"/>
        <w:rPr>
          <w:sz w:val="20"/>
          <w:szCs w:val="20"/>
          <w:color w:val="auto"/>
        </w:rPr>
      </w:pPr>
      <w:r>
        <w:rPr>
          <w:rFonts w:ascii="Arial" w:cs="Arial" w:eastAsia="Arial" w:hAnsi="Arial"/>
          <w:sz w:val="18"/>
          <w:szCs w:val="18"/>
          <w:color w:val="auto"/>
        </w:rPr>
        <w:t>RULE 13a - 14(a) OR RULE 15d - 14(a) OF THE SECURITIES EXCHANGE ACT OF 1934, AS AMENDED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I, Morris Goldfarb, certify that:</w:t>
      </w:r>
    </w:p>
    <w:p>
      <w:pPr>
        <w:spacing w:after="0" w:line="158" w:lineRule="exact"/>
        <w:rPr>
          <w:sz w:val="20"/>
          <w:szCs w:val="20"/>
          <w:color w:val="auto"/>
        </w:rPr>
      </w:pPr>
    </w:p>
    <w:p>
      <w:pPr>
        <w:ind w:left="660" w:hanging="333"/>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G-III Apparel Group, Ltd.</w:t>
      </w:r>
    </w:p>
    <w:p>
      <w:pPr>
        <w:spacing w:after="0" w:line="157" w:lineRule="exact"/>
        <w:rPr>
          <w:rFonts w:ascii="Arial" w:cs="Arial" w:eastAsia="Arial" w:hAnsi="Arial"/>
          <w:sz w:val="18"/>
          <w:szCs w:val="18"/>
          <w:color w:val="auto"/>
        </w:rPr>
      </w:pPr>
    </w:p>
    <w:p>
      <w:pPr>
        <w:jc w:val="both"/>
        <w:ind w:left="660" w:hanging="333"/>
        <w:spacing w:after="0" w:line="235"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4" w:lineRule="exact"/>
        <w:rPr>
          <w:rFonts w:ascii="Arial" w:cs="Arial" w:eastAsia="Arial" w:hAnsi="Arial"/>
          <w:sz w:val="18"/>
          <w:szCs w:val="18"/>
          <w:color w:val="auto"/>
        </w:rPr>
      </w:pPr>
    </w:p>
    <w:p>
      <w:pPr>
        <w:jc w:val="both"/>
        <w:ind w:left="660" w:hanging="333"/>
        <w:spacing w:after="0" w:line="235"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Arial" w:cs="Arial" w:eastAsia="Arial" w:hAnsi="Arial"/>
          <w:sz w:val="18"/>
          <w:szCs w:val="18"/>
          <w:color w:val="auto"/>
        </w:rPr>
      </w:pPr>
    </w:p>
    <w:p>
      <w:pPr>
        <w:jc w:val="both"/>
        <w:ind w:left="660" w:hanging="333"/>
        <w:spacing w:after="0" w:line="253"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124" w:lineRule="exact"/>
        <w:rPr>
          <w:rFonts w:ascii="Arial" w:cs="Arial" w:eastAsia="Arial" w:hAnsi="Arial"/>
          <w:sz w:val="17"/>
          <w:szCs w:val="17"/>
          <w:color w:val="auto"/>
        </w:rPr>
      </w:pPr>
    </w:p>
    <w:p>
      <w:pPr>
        <w:jc w:val="both"/>
        <w:ind w:left="980" w:hanging="329"/>
        <w:spacing w:after="0" w:line="231"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4" w:lineRule="exact"/>
        <w:rPr>
          <w:rFonts w:ascii="Arial" w:cs="Arial" w:eastAsia="Arial" w:hAnsi="Arial"/>
          <w:sz w:val="18"/>
          <w:szCs w:val="18"/>
          <w:color w:val="auto"/>
        </w:rPr>
      </w:pPr>
    </w:p>
    <w:p>
      <w:pPr>
        <w:jc w:val="both"/>
        <w:ind w:left="980" w:hanging="329"/>
        <w:spacing w:after="0" w:line="231"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4" w:lineRule="exact"/>
        <w:rPr>
          <w:rFonts w:ascii="Arial" w:cs="Arial" w:eastAsia="Arial" w:hAnsi="Arial"/>
          <w:sz w:val="18"/>
          <w:szCs w:val="18"/>
          <w:color w:val="auto"/>
        </w:rPr>
      </w:pPr>
    </w:p>
    <w:p>
      <w:pPr>
        <w:jc w:val="both"/>
        <w:ind w:left="980" w:hanging="329"/>
        <w:spacing w:after="0" w:line="235"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4" w:lineRule="exact"/>
        <w:rPr>
          <w:rFonts w:ascii="Arial" w:cs="Arial" w:eastAsia="Arial" w:hAnsi="Arial"/>
          <w:sz w:val="18"/>
          <w:szCs w:val="18"/>
          <w:color w:val="auto"/>
        </w:rPr>
      </w:pPr>
    </w:p>
    <w:p>
      <w:pPr>
        <w:jc w:val="both"/>
        <w:ind w:left="980" w:hanging="329"/>
        <w:spacing w:after="0" w:line="231"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34" w:lineRule="exact"/>
        <w:rPr>
          <w:rFonts w:ascii="Arial" w:cs="Arial" w:eastAsia="Arial" w:hAnsi="Arial"/>
          <w:sz w:val="18"/>
          <w:szCs w:val="18"/>
          <w:color w:val="auto"/>
        </w:rPr>
      </w:pPr>
    </w:p>
    <w:p>
      <w:pPr>
        <w:jc w:val="both"/>
        <w:ind w:left="660" w:hanging="333"/>
        <w:spacing w:after="0" w:line="235"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Arial" w:cs="Arial" w:eastAsia="Arial" w:hAnsi="Arial"/>
          <w:sz w:val="18"/>
          <w:szCs w:val="18"/>
          <w:color w:val="auto"/>
        </w:rPr>
      </w:pPr>
    </w:p>
    <w:p>
      <w:pPr>
        <w:jc w:val="both"/>
        <w:ind w:left="980" w:hanging="329"/>
        <w:spacing w:after="0" w:line="235"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Arial" w:cs="Arial" w:eastAsia="Arial" w:hAnsi="Arial"/>
          <w:sz w:val="18"/>
          <w:szCs w:val="18"/>
          <w:color w:val="auto"/>
        </w:rPr>
      </w:pPr>
    </w:p>
    <w:p>
      <w:pPr>
        <w:ind w:left="980" w:hanging="329"/>
        <w:spacing w:after="0" w:line="246"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Date: June 10, 2019</w:t>
      </w:r>
    </w:p>
    <w:p>
      <w:pPr>
        <w:spacing w:after="0" w:line="18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Morris Goldfarb</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Morris Goldfarb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-130810</wp:posOffset>
            </wp:positionV>
            <wp:extent cx="287274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897890</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864" w:right="141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31.2</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jc w:val="center"/>
        <w:spacing w:after="0"/>
        <w:rPr>
          <w:sz w:val="20"/>
          <w:szCs w:val="20"/>
          <w:color w:val="auto"/>
        </w:rPr>
      </w:pPr>
      <w:r>
        <w:rPr>
          <w:rFonts w:ascii="Arial" w:cs="Arial" w:eastAsia="Arial" w:hAnsi="Arial"/>
          <w:sz w:val="18"/>
          <w:szCs w:val="18"/>
          <w:color w:val="auto"/>
        </w:rPr>
        <w:t>RULE 13a - 14(a) OR RULE 15d - 14(a) OF THE SECURITIES EXCHANGE ACT OF 1934, AS AMENDED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I, Neal S. Nackman, certify that:</w:t>
      </w:r>
    </w:p>
    <w:p>
      <w:pPr>
        <w:spacing w:after="0" w:line="158" w:lineRule="exact"/>
        <w:rPr>
          <w:sz w:val="20"/>
          <w:szCs w:val="20"/>
          <w:color w:val="auto"/>
        </w:rPr>
      </w:pPr>
    </w:p>
    <w:p>
      <w:pPr>
        <w:ind w:left="660" w:hanging="333"/>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G-III Apparel Group, Ltd.</w:t>
      </w:r>
    </w:p>
    <w:p>
      <w:pPr>
        <w:spacing w:after="0" w:line="157" w:lineRule="exact"/>
        <w:rPr>
          <w:rFonts w:ascii="Arial" w:cs="Arial" w:eastAsia="Arial" w:hAnsi="Arial"/>
          <w:sz w:val="18"/>
          <w:szCs w:val="18"/>
          <w:color w:val="auto"/>
        </w:rPr>
      </w:pPr>
    </w:p>
    <w:p>
      <w:pPr>
        <w:jc w:val="both"/>
        <w:ind w:left="660" w:hanging="333"/>
        <w:spacing w:after="0" w:line="235"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4" w:lineRule="exact"/>
        <w:rPr>
          <w:rFonts w:ascii="Arial" w:cs="Arial" w:eastAsia="Arial" w:hAnsi="Arial"/>
          <w:sz w:val="18"/>
          <w:szCs w:val="18"/>
          <w:color w:val="auto"/>
        </w:rPr>
      </w:pPr>
    </w:p>
    <w:p>
      <w:pPr>
        <w:jc w:val="both"/>
        <w:ind w:left="660" w:hanging="333"/>
        <w:spacing w:after="0" w:line="235"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Arial" w:cs="Arial" w:eastAsia="Arial" w:hAnsi="Arial"/>
          <w:sz w:val="18"/>
          <w:szCs w:val="18"/>
          <w:color w:val="auto"/>
        </w:rPr>
      </w:pPr>
    </w:p>
    <w:p>
      <w:pPr>
        <w:jc w:val="both"/>
        <w:ind w:left="660" w:hanging="333"/>
        <w:spacing w:after="0" w:line="253"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124" w:lineRule="exact"/>
        <w:rPr>
          <w:rFonts w:ascii="Arial" w:cs="Arial" w:eastAsia="Arial" w:hAnsi="Arial"/>
          <w:sz w:val="17"/>
          <w:szCs w:val="17"/>
          <w:color w:val="auto"/>
        </w:rPr>
      </w:pPr>
    </w:p>
    <w:p>
      <w:pPr>
        <w:jc w:val="both"/>
        <w:ind w:left="980" w:hanging="329"/>
        <w:spacing w:after="0" w:line="231"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4" w:lineRule="exact"/>
        <w:rPr>
          <w:rFonts w:ascii="Arial" w:cs="Arial" w:eastAsia="Arial" w:hAnsi="Arial"/>
          <w:sz w:val="18"/>
          <w:szCs w:val="18"/>
          <w:color w:val="auto"/>
        </w:rPr>
      </w:pPr>
    </w:p>
    <w:p>
      <w:pPr>
        <w:jc w:val="both"/>
        <w:ind w:left="980" w:hanging="329"/>
        <w:spacing w:after="0" w:line="231"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4" w:lineRule="exact"/>
        <w:rPr>
          <w:rFonts w:ascii="Arial" w:cs="Arial" w:eastAsia="Arial" w:hAnsi="Arial"/>
          <w:sz w:val="18"/>
          <w:szCs w:val="18"/>
          <w:color w:val="auto"/>
        </w:rPr>
      </w:pPr>
    </w:p>
    <w:p>
      <w:pPr>
        <w:jc w:val="both"/>
        <w:ind w:left="980" w:hanging="329"/>
        <w:spacing w:after="0" w:line="235"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4" w:lineRule="exact"/>
        <w:rPr>
          <w:rFonts w:ascii="Arial" w:cs="Arial" w:eastAsia="Arial" w:hAnsi="Arial"/>
          <w:sz w:val="18"/>
          <w:szCs w:val="18"/>
          <w:color w:val="auto"/>
        </w:rPr>
      </w:pPr>
    </w:p>
    <w:p>
      <w:pPr>
        <w:jc w:val="both"/>
        <w:ind w:left="980" w:hanging="329"/>
        <w:spacing w:after="0" w:line="231"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34" w:lineRule="exact"/>
        <w:rPr>
          <w:rFonts w:ascii="Arial" w:cs="Arial" w:eastAsia="Arial" w:hAnsi="Arial"/>
          <w:sz w:val="18"/>
          <w:szCs w:val="18"/>
          <w:color w:val="auto"/>
        </w:rPr>
      </w:pPr>
    </w:p>
    <w:p>
      <w:pPr>
        <w:jc w:val="both"/>
        <w:ind w:left="660" w:hanging="333"/>
        <w:spacing w:after="0" w:line="235"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Arial" w:cs="Arial" w:eastAsia="Arial" w:hAnsi="Arial"/>
          <w:sz w:val="18"/>
          <w:szCs w:val="18"/>
          <w:color w:val="auto"/>
        </w:rPr>
      </w:pPr>
    </w:p>
    <w:p>
      <w:pPr>
        <w:jc w:val="both"/>
        <w:ind w:left="980" w:hanging="329"/>
        <w:spacing w:after="0" w:line="235"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Arial" w:cs="Arial" w:eastAsia="Arial" w:hAnsi="Arial"/>
          <w:sz w:val="18"/>
          <w:szCs w:val="18"/>
          <w:color w:val="auto"/>
        </w:rPr>
      </w:pPr>
    </w:p>
    <w:p>
      <w:pPr>
        <w:ind w:left="980" w:hanging="329"/>
        <w:spacing w:after="0" w:line="246"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Date: June 10, 2019</w:t>
      </w:r>
    </w:p>
    <w:p>
      <w:pPr>
        <w:spacing w:after="0" w:line="18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Neal S. Nackman</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Neal S. Nackman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-130810</wp:posOffset>
            </wp:positionV>
            <wp:extent cx="287274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897890</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864" w:right="141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8"/>
          <w:szCs w:val="18"/>
          <w:b w:val="1"/>
          <w:bCs w:val="1"/>
          <w:color w:val="auto"/>
        </w:rPr>
        <w:t>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ind w:firstLine="415"/>
        <w:spacing w:after="0" w:line="276" w:lineRule="auto"/>
        <w:rPr>
          <w:sz w:val="20"/>
          <w:szCs w:val="20"/>
          <w:color w:val="auto"/>
        </w:rPr>
      </w:pPr>
      <w:r>
        <w:rPr>
          <w:rFonts w:ascii="Arial" w:cs="Arial" w:eastAsia="Arial" w:hAnsi="Arial"/>
          <w:sz w:val="17"/>
          <w:szCs w:val="17"/>
          <w:color w:val="auto"/>
        </w:rPr>
        <w:t>In connection with the Quarterly Report of G-III Apparel Group, Ltd. (the “Company”) on Form 10-Q for the quarterly period ended April 30, 2019, as filed with the Securities and Exchange Commission (the “Report”), I, Morris Goldfarb, Chief Executive Officer of the Company, hereby certify that, to my knowledge, (a) the Report fully complies with the requirements of Section 13(a) or 15(d) of the Securities Exchange Act of 1934 and (b) the information contained in the Report fairly presents, in all material respects, the financial condition and results of operations of the Company.</w:t>
      </w:r>
    </w:p>
    <w:p>
      <w:pPr>
        <w:spacing w:after="0" w:line="186"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Morris Goldfarb</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Morris Goldfarb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-130810</wp:posOffset>
            </wp:positionV>
            <wp:extent cx="287274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June 10, 2019</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323215</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ind w:firstLine="415"/>
        <w:spacing w:after="0" w:line="276" w:lineRule="auto"/>
        <w:rPr>
          <w:sz w:val="20"/>
          <w:szCs w:val="20"/>
          <w:color w:val="auto"/>
        </w:rPr>
      </w:pPr>
      <w:r>
        <w:rPr>
          <w:rFonts w:ascii="Arial" w:cs="Arial" w:eastAsia="Arial" w:hAnsi="Arial"/>
          <w:sz w:val="17"/>
          <w:szCs w:val="17"/>
          <w:color w:val="auto"/>
        </w:rPr>
        <w:t>In connection with the Quarterly Report of G-III Apparel Group, Ltd. (the “Company”) on Form 10-Q for the quarterly period ended April 30, 2019, as filed with the Securities and Exchange Commission (the “Report”), I, Neal S. Nackman, Chief Financial Officer of the Company, hereby certify that, to my knowledge, (a) the Report fully complies with the requirements of Section 13(a) or 15(d) of the Securities Exchange Act of 1934 and (b) the information contained in the Report fairly presents, in all material respects, the financial condition and results of operations of the Company.</w:t>
      </w:r>
    </w:p>
    <w:p>
      <w:pPr>
        <w:spacing w:after="0" w:line="186"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Neal S. Nackman</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Neal S. Nackman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-130810</wp:posOffset>
            </wp:positionV>
            <wp:extent cx="287274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June 10, 2019</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734695</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877" w:right="1419" w:bottom="1440" w:gutter="0" w:footer="0" w:header="0"/>
        </w:sectPr>
      </w:pPr>
    </w:p>
    <w:bookmarkStart w:id="31" w:name="page32"/>
    <w:bookmarkEnd w:id="3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00"/>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
      <w:numFmt w:val="bullet"/>
      <w:start w:val="1"/>
    </w:lvl>
  </w:abstractNum>
  <w:abstractNum w:abstractNumId="1">
    <w:nsid w:val="79E2A9E3"/>
    <w:multiLevelType w:val="hybridMultilevel"/>
    <w:lvl w:ilvl="0">
      <w:lvlJc w:val="left"/>
      <w:lvlText w:val=" "/>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lowerRoman"/>
      <w:start w:val="1"/>
    </w:lvl>
  </w:abstractNum>
  <w:abstractNum w:abstractNumId="5">
    <w:nsid w:val="12200854"/>
    <w:multiLevelType w:val="hybridMultilevel"/>
    <w:lvl w:ilvl="0">
      <w:lvlJc w:val="left"/>
      <w:lvlText w:val="(%1)"/>
      <w:numFmt w:val="lowerRoman"/>
      <w:start w:val="3"/>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lowerRoman"/>
      <w:start w:val="1"/>
    </w:lvl>
  </w:abstractNum>
  <w:abstractNum w:abstractNumId="10">
    <w:nsid w:val="66EF438D"/>
    <w:multiLevelType w:val="hybridMultilevel"/>
    <w:lvl w:ilvl="0">
      <w:lvlJc w:val="left"/>
      <w:lvlText w:val="(%1)"/>
      <w:numFmt w:val="decimal"/>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2019-12-28T11:23:43Z</dcterms:created>
  <dcterms:modified xsi:type="dcterms:W3CDTF">2019-12-28T11:23:43Z</dcterms:modified>
</cp:coreProperties>
</file>