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59"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90"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30" w:hanging="330"/>
        <w:spacing w:after="0"/>
        <w:tabs>
          <w:tab w:leader="none" w:pos="33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April 30, 2023</w:t>
      </w:r>
    </w:p>
    <w:p>
      <w:pPr>
        <w:spacing w:after="0" w:line="12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310" w:hanging="310"/>
        <w:spacing w:after="0"/>
        <w:tabs>
          <w:tab w:leader="none" w:pos="31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650"/>
        <w:spacing w:after="0"/>
        <w:tabs>
          <w:tab w:leader="none" w:pos="613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3675380</wp:posOffset>
            </wp:positionH>
            <wp:positionV relativeFrom="paragraph">
              <wp:posOffset>-4445</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-4445</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6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G-III APPAREL GROUP, LTD.</w:t>
      </w:r>
    </w:p>
    <w:p>
      <w:pPr>
        <w:spacing w:after="0" w:line="47" w:lineRule="exact"/>
        <w:rPr>
          <w:sz w:val="24"/>
          <w:szCs w:val="24"/>
          <w:color w:val="auto"/>
        </w:rPr>
      </w:pPr>
    </w:p>
    <w:p>
      <w:pPr>
        <w:jc w:val="center"/>
        <w:ind w:right="3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77470</wp:posOffset>
            </wp:positionV>
            <wp:extent cx="162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05"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60" w:type="dxa"/>
            <w:vAlign w:val="bottom"/>
          </w:tcPr>
          <w:p>
            <w:pPr>
              <w:jc w:val="center"/>
              <w:ind w:right="1479"/>
              <w:spacing w:after="0"/>
              <w:rPr>
                <w:sz w:val="20"/>
                <w:szCs w:val="20"/>
                <w:color w:val="auto"/>
              </w:rPr>
            </w:pPr>
            <w:r>
              <w:rPr>
                <w:rFonts w:ascii="Arial" w:cs="Arial" w:eastAsia="Arial" w:hAnsi="Arial"/>
                <w:sz w:val="16"/>
                <w:szCs w:val="16"/>
                <w:b w:val="1"/>
                <w:bCs w:val="1"/>
                <w:color w:val="auto"/>
                <w:w w:val="93"/>
              </w:rPr>
              <w:t>Delaware</w:t>
            </w:r>
          </w:p>
        </w:tc>
        <w:tc>
          <w:tcPr>
            <w:tcW w:w="2840" w:type="dxa"/>
            <w:vAlign w:val="bottom"/>
          </w:tcPr>
          <w:p>
            <w:pPr>
              <w:jc w:val="right"/>
              <w:ind w:right="159"/>
              <w:spacing w:after="0"/>
              <w:rPr>
                <w:sz w:val="20"/>
                <w:szCs w:val="20"/>
                <w:color w:val="auto"/>
              </w:rPr>
            </w:pPr>
            <w:r>
              <w:rPr>
                <w:rFonts w:ascii="Arial" w:cs="Arial" w:eastAsia="Arial" w:hAnsi="Arial"/>
                <w:sz w:val="16"/>
                <w:szCs w:val="16"/>
                <w:b w:val="1"/>
                <w:bCs w:val="1"/>
                <w:color w:val="auto"/>
              </w:rPr>
              <w:t>41-1590959</w:t>
            </w:r>
          </w:p>
        </w:tc>
      </w:tr>
      <w:tr>
        <w:trPr>
          <w:trHeight w:val="203"/>
        </w:trPr>
        <w:tc>
          <w:tcPr>
            <w:tcW w:w="446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(State or other jurisdiction of</w:t>
            </w:r>
          </w:p>
        </w:tc>
        <w:tc>
          <w:tcPr>
            <w:tcW w:w="2840" w:type="dxa"/>
            <w:vAlign w:val="bottom"/>
          </w:tcPr>
          <w:p>
            <w:pPr>
              <w:jc w:val="center"/>
              <w:ind w:left="147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446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incorporation or organization)</w:t>
            </w:r>
          </w:p>
        </w:tc>
        <w:tc>
          <w:tcPr>
            <w:tcW w:w="2840" w:type="dxa"/>
            <w:vAlign w:val="bottom"/>
          </w:tcPr>
          <w:p>
            <w:pPr>
              <w:jc w:val="center"/>
              <w:ind w:left="1479"/>
              <w:spacing w:after="0"/>
              <w:rPr>
                <w:sz w:val="20"/>
                <w:szCs w:val="20"/>
                <w:color w:val="auto"/>
              </w:rPr>
            </w:pPr>
            <w:r>
              <w:rPr>
                <w:rFonts w:ascii="Arial" w:cs="Arial" w:eastAsia="Arial" w:hAnsi="Arial"/>
                <w:sz w:val="16"/>
                <w:szCs w:val="16"/>
                <w:b w:val="1"/>
                <w:bCs w:val="1"/>
                <w:color w:val="auto"/>
                <w:w w:val="94"/>
              </w:rPr>
              <w:t>Identification No.)</w:t>
            </w:r>
          </w:p>
        </w:tc>
      </w:tr>
      <w:tr>
        <w:trPr>
          <w:trHeight w:val="303"/>
        </w:trPr>
        <w:tc>
          <w:tcPr>
            <w:tcW w:w="4460" w:type="dxa"/>
            <w:vAlign w:val="bottom"/>
          </w:tcPr>
          <w:p>
            <w:pPr>
              <w:jc w:val="center"/>
              <w:ind w:right="1479"/>
              <w:spacing w:after="0"/>
              <w:rPr>
                <w:sz w:val="20"/>
                <w:szCs w:val="20"/>
                <w:color w:val="auto"/>
              </w:rPr>
            </w:pPr>
            <w:r>
              <w:rPr>
                <w:rFonts w:ascii="Arial" w:cs="Arial" w:eastAsia="Arial" w:hAnsi="Arial"/>
                <w:sz w:val="16"/>
                <w:szCs w:val="16"/>
                <w:b w:val="1"/>
                <w:bCs w:val="1"/>
                <w:color w:val="auto"/>
                <w:w w:val="90"/>
              </w:rPr>
              <w:t>512 Seventh Avenue, New York, New York</w:t>
            </w:r>
          </w:p>
        </w:tc>
        <w:tc>
          <w:tcPr>
            <w:tcW w:w="2840" w:type="dxa"/>
            <w:vAlign w:val="bottom"/>
          </w:tcPr>
          <w:p>
            <w:pPr>
              <w:jc w:val="right"/>
              <w:ind w:right="359"/>
              <w:spacing w:after="0"/>
              <w:rPr>
                <w:sz w:val="20"/>
                <w:szCs w:val="20"/>
                <w:color w:val="auto"/>
              </w:rPr>
            </w:pPr>
            <w:r>
              <w:rPr>
                <w:rFonts w:ascii="Arial" w:cs="Arial" w:eastAsia="Arial" w:hAnsi="Arial"/>
                <w:sz w:val="16"/>
                <w:szCs w:val="16"/>
                <w:b w:val="1"/>
                <w:bCs w:val="1"/>
                <w:color w:val="auto"/>
              </w:rPr>
              <w:t>10018</w:t>
            </w:r>
          </w:p>
        </w:tc>
      </w:tr>
      <w:tr>
        <w:trPr>
          <w:trHeight w:val="210"/>
        </w:trPr>
        <w:tc>
          <w:tcPr>
            <w:tcW w:w="4460" w:type="dxa"/>
            <w:vAlign w:val="bottom"/>
          </w:tcPr>
          <w:p>
            <w:pPr>
              <w:jc w:val="center"/>
              <w:ind w:right="149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40" w:type="dxa"/>
            <w:vAlign w:val="bottom"/>
          </w:tcPr>
          <w:p>
            <w:pPr>
              <w:jc w:val="center"/>
              <w:ind w:left="1479"/>
              <w:spacing w:after="0"/>
              <w:rPr>
                <w:sz w:val="20"/>
                <w:szCs w:val="20"/>
                <w:color w:val="auto"/>
              </w:rPr>
            </w:pPr>
            <w:r>
              <w:rPr>
                <w:rFonts w:ascii="Arial" w:cs="Arial" w:eastAsia="Arial" w:hAnsi="Arial"/>
                <w:sz w:val="16"/>
                <w:szCs w:val="16"/>
                <w:b w:val="1"/>
                <w:bCs w:val="1"/>
                <w:color w:val="auto"/>
                <w:w w:val="96"/>
              </w:rPr>
              <w:t>(Zip Code)</w:t>
            </w:r>
          </w:p>
        </w:tc>
      </w:tr>
    </w:tbl>
    <w:p>
      <w:pPr>
        <w:spacing w:after="0" w:line="19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(212) 403-0500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0"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0" w:lineRule="exact"/>
        <w:rPr>
          <w:sz w:val="24"/>
          <w:szCs w:val="24"/>
          <w:color w:val="auto"/>
        </w:rPr>
      </w:pPr>
    </w:p>
    <w:tbl>
      <w:tblPr>
        <w:tblLayout w:type="fixed"/>
        <w:tblInd w:w="490" w:type="dxa"/>
        <w:tblCellMar>
          <w:top w:w="0" w:type="dxa"/>
          <w:left w:w="0" w:type="dxa"/>
          <w:bottom w:w="0" w:type="dxa"/>
          <w:right w:w="0" w:type="dxa"/>
        </w:tblCellMar>
      </w:tblPr>
      <w:tr>
        <w:trPr>
          <w:trHeight w:val="162"/>
        </w:trPr>
        <w:tc>
          <w:tcPr>
            <w:tcW w:w="3260" w:type="dxa"/>
            <w:vAlign w:val="bottom"/>
          </w:tcPr>
          <w:p>
            <w:pPr>
              <w:jc w:val="center"/>
              <w:ind w:right="748"/>
              <w:spacing w:after="0"/>
              <w:rPr>
                <w:sz w:val="20"/>
                <w:szCs w:val="20"/>
                <w:color w:val="auto"/>
              </w:rPr>
            </w:pPr>
            <w:r>
              <w:rPr>
                <w:rFonts w:ascii="Arial" w:cs="Arial" w:eastAsia="Arial" w:hAnsi="Arial"/>
                <w:sz w:val="14"/>
                <w:szCs w:val="14"/>
                <w:color w:val="auto"/>
                <w:w w:val="92"/>
              </w:rPr>
              <w:t>Title of each class</w:t>
            </w:r>
          </w:p>
        </w:tc>
        <w:tc>
          <w:tcPr>
            <w:tcW w:w="2700" w:type="dxa"/>
            <w:vAlign w:val="bottom"/>
          </w:tcPr>
          <w:p>
            <w:pPr>
              <w:jc w:val="center"/>
              <w:spacing w:after="0"/>
              <w:rPr>
                <w:sz w:val="20"/>
                <w:szCs w:val="20"/>
                <w:color w:val="auto"/>
              </w:rPr>
            </w:pPr>
            <w:r>
              <w:rPr>
                <w:rFonts w:ascii="Arial" w:cs="Arial" w:eastAsia="Arial" w:hAnsi="Arial"/>
                <w:sz w:val="14"/>
                <w:szCs w:val="14"/>
                <w:color w:val="auto"/>
                <w:w w:val="94"/>
              </w:rPr>
              <w:t>Trading Symbol(s)</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260" w:type="dxa"/>
            <w:vAlign w:val="bottom"/>
          </w:tcPr>
          <w:p>
            <w:pPr>
              <w:jc w:val="center"/>
              <w:ind w:right="768"/>
              <w:spacing w:after="0"/>
              <w:rPr>
                <w:sz w:val="20"/>
                <w:szCs w:val="20"/>
                <w:color w:val="auto"/>
              </w:rPr>
            </w:pPr>
            <w:r>
              <w:rPr>
                <w:rFonts w:ascii="Arial" w:cs="Arial" w:eastAsia="Arial" w:hAnsi="Arial"/>
                <w:sz w:val="14"/>
                <w:szCs w:val="14"/>
                <w:color w:val="auto"/>
                <w:w w:val="91"/>
              </w:rPr>
              <w:t>Common Stock, $0.01 par value per share</w:t>
            </w:r>
          </w:p>
        </w:tc>
        <w:tc>
          <w:tcPr>
            <w:tcW w:w="2700" w:type="dxa"/>
            <w:vAlign w:val="bottom"/>
          </w:tcPr>
          <w:p>
            <w:pPr>
              <w:jc w:val="center"/>
              <w:spacing w:after="0"/>
              <w:rPr>
                <w:sz w:val="20"/>
                <w:szCs w:val="20"/>
                <w:color w:val="auto"/>
              </w:rPr>
            </w:pPr>
            <w:r>
              <w:rPr>
                <w:rFonts w:ascii="Arial" w:cs="Arial" w:eastAsia="Arial" w:hAnsi="Arial"/>
                <w:sz w:val="14"/>
                <w:szCs w:val="14"/>
                <w:color w:val="auto"/>
              </w:rPr>
              <w:t>GIII</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2"/>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6497955"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14630"/>
                    </a:xfrm>
                    <a:prstGeom prst="rect">
                      <a:avLst/>
                    </a:prstGeom>
                    <a:noFill/>
                  </pic:spPr>
                </pic:pic>
              </a:graphicData>
            </a:graphic>
          </wp:anchor>
        </w:drawing>
      </w:r>
    </w:p>
    <w:p>
      <w:pPr>
        <w:spacing w:after="0" w:line="50" w:lineRule="exact"/>
        <w:rPr>
          <w:sz w:val="24"/>
          <w:szCs w:val="24"/>
          <w:color w:val="auto"/>
        </w:rPr>
      </w:pPr>
    </w:p>
    <w:p>
      <w:pPr>
        <w:jc w:val="both"/>
        <w:ind w:left="1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78" w:lineRule="exact"/>
        <w:rPr>
          <w:sz w:val="24"/>
          <w:szCs w:val="24"/>
          <w:color w:val="auto"/>
        </w:rPr>
      </w:pPr>
    </w:p>
    <w:p>
      <w:pPr>
        <w:jc w:val="both"/>
        <w:ind w:left="1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78"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72"/>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78" w:lineRule="exact"/>
        <w:rPr>
          <w:sz w:val="24"/>
          <w:szCs w:val="24"/>
          <w:color w:val="auto"/>
        </w:rPr>
      </w:pPr>
    </w:p>
    <w:p>
      <w:pPr>
        <w:jc w:val="both"/>
        <w:ind w:left="1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39" w:lineRule="exact"/>
        <w:rPr>
          <w:sz w:val="24"/>
          <w:szCs w:val="24"/>
          <w:color w:val="auto"/>
        </w:rPr>
      </w:pPr>
    </w:p>
    <w:p>
      <w:pPr>
        <w:ind w:left="10" w:right="182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As of June 2, 2023, there were 45,593,524 shares of issuer’s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544195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107315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60" w:type="dxa"/>
            <w:vAlign w:val="bottom"/>
            <w:gridSpan w:val="5"/>
            <w:vMerge w:val="restart"/>
          </w:tcPr>
          <w:p>
            <w:pPr>
              <w:ind w:left="20"/>
              <w:spacing w:after="0"/>
              <w:rPr>
                <w:sz w:val="20"/>
                <w:szCs w:val="20"/>
                <w:color w:val="auto"/>
              </w:rPr>
            </w:pPr>
            <w:r>
              <w:rPr>
                <w:rFonts w:ascii="Arial" w:cs="Arial" w:eastAsia="Arial" w:hAnsi="Arial"/>
                <w:sz w:val="18"/>
                <w:szCs w:val="18"/>
                <w:color w:val="0000EE"/>
              </w:rPr>
              <w:t>Part I</w:t>
            </w:r>
          </w:p>
        </w:tc>
        <w:tc>
          <w:tcPr>
            <w:tcW w:w="140" w:type="dxa"/>
            <w:vAlign w:val="bottom"/>
          </w:tcPr>
          <w:p>
            <w:pPr>
              <w:spacing w:after="0"/>
              <w:rPr>
                <w:sz w:val="16"/>
                <w:szCs w:val="16"/>
                <w:color w:val="auto"/>
              </w:rPr>
            </w:pPr>
          </w:p>
        </w:tc>
        <w:tc>
          <w:tcPr>
            <w:tcW w:w="7040" w:type="dxa"/>
            <w:vAlign w:val="bottom"/>
            <w:gridSpan w:val="20"/>
            <w:vMerge w:val="restart"/>
          </w:tcPr>
          <w:p>
            <w:pPr>
              <w:spacing w:after="0"/>
              <w:rPr>
                <w:sz w:val="20"/>
                <w:szCs w:val="20"/>
                <w:color w:val="auto"/>
              </w:rPr>
            </w:pPr>
            <w:r>
              <w:rPr>
                <w:rFonts w:ascii="Arial" w:cs="Arial" w:eastAsia="Arial" w:hAnsi="Arial"/>
                <w:sz w:val="18"/>
                <w:szCs w:val="18"/>
                <w:color w:val="0000EE"/>
              </w:rPr>
              <w:t>FINANCIAL INFORMATION</w:t>
            </w: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76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040" w:type="dxa"/>
            <w:vAlign w:val="bottom"/>
            <w:gridSpan w:val="20"/>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sz w:val="20"/>
                <w:szCs w:val="20"/>
                <w:color w:val="auto"/>
              </w:rPr>
            </w:pPr>
            <w:r>
              <w:rPr>
                <w:rFonts w:ascii="Arial" w:cs="Arial" w:eastAsia="Arial" w:hAnsi="Arial"/>
                <w:sz w:val="18"/>
                <w:szCs w:val="18"/>
                <w:color w:val="0000EE"/>
                <w:w w:val="87"/>
              </w:rPr>
              <w:t>Item 1.</w:t>
            </w:r>
          </w:p>
        </w:tc>
        <w:tc>
          <w:tcPr>
            <w:tcW w:w="140" w:type="dxa"/>
            <w:vAlign w:val="bottom"/>
          </w:tcPr>
          <w:p>
            <w:pPr>
              <w:spacing w:after="0"/>
              <w:rPr>
                <w:sz w:val="17"/>
                <w:szCs w:val="17"/>
                <w:color w:val="auto"/>
              </w:rPr>
            </w:pPr>
          </w:p>
        </w:tc>
        <w:tc>
          <w:tcPr>
            <w:tcW w:w="7040" w:type="dxa"/>
            <w:vAlign w:val="bottom"/>
            <w:gridSpan w:val="20"/>
          </w:tcPr>
          <w:p>
            <w:pPr>
              <w:spacing w:after="0" w:line="196" w:lineRule="exact"/>
              <w:rPr>
                <w:sz w:val="20"/>
                <w:szCs w:val="20"/>
                <w:color w:val="auto"/>
              </w:rPr>
            </w:pPr>
            <w:r>
              <w:rPr>
                <w:rFonts w:ascii="Arial" w:cs="Arial" w:eastAsia="Arial" w:hAnsi="Arial"/>
                <w:sz w:val="18"/>
                <w:szCs w:val="18"/>
                <w:color w:val="0000EE"/>
              </w:rPr>
              <w:t>Financial Statements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40" w:type="dxa"/>
            <w:vAlign w:val="bottom"/>
            <w:gridSpan w:val="20"/>
          </w:tcPr>
          <w:p>
            <w:pPr>
              <w:spacing w:after="0" w:line="196" w:lineRule="exact"/>
              <w:rPr>
                <w:sz w:val="20"/>
                <w:szCs w:val="20"/>
                <w:color w:val="auto"/>
              </w:rPr>
            </w:pPr>
            <w:r>
              <w:rPr>
                <w:rFonts w:ascii="Arial" w:cs="Arial" w:eastAsia="Arial" w:hAnsi="Arial"/>
                <w:sz w:val="18"/>
                <w:szCs w:val="18"/>
                <w:color w:val="0000EE"/>
              </w:rPr>
              <w:t>Condensed Consolidated Balance Sheets –April 30, 2023 (Unaudited), April 30, 2022</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(Unaudited) and January 31, 2023</w:t>
            </w:r>
          </w:p>
        </w:tc>
        <w:tc>
          <w:tcPr>
            <w:tcW w:w="860" w:type="dxa"/>
            <w:vAlign w:val="bottom"/>
            <w:gridSpan w:val="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Condensed Consolidated Statements of Operations and Comprehensive Income - For the Three</w:t>
            </w:r>
          </w:p>
        </w:tc>
        <w:tc>
          <w:tcPr>
            <w:tcW w:w="1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00" w:type="dxa"/>
            <w:vAlign w:val="bottom"/>
            <w:gridSpan w:val="18"/>
          </w:tcPr>
          <w:p>
            <w:pPr>
              <w:spacing w:after="0" w:line="196" w:lineRule="exact"/>
              <w:rPr>
                <w:sz w:val="20"/>
                <w:szCs w:val="20"/>
                <w:color w:val="auto"/>
              </w:rPr>
            </w:pPr>
            <w:r>
              <w:rPr>
                <w:rFonts w:ascii="Arial" w:cs="Arial" w:eastAsia="Arial" w:hAnsi="Arial"/>
                <w:sz w:val="18"/>
                <w:szCs w:val="18"/>
                <w:color w:val="0000EE"/>
              </w:rPr>
              <w:t>Months Ended April 30, 2023 and 2022 (Unaudited)</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1"/>
              </w:rPr>
              <w:t>Condensed Consolidated Statements of Stockholders’ Equity –April 30, 2023 and April 30, 2022</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00" w:type="dxa"/>
            <w:vAlign w:val="bottom"/>
            <w:gridSpan w:val="18"/>
          </w:tcPr>
          <w:p>
            <w:pPr>
              <w:spacing w:after="0" w:line="196" w:lineRule="exact"/>
              <w:rPr>
                <w:sz w:val="20"/>
                <w:szCs w:val="20"/>
                <w:color w:val="auto"/>
              </w:rPr>
            </w:pPr>
            <w:r>
              <w:rPr>
                <w:rFonts w:ascii="Arial" w:cs="Arial" w:eastAsia="Arial" w:hAnsi="Arial"/>
                <w:sz w:val="18"/>
                <w:szCs w:val="18"/>
                <w:color w:val="0000EE"/>
              </w:rPr>
              <w:t>(Unaudited)</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Condensed Consolidated Statements of Cash Flows - For the Three Months Ended April 30, 2023</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and 2022 (Unaudited)</w:t>
            </w:r>
          </w:p>
        </w:tc>
        <w:tc>
          <w:tcPr>
            <w:tcW w:w="5320" w:type="dxa"/>
            <w:vAlign w:val="bottom"/>
            <w:gridSpan w:val="1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40" w:type="dxa"/>
            <w:vAlign w:val="bottom"/>
            <w:gridSpan w:val="20"/>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Arial" w:cs="Arial" w:eastAsia="Arial" w:hAnsi="Arial"/>
                <w:sz w:val="18"/>
                <w:szCs w:val="18"/>
                <w:color w:val="0000EE"/>
                <w:w w:val="99"/>
              </w:rPr>
              <w:t>Item 2.  Management’s Discussion and Analysis of Financial Condition and Results of Operations</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680" w:type="dxa"/>
            <w:vAlign w:val="bottom"/>
            <w:tcBorders>
              <w:left w:val="single" w:sz="8" w:color="0000EE"/>
            </w:tcBorders>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Arial" w:cs="Arial" w:eastAsia="Arial" w:hAnsi="Arial"/>
                <w:sz w:val="18"/>
                <w:szCs w:val="18"/>
                <w:color w:val="0000EE"/>
              </w:rPr>
              <w:t>Item 4.  Controls and Procedures</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5"/>
          </w:tcPr>
          <w:p>
            <w:pPr>
              <w:ind w:left="20"/>
              <w:spacing w:after="0"/>
              <w:rPr>
                <w:sz w:val="20"/>
                <w:szCs w:val="20"/>
                <w:color w:val="auto"/>
              </w:rPr>
            </w:pPr>
            <w:r>
              <w:rPr>
                <w:rFonts w:ascii="Arial" w:cs="Arial" w:eastAsia="Arial" w:hAnsi="Arial"/>
                <w:sz w:val="18"/>
                <w:szCs w:val="18"/>
                <w:color w:val="0000EE"/>
              </w:rPr>
              <w:t>Part II</w:t>
            </w:r>
          </w:p>
        </w:tc>
        <w:tc>
          <w:tcPr>
            <w:tcW w:w="140" w:type="dxa"/>
            <w:vAlign w:val="bottom"/>
          </w:tcPr>
          <w:p>
            <w:pPr>
              <w:spacing w:after="0"/>
              <w:rPr>
                <w:sz w:val="24"/>
                <w:szCs w:val="24"/>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Arial" w:cs="Arial" w:eastAsia="Arial" w:hAnsi="Arial"/>
                <w:sz w:val="18"/>
                <w:szCs w:val="18"/>
                <w:color w:val="0000EE"/>
              </w:rPr>
              <w:t>Item 1A.Risk Factors</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80" w:type="dxa"/>
            <w:vAlign w:val="bottom"/>
            <w:gridSpan w:val="24"/>
          </w:tcPr>
          <w:p>
            <w:pPr>
              <w:spacing w:after="0" w:line="19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760" w:type="dxa"/>
            <w:vAlign w:val="bottom"/>
            <w:gridSpan w:val="11"/>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sz w:val="20"/>
                <w:szCs w:val="20"/>
                <w:color w:val="auto"/>
              </w:rPr>
            </w:pPr>
            <w:r>
              <w:rPr>
                <w:rFonts w:ascii="Arial" w:cs="Arial" w:eastAsia="Arial" w:hAnsi="Arial"/>
                <w:sz w:val="18"/>
                <w:szCs w:val="18"/>
                <w:color w:val="0000EE"/>
                <w:w w:val="87"/>
              </w:rPr>
              <w:t>Item 6.</w:t>
            </w:r>
          </w:p>
        </w:tc>
        <w:tc>
          <w:tcPr>
            <w:tcW w:w="140" w:type="dxa"/>
            <w:vAlign w:val="bottom"/>
          </w:tcPr>
          <w:p>
            <w:pPr>
              <w:spacing w:after="0"/>
              <w:rPr>
                <w:sz w:val="17"/>
                <w:szCs w:val="17"/>
                <w:color w:val="auto"/>
              </w:rPr>
            </w:pPr>
          </w:p>
        </w:tc>
        <w:tc>
          <w:tcPr>
            <w:tcW w:w="7040" w:type="dxa"/>
            <w:vAlign w:val="bottom"/>
            <w:gridSpan w:val="20"/>
          </w:tcPr>
          <w:p>
            <w:pPr>
              <w:spacing w:after="0" w:line="196" w:lineRule="exact"/>
              <w:rPr>
                <w:sz w:val="20"/>
                <w:szCs w:val="20"/>
                <w:color w:val="auto"/>
              </w:rPr>
            </w:pPr>
            <w:r>
              <w:rPr>
                <w:rFonts w:ascii="Arial" w:cs="Arial" w:eastAsia="Arial" w:hAnsi="Arial"/>
                <w:sz w:val="18"/>
                <w:szCs w:val="18"/>
                <w:color w:val="0000EE"/>
              </w:rPr>
              <w:t>Exhibits</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580" w:type="dxa"/>
            <w:vAlign w:val="bottom"/>
            <w:tcBorders>
              <w:top w:val="single" w:sz="8" w:color="0000EE"/>
            </w:tcBorders>
            <w:gridSpan w:val="3"/>
          </w:tcPr>
          <w:p>
            <w:pPr>
              <w:spacing w:after="0"/>
              <w:rPr>
                <w:sz w:val="24"/>
                <w:szCs w:val="24"/>
                <w:color w:val="auto"/>
              </w:rPr>
            </w:pPr>
          </w:p>
        </w:tc>
        <w:tc>
          <w:tcPr>
            <w:tcW w:w="3300" w:type="dxa"/>
            <w:vAlign w:val="bottom"/>
            <w:gridSpan w:val="9"/>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63"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w w:val="97"/>
              </w:rPr>
              <w:t>April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7"/>
          </w:tcPr>
          <w:p>
            <w:pPr>
              <w:jc w:val="right"/>
              <w:ind w:right="31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289,729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438,411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191,652</w:t>
            </w:r>
          </w:p>
        </w:tc>
        <w:tc>
          <w:tcPr>
            <w:tcW w:w="0" w:type="dxa"/>
            <w:vAlign w:val="bottom"/>
          </w:tcPr>
          <w:p>
            <w:pPr>
              <w:spacing w:after="0"/>
              <w:rPr>
                <w:sz w:val="1"/>
                <w:szCs w:val="1"/>
                <w:color w:val="auto"/>
              </w:rPr>
            </w:pPr>
          </w:p>
        </w:tc>
      </w:tr>
      <w:tr>
        <w:trPr>
          <w:trHeight w:val="185"/>
        </w:trPr>
        <w:tc>
          <w:tcPr>
            <w:tcW w:w="5580" w:type="dxa"/>
            <w:vAlign w:val="bottom"/>
          </w:tcPr>
          <w:p>
            <w:pPr>
              <w:ind w:left="120"/>
              <w:spacing w:after="0" w:line="185" w:lineRule="exact"/>
              <w:rPr>
                <w:sz w:val="20"/>
                <w:szCs w:val="20"/>
                <w:color w:val="auto"/>
              </w:rPr>
            </w:pPr>
            <w:r>
              <w:rPr>
                <w:rFonts w:ascii="Arial" w:cs="Arial" w:eastAsia="Arial" w:hAnsi="Arial"/>
                <w:sz w:val="17"/>
                <w:szCs w:val="17"/>
                <w:color w:val="auto"/>
              </w:rPr>
              <w:t>Accounts receivable, net of allowance for doubtful accounts of $18.8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80" w:type="dxa"/>
            <w:vAlign w:val="bottom"/>
          </w:tcPr>
          <w:p>
            <w:pPr>
              <w:ind w:left="120"/>
              <w:spacing w:after="0"/>
              <w:rPr>
                <w:sz w:val="20"/>
                <w:szCs w:val="20"/>
                <w:color w:val="auto"/>
              </w:rPr>
            </w:pPr>
            <w:r>
              <w:rPr>
                <w:rFonts w:ascii="Arial" w:cs="Arial" w:eastAsia="Arial" w:hAnsi="Arial"/>
                <w:sz w:val="17"/>
                <w:szCs w:val="17"/>
                <w:color w:val="auto"/>
              </w:rPr>
              <w:t>million, $16.9 million and $18.3 million, respectively</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494,601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573,613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674,963</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Inventories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630,308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550,059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709,345</w:t>
            </w: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Arial" w:cs="Arial" w:eastAsia="Arial" w:hAnsi="Arial"/>
                <w:sz w:val="17"/>
                <w:szCs w:val="17"/>
                <w:color w:val="auto"/>
              </w:rPr>
              <w:t>Prepaid income taxes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7,692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5,886</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69,432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53,425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70,654</w:t>
            </w:r>
          </w:p>
        </w:tc>
        <w:tc>
          <w:tcPr>
            <w:tcW w:w="0" w:type="dxa"/>
            <w:vAlign w:val="bottom"/>
          </w:tcPr>
          <w:p>
            <w:pPr>
              <w:spacing w:after="0"/>
              <w:rPr>
                <w:sz w:val="1"/>
                <w:szCs w:val="1"/>
                <w:color w:val="auto"/>
              </w:rPr>
            </w:pPr>
          </w:p>
        </w:tc>
      </w:tr>
      <w:tr>
        <w:trPr>
          <w:trHeight w:val="210"/>
        </w:trPr>
        <w:tc>
          <w:tcPr>
            <w:tcW w:w="558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1,491,762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1,616,579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1,652,500</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affiliates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27,585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24,467</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53,157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47,274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53,742</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237,056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239,665</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7"/>
                <w:szCs w:val="17"/>
                <w:color w:val="auto"/>
              </w:rPr>
              <w:t>Other assets, net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52,183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54,132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52,644</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intangibles, net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34,842</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7"/>
                <w:szCs w:val="17"/>
                <w:color w:val="auto"/>
              </w:rPr>
              <w:t>Deferred income tax assets, net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26,389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26,389</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632,220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451,967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628,156</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7"/>
                <w:szCs w:val="17"/>
                <w:color w:val="auto"/>
              </w:rPr>
              <w:t>Goodwill</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261,727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2,554,483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2,718,272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2,712,405</w:t>
            </w:r>
          </w:p>
        </w:tc>
        <w:tc>
          <w:tcPr>
            <w:tcW w:w="0" w:type="dxa"/>
            <w:vAlign w:val="bottom"/>
          </w:tcPr>
          <w:p>
            <w:pPr>
              <w:spacing w:after="0"/>
              <w:rPr>
                <w:sz w:val="1"/>
                <w:szCs w:val="1"/>
                <w:color w:val="auto"/>
              </w:rPr>
            </w:pPr>
          </w:p>
        </w:tc>
      </w:tr>
      <w:tr>
        <w:trPr>
          <w:trHeight w:val="183"/>
        </w:trPr>
        <w:tc>
          <w:tcPr>
            <w:tcW w:w="5580" w:type="dxa"/>
            <w:vAlign w:val="bottom"/>
            <w:tcBorders>
              <w:top w:val="single" w:sz="8" w:color="CCEEFF"/>
            </w:tcBorders>
          </w:tcPr>
          <w:p>
            <w:pPr>
              <w:ind w:left="20"/>
              <w:spacing w:after="0" w:line="183" w:lineRule="exact"/>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Arial" w:cs="Arial" w:eastAsia="Arial" w:hAnsi="Arial"/>
                <w:sz w:val="17"/>
                <w:szCs w:val="17"/>
                <w:color w:val="auto"/>
              </w:rPr>
              <w:t>Current portion of notes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139,418</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4,554</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135,518</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169,508</w:t>
            </w: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99,092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94,359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115,586</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Customer refund 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69,408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78,052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89,760</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7"/>
                <w:szCs w:val="17"/>
                <w:color w:val="auto"/>
              </w:rPr>
              <w:t>Current operating lease liabilities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52,917</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Income tax payable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14,875</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508,103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451,984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579,069</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7"/>
                <w:szCs w:val="17"/>
                <w:color w:val="auto"/>
              </w:rPr>
              <w:t>Notes payable, net of discount and unamortized issuance costs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403,586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516,828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483,840</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liabilities, net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45,561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44,783</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7"/>
                <w:szCs w:val="17"/>
                <w:color w:val="auto"/>
              </w:rPr>
              <w:t>Noncurrent operating lease liabilities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202,406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139,686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204,974</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15,325</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12,998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15,141</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1,174,981</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1,159,517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1,327,807</w:t>
            </w: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7"/>
                <w:szCs w:val="17"/>
                <w:color w:val="auto"/>
              </w:rPr>
              <w:t>Redeemable noncontrolling interests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Preferred stock; 1,000 shares authorized; no shares issued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5580" w:type="dxa"/>
            <w:vAlign w:val="bottom"/>
          </w:tcPr>
          <w:p>
            <w:pPr>
              <w:ind w:left="120"/>
              <w:spacing w:after="0" w:line="185" w:lineRule="exact"/>
              <w:rPr>
                <w:sz w:val="20"/>
                <w:szCs w:val="20"/>
                <w:color w:val="auto"/>
              </w:rPr>
            </w:pPr>
            <w:r>
              <w:rPr>
                <w:rFonts w:ascii="Arial" w:cs="Arial" w:eastAsia="Arial" w:hAnsi="Arial"/>
                <w:sz w:val="17"/>
                <w:szCs w:val="17"/>
                <w:color w:val="auto"/>
                <w:w w:val="93"/>
              </w:rPr>
              <w:t>Common stock - $0.01 par value; 120,000 shares authorized; 49,396, 49,396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80" w:type="dxa"/>
            <w:vAlign w:val="bottom"/>
          </w:tcPr>
          <w:p>
            <w:pPr>
              <w:ind w:left="120"/>
              <w:spacing w:after="0"/>
              <w:rPr>
                <w:sz w:val="20"/>
                <w:szCs w:val="20"/>
                <w:color w:val="auto"/>
              </w:rPr>
            </w:pPr>
            <w:r>
              <w:rPr>
                <w:rFonts w:ascii="Arial" w:cs="Arial" w:eastAsia="Arial" w:hAnsi="Arial"/>
                <w:sz w:val="17"/>
                <w:szCs w:val="17"/>
                <w:color w:val="auto"/>
              </w:rPr>
              <w:t>and 49,396 shares issued, respectively</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472,474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460,999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468,712</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(11,653)</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987,180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1,147,639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983,944</w:t>
            </w:r>
          </w:p>
        </w:tc>
        <w:tc>
          <w:tcPr>
            <w:tcW w:w="0" w:type="dxa"/>
            <w:vAlign w:val="bottom"/>
          </w:tcPr>
          <w:p>
            <w:pPr>
              <w:spacing w:after="0"/>
              <w:rPr>
                <w:sz w:val="1"/>
                <w:szCs w:val="1"/>
                <w:color w:val="auto"/>
              </w:rPr>
            </w:pPr>
          </w:p>
        </w:tc>
      </w:tr>
      <w:tr>
        <w:trPr>
          <w:trHeight w:val="185"/>
        </w:trPr>
        <w:tc>
          <w:tcPr>
            <w:tcW w:w="5580" w:type="dxa"/>
            <w:vAlign w:val="bottom"/>
          </w:tcPr>
          <w:p>
            <w:pPr>
              <w:ind w:left="120"/>
              <w:spacing w:after="0" w:line="185" w:lineRule="exact"/>
              <w:rPr>
                <w:sz w:val="20"/>
                <w:szCs w:val="20"/>
                <w:color w:val="auto"/>
              </w:rPr>
            </w:pPr>
            <w:r>
              <w:rPr>
                <w:rFonts w:ascii="Arial" w:cs="Arial" w:eastAsia="Arial" w:hAnsi="Arial"/>
                <w:sz w:val="17"/>
                <w:szCs w:val="17"/>
                <w:color w:val="auto"/>
                <w:w w:val="99"/>
              </w:rPr>
              <w:t>Common stock held in treasury, at cost - 3,802, 1,209 and 2,680 shares,</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(72,535)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(31,953)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(55,819)</w:t>
            </w:r>
          </w:p>
        </w:tc>
        <w:tc>
          <w:tcPr>
            <w:tcW w:w="0" w:type="dxa"/>
            <w:vAlign w:val="bottom"/>
          </w:tcPr>
          <w:p>
            <w:pPr>
              <w:spacing w:after="0"/>
              <w:rPr>
                <w:sz w:val="1"/>
                <w:szCs w:val="1"/>
                <w:color w:val="auto"/>
              </w:rPr>
            </w:pPr>
          </w:p>
        </w:tc>
      </w:tr>
      <w:tr>
        <w:trPr>
          <w:trHeight w:val="207"/>
        </w:trPr>
        <w:tc>
          <w:tcPr>
            <w:tcW w:w="5580" w:type="dxa"/>
            <w:vAlign w:val="bottom"/>
          </w:tcPr>
          <w:p>
            <w:pPr>
              <w:ind w:left="120"/>
              <w:spacing w:after="0"/>
              <w:rPr>
                <w:sz w:val="20"/>
                <w:szCs w:val="20"/>
                <w:color w:val="auto"/>
              </w:rPr>
            </w:pPr>
            <w:r>
              <w:rPr>
                <w:rFonts w:ascii="Arial" w:cs="Arial" w:eastAsia="Arial" w:hAnsi="Arial"/>
                <w:sz w:val="17"/>
                <w:szCs w:val="17"/>
                <w:color w:val="auto"/>
              </w:rPr>
              <w:t>respectively</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1,380,447</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1,558,292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1,385,448</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Arial" w:cs="Arial" w:eastAsia="Arial" w:hAnsi="Arial"/>
                <w:sz w:val="17"/>
                <w:szCs w:val="17"/>
                <w:color w:val="auto"/>
                <w:w w:val="96"/>
              </w:rPr>
              <w:t>Total liabilities, redeemable noncontrolling interests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2,554,483</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2,718,272</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2,712,405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ectPr>
          <w:pgSz w:w="11900" w:h="16838" w:orient="portrait"/>
          <w:cols w:equalWidth="0" w:num="1">
            <w:col w:w="9019"/>
          </w:cols>
          <w:pgMar w:left="1440" w:top="517" w:right="1440"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260" w:type="dxa"/>
            <w:vAlign w:val="bottom"/>
            <w:tcBorders>
              <w:bottom w:val="single" w:sz="8" w:color="auto"/>
            </w:tcBorders>
            <w:gridSpan w:val="4"/>
          </w:tcPr>
          <w:p>
            <w:pPr>
              <w:jc w:val="center"/>
              <w:ind w:left="586"/>
              <w:spacing w:after="0"/>
              <w:rPr>
                <w:sz w:val="20"/>
                <w:szCs w:val="20"/>
                <w:color w:val="auto"/>
              </w:rPr>
            </w:pPr>
            <w:r>
              <w:rPr>
                <w:rFonts w:ascii="Arial" w:cs="Arial" w:eastAsia="Arial" w:hAnsi="Arial"/>
                <w:sz w:val="14"/>
                <w:szCs w:val="14"/>
                <w:b w:val="1"/>
                <w:bCs w:val="1"/>
                <w:color w:val="auto"/>
                <w:w w:val="95"/>
              </w:rPr>
              <w:t>Three Months Ended April 30,</w:t>
            </w:r>
          </w:p>
        </w:tc>
        <w:tc>
          <w:tcPr>
            <w:tcW w:w="660" w:type="dxa"/>
            <w:vAlign w:val="bottom"/>
            <w:tcBorders>
              <w:bottom w:val="single" w:sz="8" w:color="auto"/>
            </w:tcBorders>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20" w:type="dxa"/>
            <w:vAlign w:val="bottom"/>
            <w:gridSpan w:val="3"/>
          </w:tcPr>
          <w:p>
            <w:pPr>
              <w:jc w:val="center"/>
              <w:ind w:right="428"/>
              <w:spacing w:after="0"/>
              <w:rPr>
                <w:sz w:val="20"/>
                <w:szCs w:val="20"/>
                <w:color w:val="auto"/>
              </w:rPr>
            </w:pPr>
            <w:r>
              <w:rPr>
                <w:rFonts w:ascii="Arial" w:cs="Arial" w:eastAsia="Arial" w:hAnsi="Arial"/>
                <w:sz w:val="14"/>
                <w:szCs w:val="14"/>
                <w:b w:val="1"/>
                <w:bCs w:val="1"/>
                <w:color w:val="auto"/>
                <w:w w:val="95"/>
              </w:rPr>
              <w:t>(Unaudited)</w:t>
            </w:r>
          </w:p>
        </w:tc>
        <w:tc>
          <w:tcPr>
            <w:tcW w:w="660" w:type="dxa"/>
            <w:vAlign w:val="bottom"/>
          </w:tcPr>
          <w:p>
            <w:pPr>
              <w:spacing w:after="0"/>
              <w:rPr>
                <w:sz w:val="17"/>
                <w:szCs w:val="17"/>
                <w:color w:val="auto"/>
              </w:rPr>
            </w:pPr>
          </w:p>
        </w:tc>
      </w:tr>
      <w:tr>
        <w:trPr>
          <w:trHeight w:val="222"/>
        </w:trPr>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260" w:type="dxa"/>
            <w:vAlign w:val="bottom"/>
            <w:gridSpan w:val="4"/>
          </w:tcPr>
          <w:p>
            <w:pPr>
              <w:jc w:val="center"/>
              <w:ind w:left="586"/>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660" w:type="dxa"/>
            <w:vAlign w:val="bottom"/>
          </w:tcPr>
          <w:p>
            <w:pPr>
              <w:spacing w:after="0"/>
              <w:rPr>
                <w:sz w:val="19"/>
                <w:szCs w:val="19"/>
                <w:color w:val="auto"/>
              </w:rPr>
            </w:pPr>
          </w:p>
        </w:tc>
      </w:tr>
      <w:tr>
        <w:trPr>
          <w:trHeight w:val="208"/>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14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606,589</w:t>
            </w:r>
          </w:p>
        </w:tc>
        <w:tc>
          <w:tcPr>
            <w:tcW w:w="1420" w:type="dxa"/>
            <w:vAlign w:val="bottom"/>
            <w:gridSpan w:val="2"/>
            <w:shd w:val="clear" w:color="auto" w:fill="CCEEFF"/>
          </w:tcPr>
          <w:p>
            <w:pPr>
              <w:jc w:val="right"/>
              <w:ind w:right="1028"/>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688,757</w:t>
            </w:r>
          </w:p>
        </w:tc>
      </w:tr>
      <w:tr>
        <w:trPr>
          <w:trHeight w:val="203"/>
        </w:trPr>
        <w:tc>
          <w:tcPr>
            <w:tcW w:w="5000" w:type="dxa"/>
            <w:vAlign w:val="bottom"/>
            <w:gridSpan w:val="4"/>
          </w:tcPr>
          <w:p>
            <w:pPr>
              <w:ind w:left="20"/>
              <w:spacing w:after="0"/>
              <w:rPr>
                <w:sz w:val="20"/>
                <w:szCs w:val="20"/>
                <w:color w:val="auto"/>
              </w:rPr>
            </w:pPr>
            <w:r>
              <w:rPr>
                <w:rFonts w:ascii="Arial" w:cs="Arial" w:eastAsia="Arial" w:hAnsi="Arial"/>
                <w:sz w:val="17"/>
                <w:szCs w:val="17"/>
                <w:color w:val="auto"/>
              </w:rPr>
              <w:t>Cost of goods sold</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356,788</w:t>
            </w: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442,718</w:t>
            </w:r>
          </w:p>
        </w:tc>
      </w:tr>
      <w:tr>
        <w:trPr>
          <w:trHeight w:val="196"/>
        </w:trPr>
        <w:tc>
          <w:tcPr>
            <w:tcW w:w="12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Gross profit</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249,801</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246,039</w:t>
            </w:r>
          </w:p>
        </w:tc>
      </w:tr>
      <w:tr>
        <w:trPr>
          <w:trHeight w:val="203"/>
        </w:trPr>
        <w:tc>
          <w:tcPr>
            <w:tcW w:w="5000" w:type="dxa"/>
            <w:vAlign w:val="bottom"/>
            <w:gridSpan w:val="4"/>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227,961</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185,407</w:t>
            </w:r>
          </w:p>
        </w:tc>
      </w:tr>
      <w:tr>
        <w:trPr>
          <w:trHeight w:val="203"/>
        </w:trPr>
        <w:tc>
          <w:tcPr>
            <w:tcW w:w="5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6,576</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6,095</w:t>
            </w:r>
          </w:p>
        </w:tc>
      </w:tr>
      <w:tr>
        <w:trPr>
          <w:trHeight w:val="196"/>
        </w:trPr>
        <w:tc>
          <w:tcPr>
            <w:tcW w:w="120" w:type="dxa"/>
            <w:vAlign w:val="bottom"/>
          </w:tcPr>
          <w:p>
            <w:pPr>
              <w:spacing w:after="0"/>
              <w:rPr>
                <w:sz w:val="17"/>
                <w:szCs w:val="17"/>
                <w:color w:val="auto"/>
              </w:rPr>
            </w:pPr>
          </w:p>
        </w:tc>
        <w:tc>
          <w:tcPr>
            <w:tcW w:w="4880" w:type="dxa"/>
            <w:vAlign w:val="bottom"/>
            <w:gridSpan w:val="3"/>
          </w:tcPr>
          <w:p>
            <w:pPr>
              <w:ind w:left="100"/>
              <w:spacing w:after="0"/>
              <w:rPr>
                <w:sz w:val="20"/>
                <w:szCs w:val="20"/>
                <w:color w:val="auto"/>
              </w:rPr>
            </w:pPr>
            <w:r>
              <w:rPr>
                <w:rFonts w:ascii="Arial" w:cs="Arial" w:eastAsia="Arial" w:hAnsi="Arial"/>
                <w:sz w:val="17"/>
                <w:szCs w:val="17"/>
                <w:color w:val="auto"/>
              </w:rPr>
              <w:t>Operating profit</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15,264</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54,537</w:t>
            </w:r>
          </w:p>
        </w:tc>
      </w:tr>
      <w:tr>
        <w:trPr>
          <w:trHeight w:val="203"/>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 income (loss)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(2,708)</w:t>
            </w:r>
          </w:p>
        </w:tc>
      </w:tr>
      <w:tr>
        <w:trPr>
          <w:trHeight w:val="203"/>
        </w:trPr>
        <w:tc>
          <w:tcPr>
            <w:tcW w:w="5000" w:type="dxa"/>
            <w:vAlign w:val="bottom"/>
            <w:gridSpan w:val="4"/>
          </w:tcPr>
          <w:p>
            <w:pPr>
              <w:ind w:left="20"/>
              <w:spacing w:after="0"/>
              <w:rPr>
                <w:sz w:val="20"/>
                <w:szCs w:val="20"/>
                <w:color w:val="auto"/>
              </w:rPr>
            </w:pPr>
            <w:r>
              <w:rPr>
                <w:rFonts w:ascii="Arial" w:cs="Arial" w:eastAsia="Arial" w:hAnsi="Arial"/>
                <w:sz w:val="17"/>
                <w:szCs w:val="17"/>
                <w:color w:val="auto"/>
              </w:rPr>
              <w:t>Interest and financing charges, net</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(12,151)</w:t>
            </w: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(12,203)</w:t>
            </w:r>
          </w:p>
        </w:tc>
      </w:tr>
      <w:tr>
        <w:trPr>
          <w:trHeight w:val="196"/>
        </w:trPr>
        <w:tc>
          <w:tcPr>
            <w:tcW w:w="12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Income before income taxes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39,626</w:t>
            </w:r>
          </w:p>
        </w:tc>
      </w:tr>
      <w:tr>
        <w:trPr>
          <w:trHeight w:val="203"/>
        </w:trPr>
        <w:tc>
          <w:tcPr>
            <w:tcW w:w="5000" w:type="dxa"/>
            <w:vAlign w:val="bottom"/>
            <w:gridSpan w:val="4"/>
          </w:tcPr>
          <w:p>
            <w:pPr>
              <w:ind w:left="20"/>
              <w:spacing w:after="0"/>
              <w:rPr>
                <w:sz w:val="20"/>
                <w:szCs w:val="20"/>
                <w:color w:val="auto"/>
              </w:rPr>
            </w:pPr>
            <w:r>
              <w:rPr>
                <w:rFonts w:ascii="Arial" w:cs="Arial" w:eastAsia="Arial" w:hAnsi="Arial"/>
                <w:sz w:val="17"/>
                <w:szCs w:val="17"/>
                <w:color w:val="auto"/>
              </w:rPr>
              <w:t>Income tax expense</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w:t>
            </w: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w:t>
            </w:r>
          </w:p>
        </w:tc>
      </w:tr>
      <w:tr>
        <w:trPr>
          <w:trHeight w:val="196"/>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30,626</w:t>
            </w:r>
          </w:p>
        </w:tc>
      </w:tr>
      <w:tr>
        <w:trPr>
          <w:trHeight w:val="203"/>
        </w:trPr>
        <w:tc>
          <w:tcPr>
            <w:tcW w:w="5000" w:type="dxa"/>
            <w:vAlign w:val="bottom"/>
            <w:gridSpan w:val="4"/>
          </w:tcPr>
          <w:p>
            <w:pPr>
              <w:ind w:left="20"/>
              <w:spacing w:after="0"/>
              <w:rPr>
                <w:sz w:val="20"/>
                <w:szCs w:val="20"/>
                <w:color w:val="auto"/>
              </w:rPr>
            </w:pPr>
            <w:r>
              <w:rPr>
                <w:rFonts w:ascii="Arial" w:cs="Arial" w:eastAsia="Arial" w:hAnsi="Arial"/>
                <w:sz w:val="17"/>
                <w:szCs w:val="17"/>
                <w:color w:val="auto"/>
              </w:rPr>
              <w:t>Less: Loss attributable to noncontrolling interests</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income attributable to G-III Apparel Group, Ltd.</w:t>
            </w:r>
          </w:p>
        </w:tc>
        <w:tc>
          <w:tcPr>
            <w:tcW w:w="114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3,236</w:t>
            </w:r>
          </w:p>
        </w:tc>
        <w:tc>
          <w:tcPr>
            <w:tcW w:w="1420" w:type="dxa"/>
            <w:vAlign w:val="bottom"/>
            <w:gridSpan w:val="2"/>
            <w:shd w:val="clear" w:color="auto" w:fill="CCEEFF"/>
          </w:tcPr>
          <w:p>
            <w:pPr>
              <w:jc w:val="right"/>
              <w:ind w:right="1028"/>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30,634</w:t>
            </w:r>
          </w:p>
        </w:tc>
      </w:tr>
      <w:tr>
        <w:trPr>
          <w:trHeight w:val="566"/>
        </w:trPr>
        <w:tc>
          <w:tcPr>
            <w:tcW w:w="5000" w:type="dxa"/>
            <w:vAlign w:val="bottom"/>
            <w:tcBorders>
              <w:top w:val="single" w:sz="8" w:color="CCEEFF"/>
            </w:tcBorders>
            <w:gridSpan w:val="4"/>
          </w:tcPr>
          <w:p>
            <w:pPr>
              <w:ind w:left="20"/>
              <w:spacing w:after="0"/>
              <w:rPr>
                <w:sz w:val="20"/>
                <w:szCs w:val="20"/>
                <w:color w:val="auto"/>
              </w:rPr>
            </w:pPr>
            <w:r>
              <w:rPr>
                <w:rFonts w:ascii="Arial" w:cs="Arial" w:eastAsia="Arial" w:hAnsi="Arial"/>
                <w:sz w:val="17"/>
                <w:szCs w:val="17"/>
                <w:b w:val="1"/>
                <w:bCs w:val="1"/>
                <w:color w:val="auto"/>
              </w:rPr>
              <w:t>NET INCOME PER COMMON SHARE ATTRIBUTABLE</w:t>
            </w:r>
          </w:p>
        </w:tc>
        <w:tc>
          <w:tcPr>
            <w:tcW w:w="1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22"/>
        </w:trPr>
        <w:tc>
          <w:tcPr>
            <w:tcW w:w="5000" w:type="dxa"/>
            <w:vAlign w:val="bottom"/>
            <w:gridSpan w:val="4"/>
          </w:tcPr>
          <w:p>
            <w:pPr>
              <w:ind w:left="20"/>
              <w:spacing w:after="0"/>
              <w:rPr>
                <w:sz w:val="20"/>
                <w:szCs w:val="20"/>
                <w:color w:val="auto"/>
              </w:rPr>
            </w:pPr>
            <w:r>
              <w:rPr>
                <w:rFonts w:ascii="Arial" w:cs="Arial" w:eastAsia="Arial" w:hAnsi="Arial"/>
                <w:sz w:val="17"/>
                <w:szCs w:val="17"/>
                <w:b w:val="1"/>
                <w:bCs w:val="1"/>
                <w:color w:val="auto"/>
              </w:rPr>
              <w:t>TO G-III APPAREL GROUP, LTD.:</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64"/>
        </w:trPr>
        <w:tc>
          <w:tcPr>
            <w:tcW w:w="5000" w:type="dxa"/>
            <w:vAlign w:val="bottom"/>
            <w:gridSpan w:val="4"/>
            <w:shd w:val="clear" w:color="auto" w:fill="CCEEFF"/>
          </w:tcPr>
          <w:p>
            <w:pPr>
              <w:ind w:left="120"/>
              <w:spacing w:after="0" w:line="164" w:lineRule="exact"/>
              <w:rPr>
                <w:sz w:val="20"/>
                <w:szCs w:val="20"/>
                <w:color w:val="auto"/>
              </w:rPr>
            </w:pPr>
            <w:r>
              <w:rPr>
                <w:rFonts w:ascii="Arial" w:cs="Arial" w:eastAsia="Arial" w:hAnsi="Arial"/>
                <w:sz w:val="17"/>
                <w:szCs w:val="17"/>
                <w:color w:val="auto"/>
              </w:rPr>
              <w:t>Basic:</w:t>
            </w: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4880" w:type="dxa"/>
            <w:vAlign w:val="bottom"/>
            <w:gridSpan w:val="3"/>
          </w:tcPr>
          <w:p>
            <w:pPr>
              <w:ind w:left="100"/>
              <w:spacing w:after="0"/>
              <w:rPr>
                <w:sz w:val="20"/>
                <w:szCs w:val="20"/>
                <w:color w:val="auto"/>
              </w:rPr>
            </w:pPr>
            <w:r>
              <w:rPr>
                <w:rFonts w:ascii="Arial" w:cs="Arial" w:eastAsia="Arial" w:hAnsi="Arial"/>
                <w:sz w:val="17"/>
                <w:szCs w:val="17"/>
                <w:color w:val="auto"/>
              </w:rPr>
              <w:t>Net income per common share</w:t>
            </w:r>
          </w:p>
        </w:tc>
        <w:tc>
          <w:tcPr>
            <w:tcW w:w="1140" w:type="dxa"/>
            <w:vAlign w:val="bottom"/>
          </w:tcPr>
          <w:p>
            <w:pPr>
              <w:jc w:val="right"/>
              <w:ind w:right="98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0.07</w:t>
            </w:r>
          </w:p>
        </w:tc>
        <w:tc>
          <w:tcPr>
            <w:tcW w:w="1420" w:type="dxa"/>
            <w:vAlign w:val="bottom"/>
            <w:gridSpan w:val="2"/>
          </w:tcPr>
          <w:p>
            <w:pPr>
              <w:jc w:val="right"/>
              <w:ind w:right="1028"/>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0.64</w:t>
            </w: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120" w:type="dxa"/>
            <w:vAlign w:val="bottom"/>
            <w:tcBorders>
              <w:bottom w:val="single" w:sz="8" w:color="CCEEFF"/>
            </w:tcBorders>
            <w:shd w:val="clear" w:color="auto" w:fill="CCEEFF"/>
          </w:tcPr>
          <w:p>
            <w:pPr>
              <w:spacing w:after="0"/>
              <w:rPr>
                <w:sz w:val="19"/>
                <w:szCs w:val="19"/>
                <w:color w:val="auto"/>
              </w:rPr>
            </w:pPr>
          </w:p>
        </w:tc>
        <w:tc>
          <w:tcPr>
            <w:tcW w:w="488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Arial" w:cs="Arial" w:eastAsia="Arial" w:hAnsi="Arial"/>
                <w:sz w:val="17"/>
                <w:szCs w:val="17"/>
                <w:color w:val="auto"/>
              </w:rPr>
              <w:t>Weighted average number of shares outstanding</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46,286</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48,016</w:t>
            </w: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2"/>
        </w:trPr>
        <w:tc>
          <w:tcPr>
            <w:tcW w:w="5000" w:type="dxa"/>
            <w:vAlign w:val="bottom"/>
            <w:gridSpan w:val="4"/>
            <w:shd w:val="clear" w:color="auto" w:fill="CCEEFF"/>
          </w:tcPr>
          <w:p>
            <w:pPr>
              <w:ind w:left="120"/>
              <w:spacing w:after="0" w:line="162" w:lineRule="exact"/>
              <w:rPr>
                <w:sz w:val="20"/>
                <w:szCs w:val="20"/>
                <w:color w:val="auto"/>
              </w:rPr>
            </w:pPr>
            <w:r>
              <w:rPr>
                <w:rFonts w:ascii="Arial" w:cs="Arial" w:eastAsia="Arial" w:hAnsi="Arial"/>
                <w:sz w:val="17"/>
                <w:szCs w:val="17"/>
                <w:color w:val="auto"/>
              </w:rPr>
              <w:t>Diluted:</w:t>
            </w: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4880" w:type="dxa"/>
            <w:vAlign w:val="bottom"/>
            <w:gridSpan w:val="3"/>
          </w:tcPr>
          <w:p>
            <w:pPr>
              <w:ind w:left="100"/>
              <w:spacing w:after="0"/>
              <w:rPr>
                <w:sz w:val="20"/>
                <w:szCs w:val="20"/>
                <w:color w:val="auto"/>
              </w:rPr>
            </w:pPr>
            <w:r>
              <w:rPr>
                <w:rFonts w:ascii="Arial" w:cs="Arial" w:eastAsia="Arial" w:hAnsi="Arial"/>
                <w:sz w:val="17"/>
                <w:szCs w:val="17"/>
                <w:color w:val="auto"/>
              </w:rPr>
              <w:t>Net income per common share</w:t>
            </w:r>
          </w:p>
        </w:tc>
        <w:tc>
          <w:tcPr>
            <w:tcW w:w="1140" w:type="dxa"/>
            <w:vAlign w:val="bottom"/>
          </w:tcPr>
          <w:p>
            <w:pPr>
              <w:jc w:val="right"/>
              <w:ind w:right="98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0.07</w:t>
            </w:r>
          </w:p>
        </w:tc>
        <w:tc>
          <w:tcPr>
            <w:tcW w:w="1420" w:type="dxa"/>
            <w:vAlign w:val="bottom"/>
            <w:gridSpan w:val="2"/>
          </w:tcPr>
          <w:p>
            <w:pPr>
              <w:jc w:val="right"/>
              <w:ind w:right="1028"/>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0.62</w:t>
            </w: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120" w:type="dxa"/>
            <w:vAlign w:val="bottom"/>
            <w:tcBorders>
              <w:bottom w:val="single" w:sz="8" w:color="CCEEFF"/>
            </w:tcBorders>
            <w:shd w:val="clear" w:color="auto" w:fill="CCEEFF"/>
          </w:tcPr>
          <w:p>
            <w:pPr>
              <w:spacing w:after="0"/>
              <w:rPr>
                <w:sz w:val="19"/>
                <w:szCs w:val="19"/>
                <w:color w:val="auto"/>
              </w:rPr>
            </w:pPr>
          </w:p>
        </w:tc>
        <w:tc>
          <w:tcPr>
            <w:tcW w:w="488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Arial" w:cs="Arial" w:eastAsia="Arial" w:hAnsi="Arial"/>
                <w:sz w:val="17"/>
                <w:szCs w:val="17"/>
                <w:color w:val="auto"/>
              </w:rPr>
              <w:t>Weighted average number of shares outstanding</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47,442</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49,108</w:t>
            </w: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4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1420" w:type="dxa"/>
            <w:vAlign w:val="bottom"/>
            <w:gridSpan w:val="2"/>
            <w:shd w:val="clear" w:color="auto" w:fill="CCEEFF"/>
          </w:tcPr>
          <w:p>
            <w:pPr>
              <w:jc w:val="right"/>
              <w:ind w:right="1028"/>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30,626</w:t>
            </w:r>
          </w:p>
        </w:tc>
      </w:tr>
      <w:tr>
        <w:trPr>
          <w:trHeight w:val="203"/>
        </w:trPr>
        <w:tc>
          <w:tcPr>
            <w:tcW w:w="5000" w:type="dxa"/>
            <w:vAlign w:val="bottom"/>
            <w:gridSpan w:val="4"/>
          </w:tcPr>
          <w:p>
            <w:pPr>
              <w:ind w:left="20"/>
              <w:spacing w:after="0"/>
              <w:rPr>
                <w:sz w:val="20"/>
                <w:szCs w:val="20"/>
                <w:color w:val="auto"/>
              </w:rPr>
            </w:pPr>
            <w:r>
              <w:rPr>
                <w:rFonts w:ascii="Arial" w:cs="Arial" w:eastAsia="Arial" w:hAnsi="Arial"/>
                <w:sz w:val="17"/>
                <w:szCs w:val="17"/>
                <w:color w:val="auto"/>
              </w:rPr>
              <w:t>Other comprehensive income:</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120" w:type="dxa"/>
            <w:vAlign w:val="bottom"/>
            <w:tcBorders>
              <w:bottom w:val="single" w:sz="8" w:color="CCEEFF"/>
            </w:tcBorders>
            <w:shd w:val="clear" w:color="auto" w:fill="CCEEFF"/>
          </w:tcPr>
          <w:p>
            <w:pPr>
              <w:spacing w:after="0"/>
              <w:rPr>
                <w:sz w:val="17"/>
                <w:szCs w:val="17"/>
                <w:color w:val="auto"/>
              </w:rPr>
            </w:pPr>
          </w:p>
        </w:tc>
        <w:tc>
          <w:tcPr>
            <w:tcW w:w="48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adjustments</w:t>
            </w:r>
          </w:p>
        </w:tc>
        <w:tc>
          <w:tcPr>
            <w:tcW w:w="1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4,715</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(4,130)</w:t>
            </w:r>
          </w:p>
        </w:tc>
      </w:tr>
      <w:tr>
        <w:trPr>
          <w:trHeight w:val="196"/>
        </w:trPr>
        <w:tc>
          <w:tcPr>
            <w:tcW w:w="5000" w:type="dxa"/>
            <w:vAlign w:val="bottom"/>
            <w:gridSpan w:val="4"/>
          </w:tcPr>
          <w:p>
            <w:pPr>
              <w:ind w:left="20"/>
              <w:spacing w:after="0"/>
              <w:rPr>
                <w:sz w:val="20"/>
                <w:szCs w:val="20"/>
                <w:color w:val="auto"/>
              </w:rPr>
            </w:pPr>
            <w:r>
              <w:rPr>
                <w:rFonts w:ascii="Arial" w:cs="Arial" w:eastAsia="Arial" w:hAnsi="Arial"/>
                <w:sz w:val="17"/>
                <w:szCs w:val="17"/>
                <w:color w:val="auto"/>
              </w:rPr>
              <w:t>Other comprehensive income (loss):</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4,715</w:t>
            </w: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(4,130)</w:t>
            </w:r>
          </w:p>
        </w:tc>
      </w:tr>
      <w:tr>
        <w:trPr>
          <w:trHeight w:val="236"/>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14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7,856</w:t>
            </w:r>
          </w:p>
        </w:tc>
        <w:tc>
          <w:tcPr>
            <w:tcW w:w="1420" w:type="dxa"/>
            <w:vAlign w:val="bottom"/>
            <w:gridSpan w:val="2"/>
            <w:shd w:val="clear" w:color="auto" w:fill="CCEEFF"/>
          </w:tcPr>
          <w:p>
            <w:pPr>
              <w:jc w:val="right"/>
              <w:ind w:right="1028"/>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26,496</w:t>
            </w:r>
          </w:p>
        </w:tc>
      </w:tr>
      <w:tr>
        <w:trPr>
          <w:trHeight w:val="183"/>
        </w:trPr>
        <w:tc>
          <w:tcPr>
            <w:tcW w:w="120" w:type="dxa"/>
            <w:vAlign w:val="bottom"/>
            <w:tcBorders>
              <w:top w:val="single" w:sz="8" w:color="CCEEFF"/>
            </w:tcBorders>
          </w:tcPr>
          <w:p>
            <w:pPr>
              <w:spacing w:after="0"/>
              <w:rPr>
                <w:sz w:val="15"/>
                <w:szCs w:val="15"/>
                <w:color w:val="auto"/>
              </w:rPr>
            </w:pPr>
          </w:p>
        </w:tc>
        <w:tc>
          <w:tcPr>
            <w:tcW w:w="4880" w:type="dxa"/>
            <w:vAlign w:val="bottom"/>
            <w:tcBorders>
              <w:top w:val="single" w:sz="8" w:color="CCEEFF"/>
            </w:tcBorders>
            <w:gridSpan w:val="3"/>
          </w:tcPr>
          <w:p>
            <w:pPr>
              <w:ind w:left="100"/>
              <w:spacing w:after="0" w:line="183" w:lineRule="exact"/>
              <w:rPr>
                <w:sz w:val="20"/>
                <w:szCs w:val="20"/>
                <w:color w:val="auto"/>
              </w:rPr>
            </w:pPr>
            <w:r>
              <w:rPr>
                <w:rFonts w:ascii="Arial" w:cs="Arial" w:eastAsia="Arial" w:hAnsi="Arial"/>
                <w:sz w:val="17"/>
                <w:szCs w:val="17"/>
                <w:color w:val="auto"/>
              </w:rPr>
              <w:t>Comprehensive loss attributable to noncontrolling interests:</w:t>
            </w:r>
          </w:p>
        </w:tc>
        <w:tc>
          <w:tcPr>
            <w:tcW w:w="1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203"/>
        </w:trPr>
        <w:tc>
          <w:tcPr>
            <w:tcW w:w="12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Net loss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03"/>
        </w:trPr>
        <w:tc>
          <w:tcPr>
            <w:tcW w:w="120" w:type="dxa"/>
            <w:vAlign w:val="bottom"/>
          </w:tcPr>
          <w:p>
            <w:pPr>
              <w:spacing w:after="0"/>
              <w:rPr>
                <w:sz w:val="17"/>
                <w:szCs w:val="17"/>
                <w:color w:val="auto"/>
              </w:rPr>
            </w:pPr>
          </w:p>
        </w:tc>
        <w:tc>
          <w:tcPr>
            <w:tcW w:w="4880" w:type="dxa"/>
            <w:vAlign w:val="bottom"/>
            <w:gridSpan w:val="3"/>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48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Comprehensive loss attributable to noncontrolling interests</w:t>
            </w:r>
          </w:p>
        </w:tc>
        <w:tc>
          <w:tcPr>
            <w:tcW w:w="1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196"/>
        </w:trPr>
        <w:tc>
          <w:tcPr>
            <w:tcW w:w="5000" w:type="dxa"/>
            <w:vAlign w:val="bottom"/>
            <w:gridSpan w:val="4"/>
          </w:tcPr>
          <w:p>
            <w:pPr>
              <w:ind w:left="20"/>
              <w:spacing w:after="0"/>
              <w:rPr>
                <w:sz w:val="20"/>
                <w:szCs w:val="20"/>
                <w:color w:val="auto"/>
              </w:rPr>
            </w:pPr>
            <w:r>
              <w:rPr>
                <w:rFonts w:ascii="Arial" w:cs="Arial" w:eastAsia="Arial" w:hAnsi="Arial"/>
                <w:sz w:val="17"/>
                <w:szCs w:val="17"/>
                <w:color w:val="auto"/>
              </w:rPr>
              <w:t>Comprehensive income attributable to G-III Apparel Group, Ltd.</w:t>
            </w:r>
          </w:p>
        </w:tc>
        <w:tc>
          <w:tcPr>
            <w:tcW w:w="1140" w:type="dxa"/>
            <w:vAlign w:val="bottom"/>
          </w:tcPr>
          <w:p>
            <w:pPr>
              <w:jc w:val="right"/>
              <w:ind w:right="98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7,763</w:t>
            </w:r>
          </w:p>
        </w:tc>
        <w:tc>
          <w:tcPr>
            <w:tcW w:w="1420" w:type="dxa"/>
            <w:vAlign w:val="bottom"/>
            <w:gridSpan w:val="2"/>
          </w:tcPr>
          <w:p>
            <w:pPr>
              <w:jc w:val="right"/>
              <w:ind w:right="1028"/>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26,490</w:t>
            </w: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8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Held In</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4"/>
          </w:tcPr>
          <w:p>
            <w:pPr>
              <w:jc w:val="center"/>
              <w:ind w:left="14"/>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center"/>
              <w:ind w:left="14"/>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$ 468,712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(11,653)</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983,944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(55,819)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$ 1,385,448</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(16,769)</w:t>
            </w:r>
          </w:p>
        </w:tc>
        <w:tc>
          <w:tcPr>
            <w:tcW w:w="940" w:type="dxa"/>
            <w:vAlign w:val="bottom"/>
          </w:tcPr>
          <w:p>
            <w:pPr>
              <w:jc w:val="right"/>
              <w:spacing w:after="0"/>
              <w:rPr>
                <w:sz w:val="20"/>
                <w:szCs w:val="20"/>
                <w:color w:val="auto"/>
              </w:rPr>
            </w:pPr>
            <w:r>
              <w:rPr>
                <w:rFonts w:ascii="Arial" w:cs="Arial" w:eastAsia="Arial" w:hAnsi="Arial"/>
                <w:sz w:val="18"/>
                <w:szCs w:val="18"/>
                <w:color w:val="auto"/>
              </w:rPr>
              <w:t>(16,769)</w:t>
            </w: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attributable to G-III Apparel</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Ltd.</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8"/>
                <w:szCs w:val="18"/>
                <w:color w:val="auto"/>
              </w:rPr>
              <w:t>Balance as of April 30, 2023</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$ 472,474</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987,180</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(72,535)</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$ 1,380,447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$ 456,329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(14,529)</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1,117,005</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(39,157)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$ 1,519,912</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(7,204)</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7,204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20,549</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(8,675)</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line="201" w:lineRule="exact"/>
              <w:rPr>
                <w:sz w:val="20"/>
                <w:szCs w:val="20"/>
                <w:color w:val="auto"/>
              </w:rPr>
            </w:pPr>
            <w:r>
              <w:rPr>
                <w:rFonts w:ascii="Arial" w:cs="Arial" w:eastAsia="Arial" w:hAnsi="Arial"/>
                <w:sz w:val="18"/>
                <w:szCs w:val="18"/>
                <w:color w:val="auto"/>
              </w:rPr>
              <w:t>Net income attributable to G-III Apparel</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Group, Ltd.</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30,634</w:t>
            </w: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30,634</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2022</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$ 460,999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1,147,639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(31,953)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$ 1,558,292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in</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vMerge w:val="continue"/>
          </w:tcPr>
          <w:p>
            <w:pPr>
              <w:spacing w:after="0"/>
              <w:rPr>
                <w:sz w:val="12"/>
                <w:szCs w:val="12"/>
                <w:color w:val="auto"/>
              </w:rPr>
            </w:pPr>
          </w:p>
        </w:tc>
        <w:tc>
          <w:tcPr>
            <w:tcW w:w="960" w:type="dxa"/>
            <w:vAlign w:val="bottom"/>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120"/>
              <w:spacing w:after="0"/>
              <w:rPr>
                <w:sz w:val="20"/>
                <w:szCs w:val="20"/>
                <w:color w:val="auto"/>
              </w:rPr>
            </w:pPr>
            <w:r>
              <w:rPr>
                <w:rFonts w:ascii="Arial" w:cs="Arial" w:eastAsia="Arial" w:hAnsi="Arial"/>
                <w:sz w:val="16"/>
                <w:szCs w:val="16"/>
                <w:color w:val="auto"/>
              </w:rPr>
              <w:t>Net income attributable to G-III Apparel Group, Ltd.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3,236</w:t>
            </w:r>
          </w:p>
        </w:tc>
        <w:tc>
          <w:tcPr>
            <w:tcW w:w="42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30,634</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6,095</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disposal of fixed 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14,902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11,852</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loss (gain) in unconsolidated affiliates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Change in fair value of equity securities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20,549</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Deferred financing charges and debt discount amortization</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2,494</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180,362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31,898</w:t>
            </w: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79,037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(37,904)</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net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20,496</w:t>
            </w: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assets, net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Customer refund liabilities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(8,736)</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(11,675)</w:t>
            </w: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Accounts payable, accrued expenses and other liabilities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(46,749)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(55,130)</w:t>
            </w: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201,831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11,171</w:t>
            </w:r>
          </w:p>
        </w:tc>
        <w:tc>
          <w:tcPr>
            <w:tcW w:w="0" w:type="dxa"/>
            <w:vAlign w:val="bottom"/>
          </w:tcPr>
          <w:p>
            <w:pPr>
              <w:spacing w:after="0"/>
              <w:rPr>
                <w:sz w:val="1"/>
                <w:szCs w:val="1"/>
                <w:color w:val="auto"/>
              </w:rPr>
            </w:pPr>
          </w:p>
        </w:tc>
      </w:tr>
      <w:tr>
        <w:trPr>
          <w:trHeight w:val="196"/>
        </w:trPr>
        <w:tc>
          <w:tcPr>
            <w:tcW w:w="6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120"/>
              <w:spacing w:after="0"/>
              <w:rPr>
                <w:sz w:val="20"/>
                <w:szCs w:val="20"/>
                <w:color w:val="auto"/>
              </w:rPr>
            </w:pPr>
            <w:r>
              <w:rPr>
                <w:rFonts w:ascii="Arial" w:cs="Arial" w:eastAsia="Arial" w:hAnsi="Arial"/>
                <w:sz w:val="16"/>
                <w:szCs w:val="16"/>
                <w:color w:val="auto"/>
              </w:rPr>
              <w:t>Operating lease assets initial direct costs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in e-commerce retailer</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3"/>
        </w:trPr>
        <w:tc>
          <w:tcPr>
            <w:tcW w:w="6800" w:type="dxa"/>
            <w:vAlign w:val="bottom"/>
          </w:tcPr>
          <w:p>
            <w:pPr>
              <w:ind w:left="120"/>
              <w:spacing w:after="0"/>
              <w:rPr>
                <w:sz w:val="20"/>
                <w:szCs w:val="20"/>
                <w:color w:val="auto"/>
              </w:rPr>
            </w:pPr>
            <w:r>
              <w:rPr>
                <w:rFonts w:ascii="Arial" w:cs="Arial" w:eastAsia="Arial" w:hAnsi="Arial"/>
                <w:sz w:val="16"/>
                <w:szCs w:val="16"/>
                <w:color w:val="auto"/>
              </w:rPr>
              <w:t>Investment in equity interest of private company</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(29,334)</w:t>
            </w: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borrowings - revolving facility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tcPr>
          <w:p>
            <w:pPr>
              <w:ind w:left="120"/>
              <w:spacing w:after="0"/>
              <w:rPr>
                <w:sz w:val="20"/>
                <w:szCs w:val="20"/>
                <w:color w:val="auto"/>
              </w:rPr>
            </w:pPr>
            <w:r>
              <w:rPr>
                <w:rFonts w:ascii="Arial" w:cs="Arial" w:eastAsia="Arial" w:hAnsi="Arial"/>
                <w:sz w:val="16"/>
                <w:szCs w:val="16"/>
                <w:color w:val="auto"/>
              </w:rPr>
              <w:t>Proceeds from borrowings - revolving facility</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5,313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borrowings - foreign facilities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3"/>
        </w:trPr>
        <w:tc>
          <w:tcPr>
            <w:tcW w:w="6800" w:type="dxa"/>
            <w:vAlign w:val="bottom"/>
          </w:tcPr>
          <w:p>
            <w:pPr>
              <w:ind w:left="120"/>
              <w:spacing w:after="0"/>
              <w:rPr>
                <w:sz w:val="20"/>
                <w:szCs w:val="20"/>
                <w:color w:val="auto"/>
              </w:rPr>
            </w:pPr>
            <w:r>
              <w:rPr>
                <w:rFonts w:ascii="Arial" w:cs="Arial" w:eastAsia="Arial" w:hAnsi="Arial"/>
                <w:sz w:val="16"/>
                <w:szCs w:val="16"/>
                <w:color w:val="auto"/>
              </w:rPr>
              <w:t>Proceeds from borrowings - foreign facilities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37,199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treasury shares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Taxes paid for net share settlements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used in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(95,752)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(8,744)</w:t>
            </w:r>
          </w:p>
        </w:tc>
        <w:tc>
          <w:tcPr>
            <w:tcW w:w="0" w:type="dxa"/>
            <w:vAlign w:val="bottom"/>
          </w:tcPr>
          <w:p>
            <w:pPr>
              <w:spacing w:after="0"/>
              <w:rPr>
                <w:sz w:val="1"/>
                <w:szCs w:val="1"/>
                <w:color w:val="auto"/>
              </w:rPr>
            </w:pPr>
          </w:p>
        </w:tc>
      </w:tr>
      <w:tr>
        <w:trPr>
          <w:trHeight w:val="196"/>
        </w:trPr>
        <w:tc>
          <w:tcPr>
            <w:tcW w:w="6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196"/>
        </w:trPr>
        <w:tc>
          <w:tcPr>
            <w:tcW w:w="6800" w:type="dxa"/>
            <w:vAlign w:val="bottom"/>
          </w:tcPr>
          <w:p>
            <w:pPr>
              <w:ind w:left="220"/>
              <w:spacing w:after="0"/>
              <w:rPr>
                <w:sz w:val="20"/>
                <w:szCs w:val="20"/>
                <w:color w:val="auto"/>
              </w:rPr>
            </w:pPr>
            <w:r>
              <w:rPr>
                <w:rFonts w:ascii="Arial" w:cs="Arial" w:eastAsia="Arial" w:hAnsi="Arial"/>
                <w:sz w:val="16"/>
                <w:szCs w:val="16"/>
                <w:color w:val="auto"/>
              </w:rPr>
              <w:t>Net increase (decrease) in cash and cash equivalents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98,077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(27,573)</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191,652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465,984</w:t>
            </w:r>
          </w:p>
        </w:tc>
        <w:tc>
          <w:tcPr>
            <w:tcW w:w="0" w:type="dxa"/>
            <w:vAlign w:val="bottom"/>
          </w:tcPr>
          <w:p>
            <w:pPr>
              <w:spacing w:after="0"/>
              <w:rPr>
                <w:sz w:val="1"/>
                <w:szCs w:val="1"/>
                <w:color w:val="auto"/>
              </w:rPr>
            </w:pPr>
          </w:p>
        </w:tc>
      </w:tr>
      <w:tr>
        <w:trPr>
          <w:trHeight w:val="236"/>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289,729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438,411</w:t>
            </w:r>
          </w:p>
        </w:tc>
        <w:tc>
          <w:tcPr>
            <w:tcW w:w="0" w:type="dxa"/>
            <w:vAlign w:val="bottom"/>
          </w:tcPr>
          <w:p>
            <w:pPr>
              <w:spacing w:after="0"/>
              <w:rPr>
                <w:sz w:val="1"/>
                <w:szCs w:val="1"/>
                <w:color w:val="auto"/>
              </w:rPr>
            </w:pPr>
          </w:p>
        </w:tc>
      </w:tr>
      <w:tr>
        <w:trPr>
          <w:trHeight w:val="183"/>
        </w:trPr>
        <w:tc>
          <w:tcPr>
            <w:tcW w:w="6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Interest,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16,781</w:t>
            </w:r>
          </w:p>
        </w:tc>
        <w:tc>
          <w:tcPr>
            <w:tcW w:w="42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17,236</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payments,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9,176</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 consolidates the accounts of its wholly-owned and majority-owned subsidiaries. Fabco Holding B.V. (“Fabco”) is a Dutch joint venture limited liability company that is 75% owned by the Company and is treated as a consolidated majority-owned subsidiary. In October 2021, the Company purchased Sonia Rykiel, a wholly-owned operating subsidiary. The results of Sonia Rykiel are included in the Company’s consolidated financial statements beginning in the fourth quarter of fiscal 2022. Karl Lagerfeld Holding B.V. (“KLH”) is a Dutch limited liability company that was 19% owned by the Company through May 30, 2022 and was accounted for during that time using the equity method of accounting. Effective May 31, 2022, the Company acquired the remaining 81% interest in KLH that it did not previously own and, as a result, KLH began being treated as a consolidated wholly-owned subsidiary. KL North America B.V. (“KLNA”) is a Dutch joint venture limited liability company that was 49% owned by the Company and 51% indirectly owned by KLH through May 30, 2022 and was accounted for during that time using the equity method of accounting. Effective May 31, 2022, KLNA became an indirect wholly-owned subsidiary of the Company as a result of the Company’s acquisition of the remaining 81% interest in KLH it did not previously own. All material intercompany balances and transactions have been eliminated. The results of KLH are included in the Company’s consolidated financial statements beginning May 31, 2022.</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Vilebrequin International SA (“Vilebrequin”), a Swiss corporation that is wholly-owned by the Company, KLH, Fabco and Sonia Rykiel, report results on a calendar year basis rather than on the January 31 fiscal year basis used by the Company. Accordingly, the results of Vilebrequin, KLH, Fabco and Sonia Rykiel are included in the financial statements for the quarter ended or ending closest to the Company’s fiscal quarter end. For example, with respect to the Company’s results for the three-month period ended April 30, 2023, the results of Vilebrequin, Fabco, KLH and Sonia Rykiel are included for the three-month period ended March 31, 2023. For the year ended December 31, 2022, the results of KLH, which includes KLNA, are included for the period from June 1, 2022 through December 31, 2022. The results of the Company’s previous 49% ownership interest in KLNA and 19% ownership interest in KLH are included for the period from February 1, 2022 through May 30, 2022. The Company’s retail operations segment reports on a 52/53 week fiscal year. The Company’s three-month periods ended April 30, 2023 and 2022 were each 13-week periods for the retail operations segment. For fiscal 2024 and 2023, the three-month periods for the retail operations segment ended on April 29, 2023 and April 30, 2022, respectively.</w:t>
      </w:r>
    </w:p>
    <w:p>
      <w:pPr>
        <w:spacing w:after="0" w:line="17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results for the three months ended April 30, 2023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2023 filed with the Securities and Exchange Commission (the “SEC”).</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Assets and liabilities of the Company’s foreign operations, where the functional currency is not the U.S. dollar (reporting currency), are translated from the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ALLOWANCE FOR DOUBTFUL ACCOUNTS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accounts receivable and allowance for doubtful accounts as of April 30, 2023, April 30, 2022 and January 31, 2023 were: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April 30, 2023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Wholesale</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9"/>
              </w:rPr>
              <w:t>Retail</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Total</w:t>
            </w:r>
          </w:p>
        </w:tc>
      </w:tr>
      <w:tr>
        <w:trPr>
          <w:trHeight w:val="128"/>
        </w:trPr>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59"/>
              <w:spacing w:after="0" w:line="128" w:lineRule="exact"/>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29"/>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512,315</w:t>
            </w:r>
          </w:p>
        </w:tc>
        <w:tc>
          <w:tcPr>
            <w:tcW w:w="1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9"/>
                <w:szCs w:val="19"/>
                <w:color w:val="auto"/>
              </w:rPr>
            </w:pP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513,433</w:t>
            </w:r>
          </w:p>
        </w:tc>
      </w:tr>
      <w:tr>
        <w:trPr>
          <w:trHeight w:val="230"/>
        </w:trPr>
        <w:tc>
          <w:tcPr>
            <w:tcW w:w="2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(18,769)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(18,832)</w:t>
            </w:r>
          </w:p>
        </w:tc>
      </w:tr>
      <w:tr>
        <w:trPr>
          <w:trHeight w:val="210"/>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493,546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494,601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9"/>
        </w:trPr>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April 30, 2022</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9"/>
              </w:rPr>
              <w:t>Retail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195"/>
        </w:trPr>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589,233</w:t>
            </w:r>
          </w:p>
        </w:tc>
        <w:tc>
          <w:tcPr>
            <w:tcW w:w="1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18"/>
                <w:szCs w:val="18"/>
                <w:color w:val="auto"/>
              </w:rPr>
            </w:pP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590,552</w:t>
            </w:r>
          </w:p>
        </w:tc>
      </w:tr>
      <w:tr>
        <w:trPr>
          <w:trHeight w:val="237"/>
        </w:trPr>
        <w:tc>
          <w:tcPr>
            <w:tcW w:w="2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(16,858)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(16,939)</w:t>
            </w:r>
          </w:p>
        </w:tc>
      </w:tr>
      <w:tr>
        <w:trPr>
          <w:trHeight w:val="216"/>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572,375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573,613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9"/>
        </w:trPr>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January 31, 2023</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9"/>
              </w:rPr>
              <w:t>Retail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195"/>
        </w:trPr>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692,033</w:t>
            </w:r>
          </w:p>
        </w:tc>
        <w:tc>
          <w:tcPr>
            <w:tcW w:w="1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1,227</w:t>
            </w:r>
          </w:p>
        </w:tc>
        <w:tc>
          <w:tcPr>
            <w:tcW w:w="160" w:type="dxa"/>
            <w:vAlign w:val="bottom"/>
          </w:tcPr>
          <w:p>
            <w:pPr>
              <w:spacing w:after="0"/>
              <w:rPr>
                <w:sz w:val="18"/>
                <w:szCs w:val="18"/>
                <w:color w:val="auto"/>
              </w:rPr>
            </w:pP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693,260</w:t>
            </w:r>
          </w:p>
        </w:tc>
      </w:tr>
      <w:tr>
        <w:trPr>
          <w:trHeight w:val="230"/>
        </w:trPr>
        <w:tc>
          <w:tcPr>
            <w:tcW w:w="2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(18,237)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(18,297)</w:t>
            </w: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674,963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-2459355</wp:posOffset>
            </wp:positionV>
            <wp:extent cx="565785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4541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-2176780</wp:posOffset>
            </wp:positionV>
            <wp:extent cx="56578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5430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-1456690</wp:posOffset>
            </wp:positionV>
            <wp:extent cx="56578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-1173480</wp:posOffset>
            </wp:positionV>
            <wp:extent cx="565785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5430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-453390</wp:posOffset>
            </wp:positionV>
            <wp:extent cx="56578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-170815</wp:posOffset>
            </wp:positionV>
            <wp:extent cx="565785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720"/>
            <w:col w:w="5039"/>
          </w:cols>
          <w:pgMar w:left="1440" w:top="517" w:right="1440" w:bottom="1440" w:gutter="0" w:footer="0" w:header="0"/>
          <w:type w:val="continuous"/>
        </w:sectPr>
      </w:pPr>
    </w:p>
    <w:p>
      <w:pPr>
        <w:spacing w:after="0" w:line="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had the following activity in its allowance for credit losses: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311"/>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360"/>
              <w:spacing w:after="0"/>
              <w:rPr>
                <w:sz w:val="20"/>
                <w:szCs w:val="20"/>
                <w:color w:val="auto"/>
              </w:rPr>
            </w:pPr>
            <w:r>
              <w:rPr>
                <w:rFonts w:ascii="Arial" w:cs="Arial" w:eastAsia="Arial" w:hAnsi="Arial"/>
                <w:sz w:val="14"/>
                <w:szCs w:val="14"/>
                <w:b w:val="1"/>
                <w:bCs w:val="1"/>
                <w:color w:val="auto"/>
              </w:rPr>
              <w:t>Retail</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r>
      <w:tr>
        <w:trPr>
          <w:trHeight w:val="142"/>
        </w:trPr>
        <w:tc>
          <w:tcPr>
            <w:tcW w:w="39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(18,297)</w:t>
            </w: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940" w:type="dxa"/>
            <w:vAlign w:val="bottom"/>
          </w:tcPr>
          <w:p>
            <w:pPr>
              <w:ind w:left="20"/>
              <w:spacing w:after="0"/>
              <w:rPr>
                <w:sz w:val="20"/>
                <w:szCs w:val="20"/>
                <w:color w:val="auto"/>
              </w:rPr>
            </w:pPr>
            <w:r>
              <w:rPr>
                <w:rFonts w:ascii="Arial" w:cs="Arial" w:eastAsia="Arial" w:hAnsi="Arial"/>
                <w:sz w:val="18"/>
                <w:szCs w:val="18"/>
                <w:color w:val="auto"/>
              </w:rPr>
              <w:t>Balance as of April 30, 2023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(18,769)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(18,832)</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Balance as of January 31, 2022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(17,307)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(17,391)</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April 30,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w:t>
            </w:r>
          </w:p>
        </w:tc>
      </w:tr>
      <w:tr>
        <w:trPr>
          <w:trHeight w:val="223"/>
        </w:trPr>
        <w:tc>
          <w:tcPr>
            <w:tcW w:w="39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3940" w:type="dxa"/>
            <w:vAlign w:val="bottom"/>
          </w:tcPr>
          <w:p>
            <w:pPr>
              <w:ind w:left="20"/>
              <w:spacing w:after="0"/>
              <w:rPr>
                <w:sz w:val="20"/>
                <w:szCs w:val="20"/>
                <w:color w:val="auto"/>
              </w:rPr>
            </w:pPr>
            <w:r>
              <w:rPr>
                <w:rFonts w:ascii="Arial" w:cs="Arial" w:eastAsia="Arial" w:hAnsi="Arial"/>
                <w:sz w:val="18"/>
                <w:szCs w:val="18"/>
                <w:color w:val="auto"/>
              </w:rPr>
              <w:t>Balance as of January 31, 2023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(18,237)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(18,297)</w:t>
            </w:r>
          </w:p>
        </w:tc>
      </w:tr>
      <w:tr>
        <w:trPr>
          <w:trHeight w:val="20"/>
        </w:trPr>
        <w:tc>
          <w:tcPr>
            <w:tcW w:w="3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INVENTORIES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Wholesale inventories, which comprise a significant portion of the Company’s inventory,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was $12.9 million, $16.4 million and $19.2 million as of April 30, 2023, April 30, 2022 and January 31, 2023, respectively. The inventory return asset is recorded within prepaid expenses and other current assets on the condensed consolidated balance sheets.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Inventory held on consignment by the Company’s customers totaled $7.6 million, $5.9 million and $6.6 million at April 30, 2023, April 30, 2022 and January 31, 2023, respectively. Consignment inventory is held by the Company’s customers. The Company reflects this inventory on its condensed consolidated balance sheets.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FAIR VALUE OF FINANCIAL INSTRUMENTS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71" w:lineRule="exact"/>
        <w:rPr>
          <w:sz w:val="20"/>
          <w:szCs w:val="20"/>
          <w:color w:val="auto"/>
        </w:rPr>
      </w:pPr>
    </w:p>
    <w:p>
      <w:pPr>
        <w:ind w:left="720" w:right="5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48" w:lineRule="exact"/>
        <w:rPr>
          <w:rFonts w:ascii="Arial" w:cs="Arial" w:eastAsia="Arial" w:hAnsi="Arial"/>
          <w:sz w:val="18"/>
          <w:szCs w:val="18"/>
          <w:color w:val="auto"/>
        </w:rPr>
      </w:pPr>
    </w:p>
    <w:p>
      <w:pPr>
        <w:jc w:val="both"/>
        <w:ind w:left="720" w:right="5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65" w:lineRule="exact"/>
        <w:rPr>
          <w:rFonts w:ascii="Arial" w:cs="Arial" w:eastAsia="Arial" w:hAnsi="Arial"/>
          <w:sz w:val="18"/>
          <w:szCs w:val="18"/>
          <w:color w:val="auto"/>
        </w:rPr>
      </w:pPr>
    </w:p>
    <w:p>
      <w:pPr>
        <w:ind w:left="720" w:right="5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Carrying Value</w:t>
            </w:r>
          </w:p>
        </w:tc>
        <w:tc>
          <w:tcPr>
            <w:tcW w:w="8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Financial Instrument</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75"/>
              <w:spacing w:after="0" w:line="133" w:lineRule="exact"/>
              <w:rPr>
                <w:sz w:val="20"/>
                <w:szCs w:val="20"/>
                <w:color w:val="auto"/>
              </w:rPr>
            </w:pPr>
            <w:r>
              <w:rPr>
                <w:rFonts w:ascii="Arial" w:cs="Arial" w:eastAsia="Arial" w:hAnsi="Arial"/>
                <w:sz w:val="14"/>
                <w:szCs w:val="14"/>
                <w:b w:val="1"/>
                <w:bCs w:val="1"/>
                <w:color w:val="auto"/>
              </w:rPr>
              <w:t>April 30,</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April 30,</w:t>
            </w:r>
          </w:p>
        </w:tc>
        <w:tc>
          <w:tcPr>
            <w:tcW w:w="8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1"/>
                <w:szCs w:val="11"/>
                <w:color w:val="auto"/>
              </w:rPr>
            </w:pPr>
          </w:p>
        </w:tc>
        <w:tc>
          <w:tcPr>
            <w:tcW w:w="880" w:type="dxa"/>
            <w:vAlign w:val="bottom"/>
          </w:tcPr>
          <w:p>
            <w:pPr>
              <w:jc w:val="right"/>
              <w:ind w:right="102"/>
              <w:spacing w:after="0" w:line="133" w:lineRule="exact"/>
              <w:rPr>
                <w:sz w:val="20"/>
                <w:szCs w:val="20"/>
                <w:color w:val="auto"/>
              </w:rPr>
            </w:pPr>
            <w:r>
              <w:rPr>
                <w:rFonts w:ascii="Arial" w:cs="Arial" w:eastAsia="Arial" w:hAnsi="Arial"/>
                <w:sz w:val="14"/>
                <w:szCs w:val="14"/>
                <w:b w:val="1"/>
                <w:bCs w:val="1"/>
                <w:color w:val="auto"/>
              </w:rPr>
              <w:t>April 30,</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April 30,</w:t>
            </w:r>
          </w:p>
        </w:tc>
        <w:tc>
          <w:tcPr>
            <w:tcW w:w="9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9"/>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jc w:val="right"/>
              <w:ind w:right="442"/>
              <w:spacing w:after="0"/>
              <w:rPr>
                <w:sz w:val="20"/>
                <w:szCs w:val="20"/>
                <w:color w:val="auto"/>
              </w:rPr>
            </w:pPr>
            <w:r>
              <w:rPr>
                <w:rFonts w:ascii="Arial" w:cs="Arial" w:eastAsia="Arial" w:hAnsi="Arial"/>
                <w:sz w:val="13"/>
                <w:szCs w:val="13"/>
                <w:b w:val="1"/>
                <w:bCs w:val="1"/>
                <w:color w:val="auto"/>
                <w:w w:val="71"/>
              </w:rPr>
              <w:t>thousands)</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9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400,000</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400,000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400,000</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376,000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416,000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380,000</w:t>
            </w:r>
          </w:p>
        </w:tc>
        <w:tc>
          <w:tcPr>
            <w:tcW w:w="0" w:type="dxa"/>
            <w:vAlign w:val="bottom"/>
          </w:tcPr>
          <w:p>
            <w:pPr>
              <w:spacing w:after="0"/>
              <w:rPr>
                <w:sz w:val="1"/>
                <w:szCs w:val="1"/>
                <w:color w:val="auto"/>
              </w:rPr>
            </w:pPr>
          </w:p>
        </w:tc>
      </w:tr>
      <w:tr>
        <w:trPr>
          <w:trHeight w:val="216"/>
        </w:trPr>
        <w:tc>
          <w:tcPr>
            <w:tcW w:w="21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80,087</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80,087</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issued to LVMH</w:t>
            </w:r>
          </w:p>
        </w:tc>
        <w:tc>
          <w:tcPr>
            <w:tcW w:w="9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123,019</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115,926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121,202</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121,476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119,426</w:t>
            </w:r>
          </w:p>
        </w:tc>
        <w:tc>
          <w:tcPr>
            <w:tcW w:w="0" w:type="dxa"/>
            <w:vAlign w:val="bottom"/>
          </w:tcPr>
          <w:p>
            <w:pPr>
              <w:spacing w:after="0"/>
              <w:rPr>
                <w:sz w:val="1"/>
                <w:szCs w:val="1"/>
                <w:color w:val="auto"/>
              </w:rPr>
            </w:pPr>
          </w:p>
        </w:tc>
      </w:tr>
      <w:tr>
        <w:trPr>
          <w:trHeight w:val="216"/>
        </w:trPr>
        <w:tc>
          <w:tcPr>
            <w:tcW w:w="2100" w:type="dxa"/>
            <w:vAlign w:val="bottom"/>
          </w:tcPr>
          <w:p>
            <w:pPr>
              <w:ind w:left="20"/>
              <w:spacing w:after="0"/>
              <w:rPr>
                <w:sz w:val="20"/>
                <w:szCs w:val="20"/>
                <w:color w:val="auto"/>
              </w:rPr>
            </w:pPr>
            <w:r>
              <w:rPr>
                <w:rFonts w:ascii="Arial" w:cs="Arial" w:eastAsia="Arial" w:hAnsi="Arial"/>
                <w:sz w:val="18"/>
                <w:szCs w:val="18"/>
                <w:color w:val="auto"/>
              </w:rPr>
              <w:t>Unsecured loans</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11,212</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7,845</w:t>
            </w:r>
          </w:p>
        </w:tc>
        <w:tc>
          <w:tcPr>
            <w:tcW w:w="880" w:type="dxa"/>
            <w:vAlign w:val="bottom"/>
          </w:tcPr>
          <w:p>
            <w:pPr>
              <w:jc w:val="right"/>
              <w:spacing w:after="0"/>
              <w:rPr>
                <w:sz w:val="20"/>
                <w:szCs w:val="20"/>
                <w:color w:val="auto"/>
              </w:rPr>
            </w:pPr>
            <w:r>
              <w:rPr>
                <w:rFonts w:ascii="Arial" w:cs="Arial" w:eastAsia="Arial" w:hAnsi="Arial"/>
                <w:sz w:val="18"/>
                <w:szCs w:val="18"/>
                <w:color w:val="auto"/>
              </w:rPr>
              <w:t>10,866</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11,212</w:t>
            </w:r>
          </w:p>
        </w:tc>
        <w:tc>
          <w:tcPr>
            <w:tcW w:w="960" w:type="dxa"/>
            <w:vAlign w:val="bottom"/>
          </w:tcPr>
          <w:p>
            <w:pPr>
              <w:jc w:val="right"/>
              <w:spacing w:after="0"/>
              <w:rPr>
                <w:sz w:val="20"/>
                <w:szCs w:val="20"/>
                <w:color w:val="auto"/>
              </w:rPr>
            </w:pPr>
            <w:r>
              <w:rPr>
                <w:rFonts w:ascii="Arial" w:cs="Arial" w:eastAsia="Arial" w:hAnsi="Arial"/>
                <w:sz w:val="18"/>
                <w:szCs w:val="18"/>
                <w:color w:val="auto"/>
              </w:rPr>
              <w:t>7,845</w:t>
            </w:r>
          </w:p>
        </w:tc>
        <w:tc>
          <w:tcPr>
            <w:tcW w:w="940" w:type="dxa"/>
            <w:vAlign w:val="bottom"/>
          </w:tcPr>
          <w:p>
            <w:pPr>
              <w:jc w:val="right"/>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Overdraft facilities</w:t>
            </w:r>
          </w:p>
        </w:tc>
        <w:tc>
          <w:tcPr>
            <w:tcW w:w="9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3,131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4,132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Foreign credit facility</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8,462</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7,792</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8,462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7,792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debt instruments are recorded at their carrying values in its condensed consolidated balance sheets, which may differ from their respective fair values. The fair value of the Company’s secured notes is based on their current market price as of April 30, 2023.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2% note in the principal amount of $125 million (the “LVMH Note”) issued to LVMH Moet Hennessy Louis Vuitton Inc. (“LVMH”) in connection with the acquisition of DKNY and Donna Karan was recorded on the balance sheet at a discount of $40.0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purposes of this fair value disclosure, the Company based its fair value estimate for the LVMH Note on the initial fair value as determined at the date of the acquisition of DKNY and Donna Karan and records the amortization using the effective interest method over the term of the LVMH Note.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the LVMH Note was considered a Level 3 valuation in the fair value hierarchy.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r>
        <w:rPr>
          <w:rFonts w:ascii="Arial" w:cs="Arial" w:eastAsia="Arial" w:hAnsi="Arial"/>
          <w:sz w:val="16"/>
          <w:szCs w:val="16"/>
          <w:color w:val="212529"/>
        </w:rPr>
        <w:t>During fiscal 2023, the Company recorded a</w:t>
      </w:r>
      <w:r>
        <w:rPr>
          <w:rFonts w:ascii="Arial" w:cs="Arial" w:eastAsia="Arial" w:hAnsi="Arial"/>
          <w:sz w:val="16"/>
          <w:szCs w:val="16"/>
          <w:color w:val="auto"/>
        </w:rPr>
        <w:t xml:space="preserve"> </w:t>
      </w:r>
      <w:r>
        <w:rPr>
          <w:rFonts w:ascii="Arial" w:cs="Arial" w:eastAsia="Arial" w:hAnsi="Arial"/>
          <w:sz w:val="16"/>
          <w:szCs w:val="16"/>
          <w:color w:val="212529"/>
        </w:rPr>
        <w:t>$2.7 million impairment charge related to leasehold improvements, furniture and fixtures and operating lease assets at certain DKNY, Karl Lagerfeld Paris and Vilebrequin stores as a result of the performance of these stores.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ectPr>
          <w:pgSz w:w="11900" w:h="16838" w:orient="portrait"/>
          <w:cols w:equalWidth="0" w:num="1">
            <w:col w:w="9019"/>
          </w:cols>
          <w:pgMar w:left="1440" w:top="517" w:right="1440"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lease assets and liabilities as of April 30, 2023, April 30, 2022 and January 31, 2023 consist of the following: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4"/>
                <w:szCs w:val="14"/>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Classification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April 30, 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April 30, 2022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January 31, 2023</w:t>
            </w:r>
          </w:p>
        </w:tc>
      </w:tr>
      <w:tr>
        <w:trPr>
          <w:trHeight w:val="142"/>
        </w:trPr>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16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Operating lease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237,056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164,607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239,665</w:t>
            </w:r>
          </w:p>
        </w:tc>
      </w:tr>
      <w:tr>
        <w:trPr>
          <w:trHeight w:val="216"/>
        </w:trPr>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operating</w:t>
            </w: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Current operating lease liabilities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52,917</w:t>
            </w:r>
          </w:p>
        </w:tc>
      </w:tr>
      <w:tr>
        <w:trPr>
          <w:trHeight w:val="216"/>
        </w:trPr>
        <w:tc>
          <w:tcPr>
            <w:tcW w:w="1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8"/>
              </w:rPr>
              <w:t>Noncurrent operating</w:t>
            </w:r>
          </w:p>
        </w:tc>
        <w:tc>
          <w:tcPr>
            <w:tcW w:w="16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Noncurrent operating lease liabilities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202,406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139,686</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204,974</w:t>
            </w:r>
          </w:p>
        </w:tc>
      </w:tr>
      <w:tr>
        <w:trPr>
          <w:trHeight w:val="20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253,430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180,798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257,891</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operating lease assets and operating lease liabilities increased during fiscal 2023 primarily due to the acquisition of KLH. The Company recorded lease costs of $18.6 million and $14.1 million during the three months ended April 30, 2023 and 2022, respectively. Lease costs are recorded within selling, general and administrative expenses in the Company’s condensed consolidated statements of operations and comprehensive income. The Company recorded variable lease costs and short-term lease costs of $5.9 million and $5.1 million for the three months ended April 30, 2023 and 2022, respectively. Short-term lease costs are immaterial.</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April 30, 2023, the Company’s maturity of operating lease liabilities in the years ending up to January 31, 2028 and thereafter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2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Amount</w:t>
            </w:r>
          </w:p>
        </w:tc>
      </w:tr>
      <w:tr>
        <w:trPr>
          <w:trHeight w:val="142"/>
        </w:trPr>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Pr>
          <w:p>
            <w:pPr>
              <w:jc w:val="right"/>
              <w:ind w:right="69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52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51,368</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2025</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67,036</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56,130</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2027</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45,065</w:t>
            </w: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36,772</w:t>
            </w:r>
          </w:p>
        </w:tc>
      </w:tr>
      <w:tr>
        <w:trPr>
          <w:trHeight w:val="21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2028</w:t>
            </w:r>
          </w:p>
        </w:tc>
        <w:tc>
          <w:tcPr>
            <w:tcW w:w="2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57,057</w:t>
            </w:r>
          </w:p>
        </w:tc>
      </w:tr>
      <w:tr>
        <w:trPr>
          <w:trHeight w:val="21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313,428</w:t>
            </w:r>
          </w:p>
        </w:tc>
      </w:tr>
      <w:tr>
        <w:trPr>
          <w:trHeight w:val="21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59,998</w:t>
            </w:r>
          </w:p>
        </w:tc>
      </w:tr>
      <w:tr>
        <w:trPr>
          <w:trHeight w:val="21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253,430</w:t>
            </w:r>
          </w:p>
        </w:tc>
      </w:tr>
      <w:tr>
        <w:trPr>
          <w:trHeight w:val="20"/>
        </w:trPr>
        <w:tc>
          <w:tcPr>
            <w:tcW w:w="4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April 30, 2023, there are no material leases that are legally binding but have not yet commenced.</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April 30, 2023, the weighted average remaining lease term related to operating leases is 5.4 years. The weighted average discount rate related to operating leases is 8.0%.</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Cash paid for amounts included in the measurement of operating lease liabilities is $21.2 million and $15.0 million during the three months ended April 30, 2023 and 2022, respectively. Right-of-use assets obtained in exchange for lease obligations were $10.5 million and $8.6 million during the three months ended April 30, 2023 and 2022, respectively.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KARL LAGERFELD ACQUISITION</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April 29, 2022, the Company entered into a share purchase agreement (the “Purchase Agreement”) with a group of investors pursuant to which the Company agreed to acquire, on the terms set forth and subject to the conditions set forth in the Purchase Agreement, the remaining 81% interest in KLH that it did not already own, for an aggregate consideration</w:t>
      </w:r>
    </w:p>
    <w:p>
      <w:pPr>
        <w:spacing w:after="0" w:line="2"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of €193.4 million (approximately $207.6 million) in cash, after taking into account certain adjustments. The acquisition closed on May 31, 2022. The Company funded the purchase price from cash on hand.</w:t>
      </w:r>
    </w:p>
    <w:p>
      <w:pPr>
        <w:spacing w:after="0" w:line="18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May 31, 2022, the effective date of the acquisition, the Company’s previously held 19% investment in KLH and 49% investment in KLNA were remeasured at fair value using a market approach based on the purchase price of the acquisition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and a discount for lack of control related to the Company’s previously held minority investment in KLH. As a result of this remeasurement, a non-cash gain of $27.1 million was recorded as of the effective date of the acquisition.</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addition of KLH to the Company’s portfolio of owned brands advances several of its strategic initiatives, including increasing its direct ownership of brands and their licensing opportunities and further diversifying its global presence. This acquisition offers additional opportunities to expand the Company’s international growth by further developing its European-based brands, which also include Vilebrequin and Sonia Rykiel. The Company believes that KLH’s existing digital channel presence provides an opportunity for the Company to enhance its omni-channel business and further accelerate its digital initiatives.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Price Consideration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purchase price of $207.6 million, after taking into account certain adjustments, was paid from cash on hand. The purchase price has been revised to include adjustments in accordance with the Purchase Agreement.</w:t>
      </w:r>
    </w:p>
    <w:p>
      <w:pPr>
        <w:spacing w:after="0" w:line="14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initial purchase price and the valuation of the prior minority ownership for the acquisition of KLH is as follows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Cash disbursed for the acquisition of KLH</w:t>
            </w:r>
          </w:p>
        </w:tc>
        <w:tc>
          <w:tcPr>
            <w:tcW w:w="25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168,592</w:t>
            </w: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cash acquired</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38,499</w:t>
            </w:r>
          </w:p>
        </w:tc>
      </w:tr>
      <w:tr>
        <w:trPr>
          <w:trHeight w:val="21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aggregate adjustments to purchase price</w:t>
            </w:r>
          </w:p>
        </w:tc>
        <w:tc>
          <w:tcPr>
            <w:tcW w:w="16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purchase price</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207,607</w:t>
            </w:r>
          </w:p>
        </w:tc>
      </w:tr>
      <w:tr>
        <w:trPr>
          <w:trHeight w:val="21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fair value of prior minority ownership</w:t>
            </w:r>
          </w:p>
        </w:tc>
        <w:tc>
          <w:tcPr>
            <w:tcW w:w="16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102,858</w:t>
            </w:r>
          </w:p>
        </w:tc>
      </w:tr>
      <w:tr>
        <w:trPr>
          <w:trHeight w:val="20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16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310,465</w:t>
            </w:r>
          </w:p>
        </w:tc>
      </w:tr>
      <w:tr>
        <w:trPr>
          <w:trHeight w:val="20"/>
        </w:trPr>
        <w:tc>
          <w:tcPr>
            <w:tcW w:w="4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Allocation of the Purchase Price Consideration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at the date of acquisition:</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38,499</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28,449</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33,489</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Prepaid income taxes</w:t>
            </w: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11,545</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84,336</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4,294</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447,003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3,606</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15,261</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58,942</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42,222</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r>
      <w:tr>
        <w:trPr>
          <w:trHeight w:val="20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136,538</w:t>
            </w: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Total fair value of acquisition consideration</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310,465</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During the year ended January 31, 2023, the Company recorded adjustments to the fair values of assets acquired and liabilities assumed at the date of acquisition based on additional information obtained. The Company recorded an</w:t>
      </w:r>
    </w:p>
    <w:p>
      <w:pPr>
        <w:sectPr>
          <w:pgSz w:w="11900" w:h="16838" w:orient="portrait"/>
          <w:cols w:equalWidth="0" w:num="1">
            <w:col w:w="9019"/>
          </w:cols>
          <w:pgMar w:left="1440" w:top="51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additional $36.9 million in both total assets and total liabilities, primarily related to goodwill, deferred tax assets and liabilities, operating lease assets, inventories, accounts receivable, net, accounts payable, customer relationships and operating lease liabilities.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recognized goodwill of approximately $84.3 million in connection with the acquisition of KLH. The goodwill was assigned to the Company’s wholesale operations reporting unit. The Company intends to make an election under Internal Revenue Code Section 338(g) to amortize the total goodwill and intangible assets over a 15 year period for income tax purposes in the United States.</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fair values assigned to identifiable intangible assets acquired were based on assumptions and estimates made by management using unobservable inputs reflecting the Company’s own assumptions about the inputs that market participants would use in pricing the asset or liability based on the best information available. The fair values of the trademarks were determined using the relief from royalty method and the fair value of the customer relationships were determined using an income approach. The Company classifies these intangibles as Level 3 fair value measurements. Identifiable intangible assets acquired include the following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jc w:val="right"/>
              <w:ind w:right="277"/>
              <w:spacing w:after="0"/>
              <w:rPr>
                <w:sz w:val="20"/>
                <w:szCs w:val="20"/>
                <w:color w:val="auto"/>
              </w:rPr>
            </w:pPr>
            <w:r>
              <w:rPr>
                <w:rFonts w:ascii="Arial" w:cs="Arial" w:eastAsia="Arial" w:hAnsi="Arial"/>
                <w:sz w:val="14"/>
                <w:szCs w:val="14"/>
                <w:b w:val="1"/>
                <w:bCs w:val="1"/>
                <w:color w:val="auto"/>
              </w:rPr>
              <w:t>Weighted Average</w:t>
            </w:r>
          </w:p>
        </w:tc>
      </w:tr>
      <w:tr>
        <w:trPr>
          <w:trHeight w:val="188"/>
        </w:trPr>
        <w:tc>
          <w:tcPr>
            <w:tcW w:w="3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Amortization Period</w:t>
            </w: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178,823</w:t>
            </w: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26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3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183,117</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r>
    </w:tbl>
    <w:p>
      <w:pPr>
        <w:spacing w:after="0" w:line="6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recognized approximately $5.6 million of acquisition related costs that were expensed in fiscal 2023 and fiscal 2022. The fiscal 2023 and fiscal 2022 acquisition and integration costs were recorded within selling, general and administrative expenses in the Company’s condensed consolidated statements of operations and comprehensive income for the fiscal years ended January 31, 2023 and 2022, respectively.</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estimates of fair value of assets acquired and liabilities assumed are preliminary and subject to change based on completion of certain working capital adjustments and the tax implications of the Company’s purchase price allocation. The purchase price allocation for acquired companies can be modified for up to one year from the date of acquisition.</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NET INCOME PER COMMON SHARE</w:t>
      </w:r>
    </w:p>
    <w:p>
      <w:pPr>
        <w:spacing w:after="0" w:line="10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outstanding during the period. Approximately 302,200 and 113,300 shares of common stock have been excluded from the diluted net income per share calculation for the three months ended April 30, 2023 and 2022, respectively. All share-based payments outstanding that vest based on the achievement of performance conditions, and for which the respective performance conditions have not been achieved, have been excluded from the diluted per share calculation.</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April 30,</w:t>
            </w:r>
          </w:p>
        </w:tc>
        <w:tc>
          <w:tcPr>
            <w:tcW w:w="1060" w:type="dxa"/>
            <w:vAlign w:val="bottom"/>
            <w:tcBorders>
              <w:bottom w:val="single" w:sz="8" w:color="auto"/>
            </w:tcBorders>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72"/>
              <w:spacing w:after="0" w:line="142" w:lineRule="exact"/>
              <w:rPr>
                <w:sz w:val="20"/>
                <w:szCs w:val="20"/>
                <w:color w:val="auto"/>
              </w:rPr>
            </w:pPr>
            <w:r>
              <w:rPr>
                <w:rFonts w:ascii="Arial" w:cs="Arial" w:eastAsia="Arial" w:hAnsi="Arial"/>
                <w:sz w:val="14"/>
                <w:szCs w:val="14"/>
                <w:b w:val="1"/>
                <w:bCs w:val="1"/>
                <w:color w:val="auto"/>
                <w:w w:val="89"/>
              </w:rPr>
              <w:t>2022</w:t>
            </w:r>
          </w:p>
        </w:tc>
      </w:tr>
      <w:tr>
        <w:trPr>
          <w:trHeight w:val="169"/>
        </w:trPr>
        <w:tc>
          <w:tcPr>
            <w:tcW w:w="48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 except</w:t>
            </w:r>
          </w:p>
        </w:tc>
        <w:tc>
          <w:tcPr>
            <w:tcW w:w="222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w w:val="88"/>
              </w:rPr>
              <w:t>share and per share amounts)</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G-III Apparel Group, Ltd.</w:t>
            </w: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16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w:t>
            </w: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Basic net income per share:</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common shares</w:t>
            </w:r>
          </w:p>
        </w:tc>
        <w:tc>
          <w:tcPr>
            <w:tcW w:w="10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46,286</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48,016</w:t>
            </w:r>
          </w:p>
        </w:tc>
      </w:tr>
      <w:tr>
        <w:trPr>
          <w:trHeight w:val="210"/>
        </w:trPr>
        <w:tc>
          <w:tcPr>
            <w:tcW w:w="4880" w:type="dxa"/>
            <w:vAlign w:val="bottom"/>
          </w:tcPr>
          <w:p>
            <w:pPr>
              <w:ind w:left="120"/>
              <w:spacing w:after="0"/>
              <w:rPr>
                <w:sz w:val="20"/>
                <w:szCs w:val="20"/>
                <w:color w:val="auto"/>
              </w:rPr>
            </w:pPr>
            <w:r>
              <w:rPr>
                <w:rFonts w:ascii="Arial" w:cs="Arial" w:eastAsia="Arial" w:hAnsi="Arial"/>
                <w:sz w:val="18"/>
                <w:szCs w:val="18"/>
                <w:color w:val="auto"/>
              </w:rPr>
              <w:t>Basic net income per share</w:t>
            </w:r>
          </w:p>
        </w:tc>
        <w:tc>
          <w:tcPr>
            <w:tcW w:w="1080" w:type="dxa"/>
            <w:vAlign w:val="bottom"/>
            <w:tcBorders>
              <w:bottom w:val="single" w:sz="8" w:color="auto"/>
            </w:tcBorders>
          </w:tcPr>
          <w:p>
            <w:pPr>
              <w:jc w:val="right"/>
              <w:ind w:right="897"/>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400" w:type="dxa"/>
            <w:vAlign w:val="bottom"/>
          </w:tcPr>
          <w:p>
            <w:pPr>
              <w:spacing w:after="0"/>
              <w:rPr>
                <w:sz w:val="18"/>
                <w:szCs w:val="18"/>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4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Diluted net income per share:</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common shares</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46,286</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48,016</w:t>
            </w: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Dilutive restricted stock unit awards and stock options</w:t>
            </w: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4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r>
      <w:tr>
        <w:trPr>
          <w:trHeight w:val="210"/>
        </w:trPr>
        <w:tc>
          <w:tcPr>
            <w:tcW w:w="4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common shares</w:t>
            </w:r>
          </w:p>
        </w:tc>
        <w:tc>
          <w:tcPr>
            <w:tcW w:w="10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47,442</w:t>
            </w: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49,108</w:t>
            </w:r>
          </w:p>
        </w:tc>
      </w:tr>
      <w:tr>
        <w:trPr>
          <w:trHeight w:val="210"/>
        </w:trPr>
        <w:tc>
          <w:tcPr>
            <w:tcW w:w="4880" w:type="dxa"/>
            <w:vAlign w:val="bottom"/>
          </w:tcPr>
          <w:p>
            <w:pPr>
              <w:ind w:left="120"/>
              <w:spacing w:after="0"/>
              <w:rPr>
                <w:sz w:val="20"/>
                <w:szCs w:val="20"/>
                <w:color w:val="auto"/>
              </w:rPr>
            </w:pPr>
            <w:r>
              <w:rPr>
                <w:rFonts w:ascii="Arial" w:cs="Arial" w:eastAsia="Arial" w:hAnsi="Arial"/>
                <w:sz w:val="18"/>
                <w:szCs w:val="18"/>
                <w:color w:val="auto"/>
              </w:rPr>
              <w:t>Diluted net income per share</w:t>
            </w: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0.07</w:t>
            </w:r>
          </w:p>
        </w:tc>
        <w:tc>
          <w:tcPr>
            <w:tcW w:w="1160" w:type="dxa"/>
            <w:vAlign w:val="bottom"/>
            <w:gridSpan w:val="2"/>
          </w:tcPr>
          <w:p>
            <w:pPr>
              <w:jc w:val="right"/>
              <w:ind w:right="60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0"/>
        </w:trPr>
        <w:tc>
          <w:tcPr>
            <w:tcW w:w="4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NOTES PAYABLE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Long-term debt consists of the following:</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2023</w:t>
            </w:r>
          </w:p>
        </w:tc>
        <w:tc>
          <w:tcPr>
            <w:tcW w:w="20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2022</w:t>
            </w:r>
          </w:p>
        </w:tc>
        <w:tc>
          <w:tcPr>
            <w:tcW w:w="140" w:type="dxa"/>
            <w:vAlign w:val="bottom"/>
          </w:tcPr>
          <w:p>
            <w:pPr>
              <w:spacing w:after="0"/>
              <w:rPr>
                <w:sz w:val="14"/>
                <w:szCs w:val="14"/>
                <w:color w:val="auto"/>
              </w:rPr>
            </w:pPr>
          </w:p>
        </w:tc>
        <w:tc>
          <w:tcPr>
            <w:tcW w:w="13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January 31, 2023</w:t>
            </w:r>
          </w:p>
        </w:tc>
      </w:tr>
      <w:tr>
        <w:trPr>
          <w:trHeight w:val="142"/>
        </w:trPr>
        <w:tc>
          <w:tcPr>
            <w:tcW w:w="2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21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80,087</w:t>
            </w:r>
          </w:p>
        </w:tc>
      </w:tr>
      <w:tr>
        <w:trPr>
          <w:trHeight w:val="21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LVMH Note</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Unsecured loans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11,212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7,845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10,866</w:t>
            </w:r>
          </w:p>
        </w:tc>
      </w:tr>
      <w:tr>
        <w:trPr>
          <w:trHeight w:val="21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Overdraft facilities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Foreign credit facility</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8,462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7,792</w:t>
            </w:r>
          </w:p>
        </w:tc>
      </w:tr>
      <w:tr>
        <w:trPr>
          <w:trHeight w:val="210"/>
        </w:trPr>
        <w:tc>
          <w:tcPr>
            <w:tcW w:w="34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548,806</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535,976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627,402</w:t>
            </w:r>
          </w:p>
        </w:tc>
      </w:tr>
      <w:tr>
        <w:trPr>
          <w:trHeight w:val="216"/>
        </w:trPr>
        <w:tc>
          <w:tcPr>
            <w:tcW w:w="34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5"/>
                <w:szCs w:val="25"/>
                <w:color w:val="auto"/>
                <w:vertAlign w:val="superscript"/>
              </w:rPr>
              <w:t>(1)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(3,821)</w:t>
            </w:r>
          </w:p>
        </w:tc>
        <w:tc>
          <w:tcPr>
            <w:tcW w:w="2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(5,520)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(4,246)</w:t>
            </w:r>
          </w:p>
        </w:tc>
      </w:tr>
      <w:tr>
        <w:trPr>
          <w:trHeight w:val="216"/>
        </w:trPr>
        <w:tc>
          <w:tcPr>
            <w:tcW w:w="3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 discount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(1,981)</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(9,074)</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r>
      <w:tr>
        <w:trPr>
          <w:trHeight w:val="216"/>
        </w:trPr>
        <w:tc>
          <w:tcPr>
            <w:tcW w:w="3440" w:type="dxa"/>
            <w:vAlign w:val="bottom"/>
            <w:gridSpan w:val="2"/>
          </w:tcPr>
          <w:p>
            <w:pPr>
              <w:ind w:left="44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(139,418)</w:t>
            </w:r>
          </w:p>
        </w:tc>
        <w:tc>
          <w:tcPr>
            <w:tcW w:w="2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(4,554)</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(135,518)</w:t>
            </w:r>
          </w:p>
        </w:tc>
      </w:tr>
      <w:tr>
        <w:trPr>
          <w:trHeight w:val="210"/>
        </w:trPr>
        <w:tc>
          <w:tcPr>
            <w:tcW w:w="3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483,840</w:t>
            </w:r>
          </w:p>
        </w:tc>
      </w:tr>
      <w:tr>
        <w:trPr>
          <w:trHeight w:val="20"/>
        </w:trPr>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r>
    </w:tbl>
    <w:p>
      <w:pPr>
        <w:spacing w:after="0" w:line="81" w:lineRule="exact"/>
        <w:rPr>
          <w:sz w:val="20"/>
          <w:szCs w:val="20"/>
          <w:color w:val="auto"/>
        </w:rPr>
      </w:pPr>
    </w:p>
    <w:p>
      <w:pPr>
        <w:jc w:val="both"/>
        <w:ind w:left="380" w:right="59" w:hanging="330"/>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5"/>
          <w:szCs w:val="15"/>
          <w:color w:val="auto"/>
        </w:rPr>
        <w:t>Does not include debt issuance costs, net of amortization, totaling $3.6 million, $5.2 million and $4.0 million as of April 30, 2023, April 30, 2022 and January 31, 2023, respectively, related to the revolving credit facility. These debt issuance costs have been deferred and are classified in assets in the accompanying condensed consolidated balance sheets in accordance with ASC 835.</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were used (i) to repay the $300 million that was outstanding under the Company’s prior term loan facility due 2022 (the “Term Loan”), (ii) to pay related fees and expenses and (iii) for general corporate purposes.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guarantors.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may redeem some or all of the Notes at any time and from time to time at the redemption prices set forth in the Indenture, plus accrued and unpaid interest, if any, to, but excluding, the applicable redemption date.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certain of its subsidiaries (the “Guarantors”), are Loan Guarantors under the ABL Credit Agreement.</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The ABL Credit Agreement extended the maturity date of this facility from December 2021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calculation of the interest rate under the ABL Credit Agreement has been revised as set forth in the next paragraph.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As of April 30, 2023, interest under the ABL Credit Agreement was being paid at an average rate of 6.62% per annum.</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April 20, 2023, the Company amended the ABL Credit Agreement to replace LIBOR with the Adjusted Term Secured Overnight Financing Rate (“SOFR”) as a successor rate. All other material terms and conditions of the ABL Credit Agreement were unchanged. Borrowings under the amended ABL Credit Agreement will bear interest, at the Borrower’s</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option, at the alternate base rate (defined as, for a given day, the greatest of (i) the “prime rate” in effect on such day, (ii) the NYFRB Rate (as defined in the amendment) in effect on such day plus 0.5% and (iii) the Adjusted Term SOFR (defined as an interest rate per annum equal to the Term SOFR for such interest period plus 0.10%) for a one-month interest period as published two business days prior to such day plus 1%) plus an applicable spread or the Adjusted Term SOFR Rate plus an applicable spread. The Company applied certain provisions and practical expedients of ASC 848 – Reference Rate Reform related to the transition from LIBOR to SOFR.</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April 30, 2023, the Company was in compliance with these covenants.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April 30, 2023, the Company had no borrowings outstanding under the ABL Credit Agreement. The ABL credit agreement also includes amounts available for letters of credit. As of April 30, 2023, there were outstanding trade and standby letters of credit amounting to $7.8 million and $2.9 million, respectively.</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a total of $8.0 million of debt issuance costs related to the ABL Credit Agreement. As permitted under ASC 835, the debt issuance costs have been deferred and are presented as an asset which is amortized ratably over the term of the ABL Credit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a portion of the consideration for the acquisition of Donna Karan International (“DKI”), the Company issued to LVMH a junior lien secured promissory note in the principal amount of $125.0 million that bears interest at the rate of 2% per year. $75.0 million of the principal amount of the LVMH Note is due and payable on June 1, 2023 and $50.0 million of such principal amount is due and payable on December 1, 2023. The LVMH Note is classified in current portion of notes payable in the Company’s condensed consolidated balance sheet as of April 30, 2023.</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ASC 820 requires the LVMH Note to be recorded at fair value at issuance. As a result, the Company recorded a $40.0 million debt discount upon issuance of the LVMH Note. This discount is being amortized as interest expense using the effective interest method over the term of the LVMH Note.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Several of the Company’s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€0.6 million under these loans. Interest on the outstanding principal amount of the unsecured loans accrues at a fixed rate equal to 0% to 5.0% per annum, payable on either a quarterly or monthly basis. As of April 30, 2023, the Company had an aggregate outstanding balance of €10.3 million ($11.2 million) under these unsecured loans.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During fiscal 2021, T.R.B International SA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varying interest rates of 0% to 0.5%. As of April 30, 2023, TRB had an aggregate of €3.8 million ($4.1 million) drawn under these facilities.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Credit Facility</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KLH has a credit agreement with ABN AMRO Bank N.V. with a credit limit of €15.0 million which is secured by specified assets of KLH. Borrowings bear interest at the Euro Interbank Offered Rate (“EURIBOR”) plus a margin of 1.7%. As of April 30, 2023, KLH had €7.8 million ($8.5 million) of borrowings outstanding under this credit facility.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REVENUE RECOGNITION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In accordance with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 xml:space="preserve">Wholesale Operations Segment. </w:t>
      </w:r>
      <w:r>
        <w:rPr>
          <w:rFonts w:ascii="Arial" w:cs="Arial" w:eastAsia="Arial" w:hAnsi="Arial"/>
          <w:sz w:val="17"/>
          <w:szCs w:val="17"/>
          <w:color w:val="auto"/>
        </w:rPr>
        <w:t>Wholesale revenues include sales of products to retailers under owned, licensed and</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label brands, as well as sales related to the Vilebrequin and Karl Lagerfeld businesses, other than sales of product under the Karl Lagerfeld Paris brand from our retail stores and digital outlets.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Karl Lagerfeld, G.H. Bass, Andrew Marc, Vilebrequin and Sonia Rykiel trademarks owned by the Company. As of April 30, 2023, revenues from license agreements represented an insignificant portion of wholesale revenues.</w:t>
      </w:r>
    </w:p>
    <w:p>
      <w:pPr>
        <w:spacing w:after="0" w:line="18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 xml:space="preserve">Retail Operations Segment. </w:t>
      </w:r>
      <w:r>
        <w:rPr>
          <w:rFonts w:ascii="Arial" w:cs="Arial" w:eastAsia="Arial" w:hAnsi="Arial"/>
          <w:sz w:val="17"/>
          <w:szCs w:val="17"/>
          <w:color w:val="auto"/>
        </w:rPr>
        <w:t>Retail store revenues are generated by direct sales to consumers through company-operated</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and product sales through the Company’s digital channels for the DKNY, Donna Karan, G.H. Bass, Karl Lagerfeld Paris, Andrew Marc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$4.1 million, $3.6 million and $5.1 million at April 30, 2023, April 30, 2022 and January 31, 2023, respectively. The Company recognized $3.6 million in revenue for the three months ended April 30, 2023 related to contract liabilities that existed at January 31, 2023. The Company recognized $3.7 million in revenue for the three months ended April 30, 2022 related to contract liabilities that existed at January 31, 2022. There were no contract assets recorded as of April 30, 2023, April 30, 2022 and January 31, 2023. Substantially all of the advance payments from licensees as of April 30, 2023 are expected to be recognized as revenue within the next twelve months.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SEGMENTS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and Karl Lagerfeld businesses, other than sales of the Karl Lagerfeld Paris brand from retail stores and digital outlets. Wholesale revenues also include revenues from license agreements related to our owned trademarks including DKNY, Donna Karan, Karl Lagerfeld, Vilebrequin, G.H. Bass, Andrew Marc and Sonia Rykiel. The retail operations segment consists primarily of direct sales to consumers through Company-operated stores, which consists primarily of DKNY and Karl Lagerfeld Paris stores, as well as the digital channels for DKNY, Donna Karan, Karl Lagerfeld Paris, G.H. Bass, Andrew Marc and Wilsons Leather. Substantially all DKNY and Karl Lagerfeld Paris stores are operated as outlet stores.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segment information is presented for the three month periods indicated below:</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8"/>
              </w:rPr>
              <w:t>Three Months Ended April 30, 2023</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Wholesale</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74"/>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586,903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30,217</w:t>
            </w:r>
          </w:p>
        </w:tc>
        <w:tc>
          <w:tcPr>
            <w:tcW w:w="5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(10,531)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606,589</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352,470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14,849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(10,531)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356,788</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234,433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249,801</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204,089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23,872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227,961</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r>
      <w:tr>
        <w:trPr>
          <w:trHeight w:val="209"/>
        </w:trPr>
        <w:tc>
          <w:tcPr>
            <w:tcW w:w="426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24,599</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(9,335)</w:t>
            </w: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15,264</w:t>
            </w: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8"/>
              </w:rPr>
              <w:t>Three Months Ended April 30, 2022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42"/>
        </w:trPr>
        <w:tc>
          <w:tcPr>
            <w:tcW w:w="4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Wholesale</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74"/>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680,904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5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(20,032)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688,757</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448,769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13,981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(20,032)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442,718</w:t>
            </w:r>
          </w:p>
        </w:tc>
      </w:tr>
      <w:tr>
        <w:trPr>
          <w:trHeight w:val="21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232,135</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246,039</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161,808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185,407</w:t>
            </w:r>
          </w:p>
        </w:tc>
      </w:tr>
      <w:tr>
        <w:trPr>
          <w:trHeight w:val="21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64,913</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(10,376)</w:t>
            </w:r>
          </w:p>
        </w:tc>
        <w:tc>
          <w:tcPr>
            <w:tcW w:w="56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54,537</w:t>
            </w:r>
          </w:p>
        </w:tc>
      </w:tr>
      <w:tr>
        <w:trPr>
          <w:trHeight w:val="20"/>
        </w:trPr>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111760</wp:posOffset>
            </wp:positionV>
            <wp:extent cx="14147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84" w:lineRule="exact"/>
        <w:rPr>
          <w:sz w:val="20"/>
          <w:szCs w:val="20"/>
          <w:color w:val="auto"/>
        </w:rPr>
      </w:pPr>
    </w:p>
    <w:p>
      <w:pPr>
        <w:ind w:left="320" w:hanging="270"/>
        <w:spacing w:after="0"/>
        <w:tabs>
          <w:tab w:leader="none" w:pos="32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total net sales by licensed and proprietary product sales for each of the Company’s reportable segments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2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April 30, 2023</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April 30, 2022</w:t>
            </w:r>
          </w:p>
        </w:tc>
      </w:tr>
      <w:tr>
        <w:trPr>
          <w:trHeight w:val="142"/>
        </w:trPr>
        <w:tc>
          <w:tcPr>
            <w:tcW w:w="22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740" w:type="dxa"/>
            <w:vAlign w:val="bottom"/>
            <w:gridSpan w:val="3"/>
          </w:tcPr>
          <w:p>
            <w:pPr>
              <w:jc w:val="right"/>
              <w:ind w:right="1033"/>
              <w:spacing w:after="0" w:line="142" w:lineRule="exact"/>
              <w:rPr>
                <w:sz w:val="20"/>
                <w:szCs w:val="20"/>
                <w:color w:val="auto"/>
              </w:rPr>
            </w:pPr>
            <w:r>
              <w:rPr>
                <w:rFonts w:ascii="Arial" w:cs="Arial" w:eastAsia="Arial" w:hAnsi="Arial"/>
                <w:sz w:val="14"/>
                <w:szCs w:val="14"/>
                <w:b w:val="1"/>
                <w:bCs w:val="1"/>
                <w:color w:val="auto"/>
                <w:w w:val="79"/>
              </w:rPr>
              <w:t>thousands)</w:t>
            </w:r>
          </w:p>
        </w:tc>
      </w:tr>
      <w:tr>
        <w:trPr>
          <w:trHeight w:val="216"/>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Licensed brands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298,005</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459,984</w:t>
            </w:r>
          </w:p>
        </w:tc>
      </w:tr>
      <w:tr>
        <w:trPr>
          <w:trHeight w:val="216"/>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Proprietary brands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288,898</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220,920</w:t>
            </w:r>
          </w:p>
        </w:tc>
      </w:tr>
      <w:tr>
        <w:trPr>
          <w:trHeight w:val="249"/>
        </w:trPr>
        <w:tc>
          <w:tcPr>
            <w:tcW w:w="57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Wholesale net sales</w:t>
            </w:r>
            <w:r>
              <w:rPr>
                <w:rFonts w:ascii="Arial" w:cs="Arial" w:eastAsia="Arial" w:hAnsi="Arial"/>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586,903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680,904</w:t>
            </w:r>
          </w:p>
        </w:tc>
      </w:tr>
      <w:tr>
        <w:trPr>
          <w:trHeight w:val="197"/>
        </w:trPr>
        <w:tc>
          <w:tcPr>
            <w:tcW w:w="2240" w:type="dxa"/>
            <w:vAlign w:val="bottom"/>
            <w:tcBorders>
              <w:top w:val="single" w:sz="8" w:color="CCEEFF"/>
            </w:tcBorders>
          </w:tcPr>
          <w:p>
            <w:pPr>
              <w:spacing w:after="0"/>
              <w:rPr>
                <w:sz w:val="17"/>
                <w:szCs w:val="17"/>
                <w:color w:val="auto"/>
              </w:rPr>
            </w:pPr>
          </w:p>
        </w:tc>
        <w:tc>
          <w:tcPr>
            <w:tcW w:w="35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6"/>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Licensed brands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w:t>
            </w:r>
          </w:p>
        </w:tc>
      </w:tr>
      <w:tr>
        <w:trPr>
          <w:trHeight w:val="216"/>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Proprietary brands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30,217</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13,957</w:t>
            </w:r>
          </w:p>
        </w:tc>
      </w:tr>
      <w:tr>
        <w:trPr>
          <w:trHeight w:val="25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30,217</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27,885</w:t>
            </w:r>
          </w:p>
        </w:tc>
      </w:tr>
      <w:tr>
        <w:trPr>
          <w:trHeight w:val="136"/>
        </w:trPr>
        <w:tc>
          <w:tcPr>
            <w:tcW w:w="2240" w:type="dxa"/>
            <w:vAlign w:val="bottom"/>
            <w:tcBorders>
              <w:top w:val="single" w:sz="8" w:color="CCEEFF"/>
              <w:bottom w:val="single" w:sz="8" w:color="auto"/>
            </w:tcBorders>
          </w:tcPr>
          <w:p>
            <w:pPr>
              <w:spacing w:after="0"/>
              <w:rPr>
                <w:sz w:val="11"/>
                <w:szCs w:val="11"/>
                <w:color w:val="auto"/>
              </w:rPr>
            </w:pPr>
          </w:p>
        </w:tc>
        <w:tc>
          <w:tcPr>
            <w:tcW w:w="354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r>
    </w:tbl>
    <w:p>
      <w:pPr>
        <w:spacing w:after="0" w:line="71" w:lineRule="exact"/>
        <w:rPr>
          <w:sz w:val="20"/>
          <w:szCs w:val="20"/>
          <w:color w:val="auto"/>
        </w:rPr>
      </w:pPr>
    </w:p>
    <w:p>
      <w:pPr>
        <w:jc w:val="both"/>
        <w:ind w:left="380" w:right="59" w:hanging="330"/>
        <w:spacing w:after="0" w:line="235"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6"/>
          <w:szCs w:val="16"/>
          <w:color w:val="auto"/>
        </w:rPr>
        <w:t>The Company acquired the remaining interests in KLH (the Karl Lagerfeld branded product) that it did not already own as of May 31, 2022. Net sales of Karl Lagerfeld product were included in licensed brand net sales of the wholesale operations segment through May 31, 2022. Subsequent to May 31, 2022, net sales of Karl Lagerfeld product are included in proprietary brands net sales of the wholesale operations segment.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STOCKHOLDERS’ EQUITY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three months ended April 30, 2023, the Company issued no shares of common stock and utilized 2,001 shares of treasury stock in connection with the vesting of equity awards. For the three months ended April 30, 2022, the Company issued no shares of common stock and utilized 271,536 shares of treasury stock in connection with the vesting of equity awards.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CANADIAN CUSTOMS DUTY EXAMINATION</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accordance with a favorable ruling by the Canadian International Trade Tribunal, in fiscal 2023, G-III Canada received a refund from the Canada Border Service Agency (“CBSA”) of CAD$1.5 million ($1.1 million), including interest and net of a dutiable design assist, for amounts paid by G-III Canada to the CBSA between February 1, 2014 and January 31, 2018. G-III Canada has filed adjustment requests with the CBSA for the period from February 1, 2018 to January 31, 2022 to amend declared dutiable values. These amendments are expected to result in a refund of duty and interest from the CBSA of approximately CAD$13.3 million ($9.8 million) plus related interest. These amounts are recorded within other assets, net on the condensed consolidated balance sheets.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 RECENT ADOPTED AND ISSUED ACCOUNTING PRONOUNCEMENTS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was no accounting guidance adopted during the three months ended April 30, 2023.</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ind w:left="60" w:right="659"/>
        <w:spacing w:after="0" w:line="308" w:lineRule="auto"/>
        <w:rPr>
          <w:sz w:val="20"/>
          <w:szCs w:val="20"/>
          <w:color w:val="auto"/>
        </w:rPr>
      </w:pPr>
      <w:r>
        <w:rPr>
          <w:rFonts w:ascii="Arial" w:cs="Arial" w:eastAsia="Arial" w:hAnsi="Arial"/>
          <w:sz w:val="17"/>
          <w:szCs w:val="17"/>
          <w:color w:val="auto"/>
        </w:rPr>
        <w:t>The Company has reviewed all recently issued accounting pronouncements and concluded that they were either not applicable or not expected to have a significant impact to the consolidated financial statements.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May 2023, the Company entered into a global twenty-five year master license agreement with Xcel Brands to design and produce all categories of men’s and women’s product for the Halston brand. The agreement provides for an initial term of five years, followed by a twenty-year period, as well as a purchase option at the end of the twenty-five year term. First deliveries of Halston product are expected to begin in the fall of 2024. The product will be distributed globally through better department stores and digital channels.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Unless the context otherwise requires, “G-III,” “us,” “we” and “our” refer to G-III Apparel Group, Ltd. and its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References to fiscal years refer to the year ended or ending on January 31 of that year. For example, our fiscal year ending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31, 2023 is referred to as “fiscal 2023.”</w:t>
      </w:r>
    </w:p>
    <w:p>
      <w:pPr>
        <w:spacing w:after="0" w:line="21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Vilebrequin, KLH, Fabco and Sonia Rykiel report results on a calendar year basis rather than on the January 31 fiscal year basis used by G-III. Accordingly, the results of Vilebrequin, KLH, Fabco and Sonia Rykiel are, and will be, included in our financial statements for the quarter ended or ending closest to G-III’s fiscal quarter end. For example, with respect to our results for the three-month period ended April 30, 2023, the results of Vilebrequin, Fabco, KLH and Sonia Rykiel are included for the three-month period ended March 31, 2023. We accounted for our investment in each of KLH and KLNA using the equity method of accounting through May 30, 2022. As of May 31, 2022, KLH is accounted for as our consolidated wholly-owned subsidiary and KLNA is an indirect wholly-owned subsidiary of ours. Our retail operations segment uses a 52/53-week fiscal year. For fiscal 2023 and 2022, the three-month period for the retail operations segment were each 13-week periods and ended on April 29, 2023 and April 30, 2022, respectively.</w:t>
      </w:r>
    </w:p>
    <w:p>
      <w:pPr>
        <w:spacing w:after="0" w:line="18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1" w:lineRule="exact"/>
        <w:rPr>
          <w:sz w:val="20"/>
          <w:szCs w:val="20"/>
          <w:color w:val="auto"/>
        </w:rPr>
      </w:pPr>
    </w:p>
    <w:p>
      <w:pPr>
        <w:ind w:left="720" w:right="459" w:hanging="319"/>
        <w:spacing w:after="0" w:line="25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maintain our material license agreements could cause us to lose significant revenues and have a material adverse effect on our results of operations;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we are able to increase the sales of our other products, acquire new businesses and/or enter into other license agreements covering different products, the limited extension period of the recently amended Calvin Klein and Tommy Hilfiger license agreements could cause a significant decrease in our net sales and have a material adverse effect on our results of operations;</w:t>
      </w:r>
    </w:p>
    <w:p>
      <w:pPr>
        <w:spacing w:after="0" w:line="1" w:lineRule="exact"/>
        <w:rPr>
          <w:rFonts w:ascii="Arial" w:cs="Arial" w:eastAsia="Arial" w:hAnsi="Arial"/>
          <w:sz w:val="18"/>
          <w:szCs w:val="18"/>
          <w:color w:val="auto"/>
        </w:rPr>
      </w:pPr>
    </w:p>
    <w:p>
      <w:pPr>
        <w:ind w:left="720" w:right="3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adverse change in our relationship with PVH Corp. and its Calvin Klein or Tommy Hilfiger brands would have a material adverse effect on our results of operations;</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jc w:val="both"/>
        <w:ind w:left="720" w:right="519" w:hanging="319"/>
        <w:spacing w:after="0" w:line="28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relating to our wholesale operations including, among others, maintaining the image of our proprietary brands, business practices of our customers that could adversely affect us and retail customer concentration;</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operating enhancements and cost reductions from our retail operations;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720" w:right="73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 including our recent acquisition of the remaining interest in Karl Lagerfeld;</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nature of our business and effect of unseasonable or extreme weather on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adverse effects from disruptions to the worldwide supply chain;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 that our licensees may not generate expected sales or maintain the value of our brands;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current economic and credit environment on us, our customers, suppliers and vendors, including without limitation, the effects of inflationary cost pressures and higher interest rates;</w:t>
      </w:r>
    </w:p>
    <w:p>
      <w:pPr>
        <w:ind w:left="720" w:right="279" w:hanging="319"/>
        <w:spacing w:after="0" w:line="26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war, acts of terrorism, natural disasters or public health crises could adversely affect our business and results of operations, including the war in Ukraine;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720" w:right="59" w:hanging="319"/>
        <w:spacing w:after="0" w:line="25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global health crisis caused by the COVID-19 pandemic has had, and the current and uncertain future outlook of the outbreak will likely continue to have, adverse effects on our business, financial condition and results of operations;</w:t>
      </w:r>
    </w:p>
    <w:p>
      <w:pPr>
        <w:spacing w:after="0" w:line="2"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foreign manufacturers;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risks of expansion into foreign markets, conducting business internationally and exposures to foreign currencies;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adoption of a national security law in Hong Kong;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720" w:right="39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exposure to consumer privacy, cybersecurity and fraud concerns, including as a result of the remote working environment;</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adverse effects of data security or privacy breaches;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legislation or exposure to additional tax liabilities could impact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on corporate responsibility issues by stakeholders;</w:t>
      </w:r>
    </w:p>
    <w:p>
      <w:pPr>
        <w:spacing w:after="0" w:line="9" w:lineRule="exact"/>
        <w:rPr>
          <w:rFonts w:ascii="Arial" w:cs="Arial" w:eastAsia="Arial" w:hAnsi="Arial"/>
          <w:sz w:val="18"/>
          <w:szCs w:val="18"/>
          <w:color w:val="auto"/>
        </w:rPr>
      </w:pPr>
    </w:p>
    <w:p>
      <w:pPr>
        <w:ind w:left="720" w:right="23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720" w:right="29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 of our trademarks or other intangibles may require us to record charges against earnings as was the case in the fourth quarter of fiscal 2023; and</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our indebtedness.</w:t>
      </w:r>
    </w:p>
    <w:p>
      <w:pPr>
        <w:spacing w:after="0" w:line="21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2023. We undertake no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our global power brands: DKNY, Donna Karan, Karl Lagerfeld, Calvin Klein and Tommy Hilfiger. We are not only licensees, but also brand owners, and we distribute our products through multiple channels.</w:t>
      </w:r>
    </w:p>
    <w:p>
      <w:pPr>
        <w:spacing w:after="0" w:line="16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own proprietary brands include DKNY, Donna Karan, Karl Lagerfeld, Karl Lagerfeld Paris, Vilebrequin, G.H. Bass, Eliza J, Jessica Howard, Andrew Marc, Marc New York, Wilsons Leather and Sonia Rykiel. We sell products under an extensive portfolio of well-known licensed brands, including Calvin Klein, Tommy Hilfiger, Levi’s, Guess?, Kenneth Cole, Cole Haan, Vince Camuto, Dockers, Nautica and Halston.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products are sold through a cross section of leading retailers such as Macy’s, including its Bloomingdale’s division, Dillard’s, Hudson’s Bay Company, including its Saks Fifth Avenue division, Nordstrom, Kohl’s, TJX Companies, Ross Stores, Burlington and Costco. We also sell our products using digital channels through retail partners such as macys.com, nordstrom.com and dillards.com, each of which has a substantial online business. In addition, we sell to leading online retail partners such as Amazon, Fanatics, Zalando and Zappos.</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also distribute apparel and other products directly to consumers through our own DKNY, Karl Lagerfeld, Karl Lagerfeld Paris and Vilebrequin retail stores, as well as through our digital channels for the DKNY, Donna Karan, Karl Lagerfeld, Karl Lagerfeld Paris, Vilebrequin, G.H. Bass, Andrew Marc, Wilsons Leather and Sonia Rykiel businesses.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Repositioning and Expansion of Donna Karan</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acquired the DKNY and Donna Karan brands, two of the most iconic American fashion brands, in December 2016. We initially repositioned and relaunched DKNY and have successfully grown the brand to approximately $600.0 million in annual net sales. We are now focused on the repositioning and expansion of the Donna Karan brand for Spring 2024. The new Donna Karan will be a modern system of dressing created to appeal to a woman’s senses on every level, addressing the full lifestyle needs of a new customer. Our Donna Karan product is expected to be distributed in better department stores, digital channels and our own Donna Karan website in North America and internationally. Donna Karan is widely considered a top fashion brand and is recognized as one of the most famous designer names in American fashion. We believe that the strength of the Donna Karan brand, along with our success with the DKNY brand, demonstrates the potential for our new Donna Karan products.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 for Nautica Brand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March 2023, we entered into a long-term license with Authentic Brands Group for the Nautica brand in North America.</w:t>
      </w:r>
    </w:p>
    <w:p>
      <w:pPr>
        <w:spacing w:after="0" w:line="24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plan to produce products under the Nautica brand across a number of categories starting with a full women’s jeanswear collection and then expanding in a phased approach into additional categories including sportswear, suit separates and dresses. The new five-year license agreement, effective beginning in January 2024, includes three extensions, for five years each. First deliveries are expected to begin in January 2024. The product is expected to be distributed in better department stores, digital channels and Nautica’s stores and website in North America and franchised stores globally. We believe that significant opportunity exists in the better women’s apparel space in categories where we have strong expertise. The Nautica brand joins our portfolio of some of the largest American brands in the world.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 for Halston Brand</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May 2023, we entered into a global twenty-five year master license with Xcel Brands, Inc. to design and produce all categories of men’s and women’s product for the Halston brand.</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agreement provides for an initial term of five years, followed by a twenty-year period, as well as a purchase option at the end of the twenty-five year term. First deliveries of Halston product are expected to begin in the fall of 2024. The product will be distributed globally through better department stores and digital channels. We believe that significant opportunity exists in the better women’s apparel space where G-III has significant expertise. The Halston brand joins G-III’s portfolio of some of the largest American brands in the world.</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and Karl Lagerfeld businesses, other than sales of product under the Karl</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Lagerfeld Paris brand from our retail stores and digital outlets. Wholesale revenues also include royalty revenues from license agreements related to our owned trademarks including DKNY, Donna Karan, Karl Lagerfeld, Vilebrequin, Sonia Rykiel, G.H. Bass and Andrew Marc.</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retail operations segment consists primarily of direct sales to consumers through our company-operated stores and through digital channels. Our company-operated stores consist primarily of DKNY and Karl Lagerfeld Paris stores, as well as the digital channels for DKNY, Donna Karan, Karl Lagerfeld Paris, G.H. Bass, Andrew Marc and Wilsons Leather. Substantially all DKNY and Karl Lagerfeld Paris stores are operated as outlet stores.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Affecting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Industry Trends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w:t>
      </w:r>
    </w:p>
    <w:p>
      <w:pPr>
        <w:spacing w:after="0" w:line="16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sell our products online through retail partners such as macys.com, nordstrom.com and dillards.com, each of which has a substantial online business. As sales of apparel through digital channels continue to increase, we are developing additional digital marketing initiatives on both our web sites and third party web 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www.andrewmarc.com, www.wilsonsleather.com, www.soniarykiel.com, www.karllagerfeldparis.com and www.karl.com. In addition, we sell to leading online retail partners such as Amazon, Fanatics, Zalando and Zappos and have made minority investments in two e-commerce retailers.</w:t>
      </w:r>
    </w:p>
    <w:p>
      <w:pPr>
        <w:spacing w:after="0" w:line="16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recent purchase of the interests not owned by us that resulted in Karl Lagerfeld becoming our wholly-owned subsidiary,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Inflation and Interest Rates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Inflationary pressures have impacted the entire economy, including our industry. Recent historic high rates of inflation, including increased fuel and food prices, has led to a softening of consumer demand and increased promotional activity in our categories and may lead to further challenges to grow our sales. Ongoing inflation may also negatively impact our cost structure and labor costs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Federal Reserve raised interest rates multiple times in fiscal 2023, as well as thus far in fiscal 2024 in response to concerns about inflation and may continue to do so in the remainder of fiscal 2024. Higher interest rates increase the costs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fluctuation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consolidated operations are impacted by the relationships between our reporting currency, the U.S. Dollar, and those of our non-United States subsidiaries whose functional/local currency is other than the U.S. Dollar, primarily the Euro. Volatility in the global foreign currency exchange rates may have a negative impact on the reported results of certain of our non-United States subsidiaries in the future, when translated to the U.S. Dollar.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Supply Chain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our two previous fiscal years, there were numerous factors disrupting the shipping industry that negatively affected transit times from our overseas suppliers, as well as our ability to ensure that we were able to import our product in a manner that allows for timely delivery to our customers.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More recently, shipping costs and transit times have returned to comparable, and in some cases lower than, pre-pandemic levels. We continue to monitor the transportation market for circumstances that may cause delays and negatively impact our ability to deliver product to our retail partners in a timely manner.</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a result of supply chain disruptions, in fiscal 2023, we accelerated production schedules to allow for more lead time and to accommodate the anticipated extended transit times from our overseas suppliers in an effort to import our product in a manner that allows for timely delivery to our customers. As a result, our inventory levels were, and continue to be, higher than in the comparable period of prior years.</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Elevated inventory levels and disruptions in the shipping industry contributed to us incurring significant demurrage charges in fiscal 2023. We believe we have taken sufficient measures to ensure that we do not again incur these charges in our current fiscal year, including reducing product buys to account for current inventory levels, adjusting our production schedules and contracting with vendors to provide storage options domestically and overseas, if needed. We expect to have inventory levels that are higher than normal through the first half of fiscal 2024. As a result, we expect our warehouse operations may be less efficient and that we will continue to incur additional labor and storage costs related to our inventory in the first half of fiscal 2024. In the third and fourth quarters of fiscal 2024, we expect our inventory levels to be reduced to more normalized levels and our warehouse capacity to be sufficient for our needs which is expected to bring these costs in line with historical norms.</w:t>
      </w:r>
    </w:p>
    <w:p>
      <w:pPr>
        <w:spacing w:after="0" w:line="18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have secured new contracts with two of our long-term steamship carrier partners and are finalizing a third in an effort to mitigate our risk should rates increase. We are presently seeking to secure space needed for peak shipping periods through existing contracts and to leverage favorable spot market rates from secondary market providers.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Excess Inventory in the Marketplace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Higher marketplace inventories and a rapidly changing economic environment have caused retailers to rationalize their inventory levels. As a result, retailers have increased promotional activity to reduce their inventory. While we have planned for a certain amount of promotional activity, additional promotional activity in excess of what we have planned for could have an adverse effect on our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continued impact of the COVID-19 pandemic on our business operations remains uncertain and cannot be predicted. The extent to which COVID-19 impacts our results will depend on continued developments around the world in the public and private responses to the pandemic. New information may emerge concerning the severity of the outbreak and the</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spread of variants of the COVID-19 virus in locations that are important to our business. Actions taken to contain COVID-19 or treat its impact may change or become more restrictive if additional waves of infections occur. We continue to monitor the latest developments regarding the COVID-19 pandemic and have incorporated certain assumptions regarding the duration, severity and global macroeconomic impact of the pandemic into our financial outlook.</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 in Ukraine</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current war in Ukraine and the continued threat of terrorism, heightened security measures and military action in response to acts of terrorism or civil unrest has disrupted commerce and intensified concerns regarding the United States and world economies. Less than 1% of our revenue in fiscal 2023 was generated in Russia and Ukraine. However, the imposition of additional sanctions by the United States and/or foreign governments, as well as the sanctions already in place, could lead to restrictions related to sales and our supply chain for which the financial impact is uncertain. In addition, the war has also led to, and may lead to further, broader unfavorable macroeconomic implications, including unfavorable foreign exchange rates, increases in fuel prices, food shortages, a weakening of the European economy, lower consumer demand and volatility in financial markets. These implications of the war in Ukraine could have a material adverse effect on our business and our results of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April 30, 2023 compared to three months ended April 30, 2022</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sales for the three months ended April 30, 2023 decreased to $606.6 million from $688.8 million in the same period last year. Net sales of our segments are reported before intercompany eliminations.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sales of our wholesale operations segment decreased to $586.9 million for the three months ended April 30, 2023 from $680.9 million in the comparable period last year. This decrease is primarily the result of a decrease in net sales of Calvin Klein and Tommy Hilfiger licensed products and in net sales of our DKNY and Donna Karan products due to a moderation in consumer demand. This decrease was partially offset by the inclusion of the results of the Karl Lagerfeld business in the quarter which added $60.9 million in net sales to our wholesale operations segment for the three months ended April 30, 2023. The results of the Karl Lagerfeld business was not included in our results until May 31, 2022.</w:t>
      </w:r>
    </w:p>
    <w:p>
      <w:pPr>
        <w:spacing w:after="0" w:line="16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Net sales of our retail operations segment increased to $30.2 million for the three months ended April 30, 2023 from $27.9 million in the same period last year. The number of retail stores operated by us increased to 61 at April 30, 2023 from 60 at April 30, 2022. The increase in sales in our retail operations segment is primarily the result of increased sales of our Karl Lagerfeld Paris products associated with our conversion of DKNY stores to Karl Lagerfeld Paris stores.</w:t>
      </w:r>
    </w:p>
    <w:p>
      <w:pPr>
        <w:spacing w:after="0" w:line="15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Gross profit was $249.8 million, or 41.2% of net sales, for the three months ended April 30, 2023, compared to $246.0 million, or 35.7% of net sales, in the same period last year. The gross profit percentage in our wholesale operations segment was 39.9% in the three months ended April 30, 2023 compared to 34.1% in the same period last year. The addition of the results of KLH resulted in an increase of 2.2% in the gross profit percentage of our wholesale operations segment as this business operates with a higher gross profit percentage than our legacy wholesale operations segment. The gross profit percentage in the current year period was also positively impacted by slightly higher prices to our customers and lower freight costs compared to the same period last year. The gross profit percentage in our retail operations segment was 50.9% for the three months ended April 30, 2023 compared to 49.9% for the same period last year.</w:t>
      </w:r>
    </w:p>
    <w:p>
      <w:pPr>
        <w:spacing w:after="0" w:line="16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Selling, general and administrative expenses increased to $228.0 million in the three months ended April 30, 2023 from $185.4 million in the same period last year. The inclusion of the results of KLH for the three months ended April 30, 2023 represented $36.1 million of this increase. The remainder of the increase in expenses was due to an increase of $6.0 million in third-party warehouse and facility expenses primarily related to higher inventory levels. This increase was partially offset by reduced royalty advertising expenses which decreased due to lower net sales of licensed product.</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Depreciation and amortization was $6.6 million for the three months ended April 30, 2023 compared to $6.1 million in the same period last year. This increase primarily results from the inclusion of the results of KLH for the three month period which increased depreciation and amortization by $1.3 million, partially offset by lower depreciation and amortization as a result of a reduction in capital expenditures in recent years.</w:t>
      </w:r>
    </w:p>
    <w:p>
      <w:pPr>
        <w:sectPr>
          <w:pgSz w:w="11900" w:h="16838" w:orient="portrait"/>
          <w:cols w:equalWidth="0" w:num="1">
            <w:col w:w="9019"/>
          </w:cols>
          <w:pgMar w:left="1440" w:top="517" w:right="1440"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Other income was $1.0 million in the three months ended April 30, 2023 compared to other loss of $2.7 million for the same period last year. Other income in the current period consisted of $0.4 million of foreign currency income during the three months ended April 30, 2023 compared to $3.4 million of foreign currency losses during the same period last year.</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and financing charges, net, for the three months ended April 30, 2023 were $12.2 million compared to $12.2 million in the same period last year.</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Income tax expense was $0.9 million for the three months ended April 30, 2023 compared to $9.0 million for the same period last year. Our effective tax rate increased to 23.1% in the current year’s quarter from 22.7% in last year’s comparable quarter due to discrete items in the quarter. We anticipate that our annual effective tax rate will be approximately 28% for fiscal 2024.</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Availability</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payments to vendors in the normal course of business, capital expenditures, interest payments on debt obligations and income tax payments. During fiscal 2024, the principal amount of $125 million under the LVMH Note will become due and payable. A principal payment of $75 million was made on June 1, 2023 and the remaining principal of $50 million is due and payable on December 1, 2023. We have also used cash to repurchase our shares.</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April 30, 2023, we had cash and cash equivalents of $289.7 million and availability under our revolving credit facility of approximately $500 million. As of April 30, 2023, we were in compliance with all covenants under our senior secured notes and revolving credit facility.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were used (i) to repay the $300 million that was outstanding under our prior term loan facility due 2022 (the “Term Loan”), (ii) to pay related fees and expenses and (iii) for general corporate purposes.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connection with the issuance of the Notes and execution of the Indenture, we and the Guarantors entered into a pledge and security agreement (the “Pledge and Security Agreement”), among us, the Guarantors and the Collateral Agent.</w:t>
      </w:r>
    </w:p>
    <w:p>
      <w:pPr>
        <w:spacing w:after="0" w:line="12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Notes are also subject to the terms of the LVMH Note subordination agreement which governs the relative rights of the secured parties in respect of the LVMH Note, the ABL Facility and the Notes.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may redeem some or all of the Notes at any time and from time to time at the redemption prices set forth in the Indenture, plus accrued and unpaid interest, if any, to, but excluding, the applicable redemption date.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certain of our subsidiaries (the “Guarantors”), are Loan Guarantors under the ABL Credit Agreement.</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The ABL Credit Agreement extended the maturity date of this facility from December 2021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calculation of the interest rate under the ABL Credit Agreement has been revised as set forth in the next paragraph. 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commitments. As of April 30, 2023, interest under the ABL Credit Agreement was being paid at an average rate of 6.62% per annum.</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April 20, 2023, we amended the ABL Credit Agreement to replace LIBOR with Adjusted Term Secured Overnight Financing Rate (“SOFR”) as a successor rate. All other material terms and conditions of the ABL Credit Agreement were unchanged. Borrowings under the amended ABL Credit Agreement will bear interest, at the Borrower’s option, at the alternate base rate (defined as, for a given day, the greatest of (i) the “prime rate” in effect on such day, (ii) the NYFRB Rate (as defined in the amendment) in effect on such day plus 0.5% and (iii) the Adjusted Term SOFR (defined as an interest rate per annum equal to the Term SOFR for such interest period plus 0.10%) for a one-month interest period as published two business days prior to such day plus 1%) plus an applicable spread or the Adjusted Term SOFR Rate plus an applicable spread. We do not expect a material change to our interest expense or results of operations as a result of transitioning the reference rate used in our ABL Credit Agreement from LIBOR to SOFR.</w:t>
      </w:r>
    </w:p>
    <w:p>
      <w:pPr>
        <w:spacing w:after="0" w:line="18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 April 30, 2023, the Company was in compliance with these covenants.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April 30, 2023, we had no borrowings outstanding under the ABL Credit Agreement. The ABL Credit Agreement also includes amounts available for letters of credit. As of April 30, 2023, there were outstanding trade and standby letters of credit amounting to $7.8 million and $2.9 million, respectively.</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a total of $8.0 million of debt issuance costs related to our ABL Credit Agreement. As permitted under ASC 835, the debt issuance costs have been deferred and are presented as an asset which is amortized ratably over the term of the ABL Credit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was paid on June 1, 2023 and $50 million of such principal amount is due and payable on December 1, 2023. The LVMH Note is classified in current portion of notes payable in our consolidated balance sheet as of April 30, 2023.</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Based on an independent valuation, it was determined that the LVMH Note should be treated as having been issued at a discount of $40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discount is being amortized as interest expense using the effective interest method over the term of the LVMH Note.</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Several of our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amount of €0.6 million. Interest on the outstanding principal amount of the unsecured loans accrues at a fixed rate equal to 0% to 5.0% per annum, payable on either a quarterly or monthly basis. As of April 30, 2023, the Company had an aggregate outstanding balance of €10.3 million ($11.2 million) under these unsecured loans.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April 30, 2023, TRB had an aggregate €3.8 million ($4.1 million) drawn under these facilities.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Credit Facility</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KLH has a credit agreement with ABN AMRO Bank N.V. with a credit limit of €15.0 million which is secured by specified assets of KLH. Borrowings bear interest at the Euro Interbank Offered Rate (“EURIBOR”) plus a margin of 1.7%. As of April 30, 2023, KLH had €7.8 million ($8.5 million) of borrowings outstanding under this credit facility.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5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had no borrowings outstanding at April 30, 2023 and April 30, 2022, respectively. We had $400 million in borrowings outstanding under the Notes at April 30, 2023 and April 30, 2022, respectively. Our contingent liability under open letters of credit was approximately $10.7 million and $22.2 million at April 30, 2023 and 2022, respectively. In addition to the amounts outstanding under these two loan agreements, at April 30, 2023 and 2022, we had $125 million of face value principal amount outstanding under the LVMH Note. As of April 30, 2023 and 2022, we had an aggregate of €10.3 million ($11.2 million) and €7.1 million ($7.8 million) outstanding under the Company’s various unsecured loans. As of April 30, 2023 and 2022, we had €3.8 million ($4.1 million) and €2.8 million ($3.1 million) outstanding under the Company’s various overdraft facilities. As of April 30, 2023, we had €7.8 million ($8.5 million) outstanding under KLH’s foreign credit facility.</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March 2022, our Board of Directors authorized an increase in the number of shares covered by our share repurchase program to an aggregate amount of 10,000,000 shares. Pursuant to this program, during the three months ended April 30, 2023, we acquired 1,124,271 of our shares of common stock for an aggregate purchase price of $16.8 million.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April 30, 2023, we had 7,288,148 authorized shares remaining under this program. As of June 2, 2023, we had approximately 45,593,524 shares of common stock outstanding.</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generated $201.8 million in cash from operating activities during the three months ended April 30, 2023, primarily as a result of our net income of $3.2 million and decreases of $180.4 million in accounts receivable and $79.0 million in inventories. We also generated cash from operating activities as a result of non-cash charges relating primarily to depreciation and amortization of $6.6 million and share-based compensation of $3.8 million. These items were offset,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part, by decreases of $46.7 million in accounts payable and accrued expenses and $20.4 million in customer refund liabilities.</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changes in operating cash flow items are consistent with our seasonal pattern. Our accounts receivable, inventory and customer refund liabilities decreased because we experience lower sales levels in our first and second quarters than in our third and fourth quarters. The decrease in accounts payable and accrued expenses is primarily attributable to vendor payments related to inventory purchases and the payment of year-end bonuses in our first fiscal quarter.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used $8.6 million of cash in investing activities during the three months ended April 30, 2023. We had $5.0 million in capital expenditures primarily related to infrastructure and information technology expenditures and additional fixturing costs at department stores. In addition, we used $3.6 million for an investment in the equity of a private company.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used by financing activities was $95.8 million during three months ended April 30, 2023 primarily as a result of repayments of borrowings of $85.4 million under our ABL Credit Agreement, partially offset by borrowings of $5.3 million under that Agreement. In addition, we used $16.8 million of cash to repurchase 1,124,271 shares of our common stock under our share repurchase program.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accounting policies and related estimates described in our Annual Report on Form 10-K for the year ended January 31, 2023 are those that depend most heavily on these judgments and estimates. As of April 30, 2023, there have been no material changes to our critical accounting policies.</w:t>
      </w:r>
    </w:p>
    <w:p>
      <w:pPr>
        <w:spacing w:after="0" w:line="18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10-K for the year ended January 31, 2023.</w:t>
      </w:r>
    </w:p>
    <w:p>
      <w:pPr>
        <w:spacing w:after="0" w:line="16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There were no changes in our internal controls over financial reporting during the period covered by the Quarterly Report that have materially affected, or are reasonably likely to materially affect, these internal controls.</w:t>
      </w:r>
    </w:p>
    <w:p>
      <w:pPr>
        <w:sectPr>
          <w:pgSz w:w="11900" w:h="16838" w:orient="portrait"/>
          <w:cols w:equalWidth="0" w:num="1">
            <w:col w:w="9019"/>
          </w:cols>
          <w:pgMar w:left="1440" w:top="517" w:right="1440"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May 31, 2022, we acquired KLH. See Note 6 – Karl Lagerfeld Acquisition in the accompanying Notes to our Condensed Consolidated Financial Statements in this Quarterly Report and Note 15 – Karl Lagerfeld Acquisition in the accompanying Notes to our Consolidated Financial Statements in our Annual Report on Form 10-K for the year ended January 31, 2023 for further information on our acquisition of KLH. We are currently in the process of integrating the internal controls and procedures of KLH into our internal control over financial reporting. As provided under the Sarbanes-Oxley Act of 2002 and the applicable rules and regulations of the SEC, we will include the internal controls and procedures of KLH in our annual assessment of the effectiveness of our internal control over financial reporting for our 2024 fiscal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contained in “Item 1A.-Risk Factors” in our Annual Report on Form 10-K for the year ended January 31, 2023 (the “Annual Report”), which could materially affect our business, financial condition and/or future results. As of April 30, 2023,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spacing w:after="0" w:line="19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table provides information with respect to the Company’s common stock that the Company repurchased during the three months ended April 30, 2023. Included in this table are shares withheld during April 2023 to satisfy tax withholding requirements in connection with stock awards.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4"/>
                <w:szCs w:val="14"/>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Share Purchased as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Average Price Paid Per</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8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Purchased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 Program</w:t>
            </w:r>
          </w:p>
        </w:tc>
        <w:tc>
          <w:tcPr>
            <w:tcW w:w="1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35"/>
        </w:trPr>
        <w:tc>
          <w:tcPr>
            <w:tcW w:w="2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right"/>
              <w:ind w:right="4"/>
              <w:spacing w:after="0" w:line="135" w:lineRule="exact"/>
              <w:rPr>
                <w:sz w:val="20"/>
                <w:szCs w:val="20"/>
                <w:color w:val="auto"/>
              </w:rPr>
            </w:pPr>
            <w:r>
              <w:rPr>
                <w:rFonts w:ascii="Arial" w:cs="Arial" w:eastAsia="Arial" w:hAnsi="Arial"/>
                <w:sz w:val="11"/>
                <w:szCs w:val="11"/>
                <w:b w:val="1"/>
                <w:bCs w:val="1"/>
                <w:color w:val="auto"/>
              </w:rPr>
              <w:t xml:space="preserve">Shares Purchased </w:t>
            </w:r>
            <w:r>
              <w:rPr>
                <w:rFonts w:ascii="Arial" w:cs="Arial" w:eastAsia="Arial" w:hAnsi="Arial"/>
                <w:sz w:val="15"/>
                <w:szCs w:val="15"/>
                <w:b w:val="1"/>
                <w:bCs w:val="1"/>
                <w:color w:val="auto"/>
                <w:vertAlign w:val="superscript"/>
              </w:rPr>
              <w:t>(1)</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right"/>
              <w:ind w:right="417"/>
              <w:spacing w:after="0" w:line="135" w:lineRule="exact"/>
              <w:rPr>
                <w:sz w:val="20"/>
                <w:szCs w:val="20"/>
                <w:color w:val="auto"/>
              </w:rPr>
            </w:pPr>
            <w:r>
              <w:rPr>
                <w:rFonts w:ascii="Arial" w:cs="Arial" w:eastAsia="Arial" w:hAnsi="Arial"/>
                <w:sz w:val="11"/>
                <w:szCs w:val="11"/>
                <w:b w:val="1"/>
                <w:bCs w:val="1"/>
                <w:color w:val="auto"/>
              </w:rPr>
              <w:t xml:space="preserve">Share </w:t>
            </w:r>
            <w:r>
              <w:rPr>
                <w:rFonts w:ascii="Arial" w:cs="Arial" w:eastAsia="Arial" w:hAnsi="Arial"/>
                <w:sz w:val="15"/>
                <w:szCs w:val="15"/>
                <w:b w:val="1"/>
                <w:bCs w:val="1"/>
                <w:color w:val="auto"/>
                <w:vertAlign w:val="superscript"/>
              </w:rPr>
              <w:t>(1)</w:t>
            </w:r>
          </w:p>
        </w:tc>
        <w:tc>
          <w:tcPr>
            <w:tcW w:w="1600" w:type="dxa"/>
            <w:vAlign w:val="bottom"/>
            <w:gridSpan w:val="2"/>
          </w:tcPr>
          <w:p>
            <w:pPr>
              <w:jc w:val="center"/>
              <w:ind w:left="102"/>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8"/>
              <w:spacing w:after="0" w:line="135" w:lineRule="exact"/>
              <w:rPr>
                <w:sz w:val="20"/>
                <w:szCs w:val="20"/>
                <w:color w:val="auto"/>
              </w:rPr>
            </w:pPr>
            <w:r>
              <w:rPr>
                <w:rFonts w:ascii="Arial" w:cs="Arial" w:eastAsia="Arial" w:hAnsi="Arial"/>
                <w:sz w:val="11"/>
                <w:szCs w:val="11"/>
                <w:b w:val="1"/>
                <w:bCs w:val="1"/>
                <w:color w:val="auto"/>
              </w:rPr>
              <w:t xml:space="preserve">Program </w:t>
            </w:r>
            <w:r>
              <w:rPr>
                <w:rFonts w:ascii="Arial" w:cs="Arial" w:eastAsia="Arial" w:hAnsi="Arial"/>
                <w:sz w:val="15"/>
                <w:szCs w:val="15"/>
                <w:b w:val="1"/>
                <w:bCs w:val="1"/>
                <w:color w:val="auto"/>
                <w:vertAlign w:val="superscript"/>
              </w:rPr>
              <w:t>(2)</w:t>
            </w:r>
          </w:p>
        </w:tc>
        <w:tc>
          <w:tcPr>
            <w:tcW w:w="0" w:type="dxa"/>
            <w:vAlign w:val="bottom"/>
          </w:tcPr>
          <w:p>
            <w:pPr>
              <w:spacing w:after="0"/>
              <w:rPr>
                <w:sz w:val="1"/>
                <w:szCs w:val="1"/>
                <w:color w:val="auto"/>
              </w:rPr>
            </w:pPr>
          </w:p>
        </w:tc>
      </w:tr>
      <w:tr>
        <w:trPr>
          <w:trHeight w:val="209"/>
        </w:trPr>
        <w:tc>
          <w:tcPr>
            <w:tcW w:w="2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1"/>
              </w:rPr>
              <w:t>February 1 - February 28, 2023</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8,412,419</w:t>
            </w:r>
          </w:p>
        </w:tc>
        <w:tc>
          <w:tcPr>
            <w:tcW w:w="0" w:type="dxa"/>
            <w:vAlign w:val="bottom"/>
          </w:tcPr>
          <w:p>
            <w:pPr>
              <w:spacing w:after="0"/>
              <w:rPr>
                <w:sz w:val="1"/>
                <w:szCs w:val="1"/>
                <w:color w:val="auto"/>
              </w:rPr>
            </w:pPr>
          </w:p>
        </w:tc>
      </w:tr>
      <w:tr>
        <w:trPr>
          <w:trHeight w:val="216"/>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March 1 - March 31, 2023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636,583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636,583</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7,775,836</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 April 30, 2023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489,021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487,688</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7,288,148</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1,125,604</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1,124,271</w:t>
            </w:r>
          </w:p>
        </w:tc>
        <w:tc>
          <w:tcPr>
            <w:tcW w:w="300" w:type="dxa"/>
            <w:vAlign w:val="bottom"/>
            <w:gridSpan w:val="2"/>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7,288,148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59" w:hanging="330"/>
        <w:spacing w:after="0" w:line="227" w:lineRule="auto"/>
        <w:tabs>
          <w:tab w:leader="none" w:pos="38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Included in this table are 1,333 shares withheld during April 2023 in connection with the settlement of vested restricted stock units to satisfy tax withholding requirements. Our 2015 Long-Term Incentive Plan provides that shares withheld are valued at the closing price per share on the date withheld.</w:t>
      </w:r>
    </w:p>
    <w:p>
      <w:pPr>
        <w:spacing w:after="0" w:line="2" w:lineRule="exact"/>
        <w:rPr>
          <w:rFonts w:ascii="Arial" w:cs="Arial" w:eastAsia="Arial" w:hAnsi="Arial"/>
          <w:sz w:val="24"/>
          <w:szCs w:val="24"/>
          <w:color w:val="auto"/>
          <w:vertAlign w:val="superscript"/>
        </w:rPr>
      </w:pPr>
    </w:p>
    <w:p>
      <w:pPr>
        <w:jc w:val="both"/>
        <w:ind w:left="380" w:right="59" w:hanging="330"/>
        <w:spacing w:after="0" w:line="234" w:lineRule="auto"/>
        <w:tabs>
          <w:tab w:leader="none" w:pos="38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In March 2022, our Board of Directors reapproved a previously authorized share repurchase program and increased the number of shares remaining under that program from 2,293,149 to 10,000,000 shares. This program has no expiration date. Repurchases under the program may be made from time to time through open market purchases, accelerated share repurchase programs, privately negotiated transactions or other methods, as we deem appropriate.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100" w:type="dxa"/>
            <w:vAlign w:val="bottom"/>
            <w:gridSpan w:val="8"/>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8100" w:type="dxa"/>
            <w:vAlign w:val="bottom"/>
            <w:gridSpan w:val="8"/>
          </w:tcPr>
          <w:p>
            <w:pPr>
              <w:spacing w:after="0"/>
              <w:rPr>
                <w:sz w:val="20"/>
                <w:szCs w:val="20"/>
                <w:color w:val="auto"/>
              </w:rPr>
            </w:pPr>
            <w:r>
              <w:rPr>
                <w:rFonts w:ascii="Arial" w:cs="Arial" w:eastAsia="Arial" w:hAnsi="Arial"/>
                <w:sz w:val="18"/>
                <w:szCs w:val="18"/>
                <w:color w:val="auto"/>
                <w:w w:val="92"/>
              </w:rPr>
              <w:t>Certificate of Incorporation (incorporated by reference to Exhibit 3.1 to the Company’s Form 8-K, dated July 2,</w:t>
            </w:r>
          </w:p>
        </w:tc>
      </w:tr>
      <w:tr>
        <w:trPr>
          <w:trHeight w:val="216"/>
        </w:trPr>
        <w:tc>
          <w:tcPr>
            <w:tcW w:w="8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2008).</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3.1(a)</w:t>
            </w:r>
          </w:p>
        </w:tc>
        <w:tc>
          <w:tcPr>
            <w:tcW w:w="8100" w:type="dxa"/>
            <w:vAlign w:val="bottom"/>
            <w:tcBorders>
              <w:bottom w:val="single" w:sz="8" w:color="0000EE"/>
            </w:tcBorders>
            <w:gridSpan w:val="8"/>
          </w:tcPr>
          <w:p>
            <w:pPr>
              <w:spacing w:after="0" w:line="190" w:lineRule="exact"/>
              <w:rPr>
                <w:rFonts w:ascii="Arial" w:cs="Arial" w:eastAsia="Arial" w:hAnsi="Arial"/>
                <w:sz w:val="18"/>
                <w:szCs w:val="18"/>
                <w:color w:val="0000EE"/>
                <w:w w:val="96"/>
              </w:rPr>
            </w:pPr>
            <w:hyperlink r:id="rId55">
              <w:r>
                <w:rPr>
                  <w:rFonts w:ascii="Arial" w:cs="Arial" w:eastAsia="Arial" w:hAnsi="Arial"/>
                  <w:sz w:val="18"/>
                  <w:szCs w:val="18"/>
                  <w:color w:val="0000EE"/>
                  <w:w w:val="96"/>
                </w:rPr>
                <w:t>Certificate of Amendment of Certificate of Incorporation, dated June 8, 2006 (incorporated by reference to</w:t>
              </w:r>
            </w:hyperlink>
          </w:p>
        </w:tc>
      </w:tr>
      <w:tr>
        <w:trPr>
          <w:trHeight w:val="196"/>
        </w:trPr>
        <w:tc>
          <w:tcPr>
            <w:tcW w:w="800" w:type="dxa"/>
            <w:vAlign w:val="bottom"/>
          </w:tcPr>
          <w:p>
            <w:pPr>
              <w:spacing w:after="0"/>
              <w:rPr>
                <w:sz w:val="17"/>
                <w:szCs w:val="17"/>
                <w:color w:val="auto"/>
              </w:rPr>
            </w:pPr>
          </w:p>
        </w:tc>
        <w:tc>
          <w:tcPr>
            <w:tcW w:w="5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Exhibit 3.1 to the Company’s Form 10-Q, dated September 13, 2006).</w:t>
              </w:r>
            </w:hyperlink>
          </w:p>
        </w:tc>
        <w:tc>
          <w:tcPr>
            <w:tcW w:w="3060" w:type="dxa"/>
            <w:vAlign w:val="bottom"/>
            <w:gridSpan w:val="4"/>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3.1(b)</w:t>
            </w: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56">
              <w:r>
                <w:rPr>
                  <w:rFonts w:ascii="Arial" w:cs="Arial" w:eastAsia="Arial" w:hAnsi="Arial"/>
                  <w:sz w:val="18"/>
                  <w:szCs w:val="18"/>
                  <w:color w:val="0000EE"/>
                  <w:w w:val="96"/>
                </w:rPr>
                <w:t>Certificate of Amendment of Certificate of Incorporation, dated June 7, 2011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Exhibit 3.1 to the Company’s Form 8-K, dated June 9, 2011).</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3.1(c)</w:t>
            </w: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57">
              <w:r>
                <w:rPr>
                  <w:rFonts w:ascii="Arial" w:cs="Arial" w:eastAsia="Arial" w:hAnsi="Arial"/>
                  <w:sz w:val="18"/>
                  <w:szCs w:val="18"/>
                  <w:color w:val="0000EE"/>
                  <w:w w:val="95"/>
                </w:rPr>
                <w:t>Certificate of Amendment of Certificate of Incorporation, dated June 30, 2015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Exhibit 3.1 to the Company’s Form 8-K, dated July 1, 2015).</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58">
              <w:r>
                <w:rPr>
                  <w:rFonts w:ascii="Arial" w:cs="Arial" w:eastAsia="Arial" w:hAnsi="Arial"/>
                  <w:sz w:val="18"/>
                  <w:szCs w:val="18"/>
                  <w:color w:val="0000EE"/>
                  <w:w w:val="95"/>
                </w:rPr>
                <w:t>By-Laws, as amended, of G-III (incorporated by reference to Exhibit 3.1 to the Company’s Form 8-K, dated</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March 15, 2013).</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59">
              <w:r>
                <w:rPr>
                  <w:rFonts w:ascii="Arial" w:cs="Arial" w:eastAsia="Arial" w:hAnsi="Arial"/>
                  <w:sz w:val="18"/>
                  <w:szCs w:val="18"/>
                  <w:color w:val="0000EE"/>
                  <w:w w:val="96"/>
                </w:rPr>
                <w:t>Form of Performance Share Unit Agreement for April 27, 2023 PSU awards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Exhibit 10.1 to the Company’s Form 8-K, dated May 1, 2023).</w:t>
              </w:r>
            </w:hyperlink>
          </w:p>
        </w:tc>
      </w:tr>
      <w:tr>
        <w:trPr>
          <w:trHeight w:val="20"/>
        </w:trPr>
        <w:tc>
          <w:tcPr>
            <w:tcW w:w="80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60">
              <w:r>
                <w:rPr>
                  <w:rFonts w:ascii="Arial" w:cs="Arial" w:eastAsia="Arial" w:hAnsi="Arial"/>
                  <w:sz w:val="18"/>
                  <w:szCs w:val="18"/>
                  <w:color w:val="0000EE"/>
                  <w:w w:val="96"/>
                </w:rPr>
                <w:t>Amendment No. 1, dated as of April 20, 2023, entered into among G-III Leather Fashions, Inc., JPMorgan</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Chase Bank, N.A. as administrative agent and as collateral agent and the other Lenders party thereto</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(incorporated by reference to Exhibit 10.1 to the Company’s Form 8-K, dated April 26, 2023).</w:t>
              </w:r>
            </w:hyperlink>
          </w:p>
        </w:tc>
      </w:tr>
      <w:tr>
        <w:trPr>
          <w:trHeight w:val="20"/>
        </w:trPr>
        <w:tc>
          <w:tcPr>
            <w:tcW w:w="800" w:type="dxa"/>
            <w:vAlign w:val="bottom"/>
          </w:tcPr>
          <w:p>
            <w:pPr>
              <w:spacing w:after="0" w:line="20" w:lineRule="exact"/>
              <w:rPr>
                <w:sz w:val="1"/>
                <w:szCs w:val="1"/>
                <w:color w:val="auto"/>
              </w:rPr>
            </w:pPr>
          </w:p>
        </w:tc>
        <w:tc>
          <w:tcPr>
            <w:tcW w:w="642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1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Certification by Morris Goldfarb, Chief Executive Officer of G-III Apparel Group, Ltd., pursuant to Rule 13a -</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64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Group, Ltd.’s Quarterly Report on Form 10-Q for the fiscal quarter ended April 30, 2023.</w:t>
            </w:r>
          </w:p>
        </w:tc>
        <w:tc>
          <w:tcPr>
            <w:tcW w:w="1680" w:type="dxa"/>
            <w:vAlign w:val="bottom"/>
            <w:gridSpan w:val="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1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3"/>
              </w:rPr>
              <w:t>Certification by Neal S. Nackman, Chief Financial Officer of G-III Apparel Group, Ltd., pursuant to Rule 13a -</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64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Group, Ltd.’s Quarterly Report on Form 10-Q for the fiscal quarter ended April 30, 2023.</w:t>
            </w:r>
          </w:p>
        </w:tc>
        <w:tc>
          <w:tcPr>
            <w:tcW w:w="1680" w:type="dxa"/>
            <w:vAlign w:val="bottom"/>
            <w:gridSpan w:val="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1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5"/>
              </w:rPr>
              <w:t>Certification by Morris Goldfarb, Chief Executive Officer of G-III Apparel Group, Ltd., pursuant to 18 U.S.C.</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sz w:val="20"/>
                <w:szCs w:val="20"/>
                <w:color w:val="auto"/>
              </w:rPr>
            </w:pPr>
            <w:r>
              <w:rPr>
                <w:rFonts w:ascii="Arial" w:cs="Arial" w:eastAsia="Arial" w:hAnsi="Arial"/>
                <w:sz w:val="18"/>
                <w:szCs w:val="18"/>
                <w:color w:val="0000EE"/>
              </w:rPr>
              <w:t>Apparel Group, Ltd.’s Quarterly Report on Form 10-Q for the fiscal quarter ended April 30, 2023.</w:t>
            </w:r>
          </w:p>
        </w:tc>
      </w:tr>
      <w:tr>
        <w:trPr>
          <w:trHeight w:val="20"/>
        </w:trPr>
        <w:tc>
          <w:tcPr>
            <w:tcW w:w="800" w:type="dxa"/>
            <w:vAlign w:val="bottom"/>
          </w:tcPr>
          <w:p>
            <w:pPr>
              <w:spacing w:after="0" w:line="20" w:lineRule="exact"/>
              <w:rPr>
                <w:sz w:val="1"/>
                <w:szCs w:val="1"/>
                <w:color w:val="auto"/>
              </w:rPr>
            </w:pPr>
          </w:p>
        </w:tc>
        <w:tc>
          <w:tcPr>
            <w:tcW w:w="7040" w:type="dxa"/>
            <w:vAlign w:val="bottom"/>
            <w:gridSpan w:val="7"/>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1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Certification by Neal S. Nackman, Chief Financial Officer of G-III Apparel Group, Ltd., pursuant to 18 U.S.C.</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sz w:val="20"/>
                <w:szCs w:val="20"/>
                <w:color w:val="auto"/>
              </w:rPr>
            </w:pPr>
            <w:r>
              <w:rPr>
                <w:rFonts w:ascii="Arial" w:cs="Arial" w:eastAsia="Arial" w:hAnsi="Arial"/>
                <w:sz w:val="18"/>
                <w:szCs w:val="18"/>
                <w:color w:val="0000EE"/>
              </w:rPr>
              <w:t>Apparel Group, Ltd.’s Quarterly Report on Form 10-Q for the fiscal quarter ended April 30, 2023.</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70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iXBRL Instance Document.</w:t>
            </w:r>
          </w:p>
        </w:tc>
        <w:tc>
          <w:tcPr>
            <w:tcW w:w="1060" w:type="dxa"/>
            <w:vAlign w:val="bottom"/>
          </w:tcPr>
          <w:p>
            <w:pPr>
              <w:spacing w:after="0"/>
              <w:rPr>
                <w:sz w:val="19"/>
                <w:szCs w:val="19"/>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Schema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Label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Presentation Linkbase Document.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810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jc w:val="both"/>
        <w:ind w:left="60" w:right="239" w:hanging="10"/>
        <w:spacing w:after="0" w:line="255" w:lineRule="auto"/>
        <w:tabs>
          <w:tab w:leader="none" w:pos="1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spacing w:after="0" w:line="2"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Indicates a management contract.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6060" w:type="dxa"/>
            <w:vAlign w:val="bottom"/>
            <w:gridSpan w:val="2"/>
          </w:tcPr>
          <w:p>
            <w:pPr>
              <w:ind w:left="1600"/>
              <w:spacing w:after="0"/>
              <w:rPr>
                <w:sz w:val="20"/>
                <w:szCs w:val="20"/>
                <w:color w:val="auto"/>
              </w:rPr>
            </w:pPr>
            <w:r>
              <w:rPr>
                <w:rFonts w:ascii="Arial" w:cs="Arial" w:eastAsia="Arial" w:hAnsi="Arial"/>
                <w:sz w:val="18"/>
                <w:szCs w:val="18"/>
                <w:color w:val="auto"/>
              </w:rPr>
              <w:t>G-III APPAREL GROUP, LTD.</w:t>
            </w:r>
          </w:p>
        </w:tc>
      </w:tr>
      <w:tr>
        <w:trPr>
          <w:trHeight w:val="230"/>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432"/>
        </w:trPr>
        <w:tc>
          <w:tcPr>
            <w:tcW w:w="2860" w:type="dxa"/>
            <w:vAlign w:val="bottom"/>
          </w:tcPr>
          <w:p>
            <w:pPr>
              <w:ind w:left="20"/>
              <w:spacing w:after="0"/>
              <w:rPr>
                <w:sz w:val="20"/>
                <w:szCs w:val="20"/>
                <w:color w:val="auto"/>
              </w:rPr>
            </w:pPr>
            <w:r>
              <w:rPr>
                <w:rFonts w:ascii="Arial" w:cs="Arial" w:eastAsia="Arial" w:hAnsi="Arial"/>
                <w:sz w:val="18"/>
                <w:szCs w:val="18"/>
                <w:color w:val="auto"/>
              </w:rPr>
              <w:t>Date: June 6, 2023</w:t>
            </w:r>
          </w:p>
        </w:tc>
        <w:tc>
          <w:tcPr>
            <w:tcW w:w="6060" w:type="dxa"/>
            <w:vAlign w:val="bottom"/>
            <w:gridSpan w:val="2"/>
          </w:tcPr>
          <w:p>
            <w:pPr>
              <w:ind w:left="1600"/>
              <w:spacing w:after="0"/>
              <w:rPr>
                <w:sz w:val="20"/>
                <w:szCs w:val="20"/>
                <w:color w:val="auto"/>
              </w:rPr>
            </w:pPr>
            <w:r>
              <w:rPr>
                <w:rFonts w:ascii="Arial" w:cs="Arial" w:eastAsia="Arial" w:hAnsi="Arial"/>
                <w:sz w:val="18"/>
                <w:szCs w:val="18"/>
                <w:color w:val="auto"/>
              </w:rPr>
              <w:t>By: /s/ Morris Goldfarb</w:t>
            </w:r>
          </w:p>
        </w:tc>
      </w:tr>
      <w:tr>
        <w:trPr>
          <w:trHeight w:val="195"/>
        </w:trPr>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2860" w:type="dxa"/>
            <w:vAlign w:val="bottom"/>
          </w:tcPr>
          <w:p>
            <w:pPr>
              <w:ind w:left="20"/>
              <w:spacing w:after="0"/>
              <w:rPr>
                <w:sz w:val="20"/>
                <w:szCs w:val="20"/>
                <w:color w:val="auto"/>
              </w:rPr>
            </w:pPr>
            <w:r>
              <w:rPr>
                <w:rFonts w:ascii="Arial" w:cs="Arial" w:eastAsia="Arial" w:hAnsi="Arial"/>
                <w:sz w:val="18"/>
                <w:szCs w:val="18"/>
                <w:color w:val="auto"/>
              </w:rPr>
              <w:t>Date: June 6, 2023</w:t>
            </w:r>
          </w:p>
        </w:tc>
        <w:tc>
          <w:tcPr>
            <w:tcW w:w="6060" w:type="dxa"/>
            <w:vAlign w:val="bottom"/>
            <w:gridSpan w:val="2"/>
          </w:tcPr>
          <w:p>
            <w:pPr>
              <w:ind w:left="1600"/>
              <w:spacing w:after="0"/>
              <w:rPr>
                <w:sz w:val="20"/>
                <w:szCs w:val="20"/>
                <w:color w:val="auto"/>
              </w:rPr>
            </w:pPr>
            <w:r>
              <w:rPr>
                <w:rFonts w:ascii="Arial" w:cs="Arial" w:eastAsia="Arial" w:hAnsi="Arial"/>
                <w:sz w:val="18"/>
                <w:szCs w:val="18"/>
                <w:color w:val="auto"/>
              </w:rPr>
              <w:t>By: /s/ Neal S. Nackman</w:t>
            </w:r>
          </w:p>
        </w:tc>
      </w:tr>
      <w:tr>
        <w:trPr>
          <w:trHeight w:val="195"/>
        </w:trPr>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2860" w:type="dxa"/>
            <w:vAlign w:val="bottom"/>
          </w:tcPr>
          <w:p>
            <w:pPr>
              <w:spacing w:after="0"/>
              <w:rPr>
                <w:sz w:val="24"/>
                <w:szCs w:val="24"/>
                <w:color w:val="auto"/>
              </w:rPr>
            </w:pPr>
          </w:p>
        </w:tc>
        <w:tc>
          <w:tcPr>
            <w:tcW w:w="194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412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8020"/>
        <w:spacing w:after="0"/>
        <w:rPr>
          <w:sz w:val="20"/>
          <w:szCs w:val="20"/>
          <w:color w:val="auto"/>
        </w:rPr>
      </w:pPr>
      <w:r>
        <w:rPr>
          <w:rFonts w:ascii="Arial" w:cs="Arial" w:eastAsia="Arial" w:hAnsi="Arial"/>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Morris Goldfarb, certify that:</w:t>
      </w:r>
    </w:p>
    <w:p>
      <w:pPr>
        <w:spacing w:after="0" w:line="171" w:lineRule="exact"/>
        <w:rPr>
          <w:sz w:val="20"/>
          <w:szCs w:val="20"/>
          <w:color w:val="auto"/>
        </w:rPr>
      </w:pPr>
    </w:p>
    <w:p>
      <w:pPr>
        <w:ind w:left="700"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71" w:lineRule="exact"/>
        <w:rPr>
          <w:rFonts w:ascii="Arial" w:cs="Arial" w:eastAsia="Arial" w:hAnsi="Arial"/>
          <w:sz w:val="18"/>
          <w:szCs w:val="18"/>
          <w:color w:val="auto"/>
        </w:rPr>
      </w:pPr>
    </w:p>
    <w:p>
      <w:pPr>
        <w:jc w:val="both"/>
        <w:ind w:left="700" w:right="59"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jc w:val="both"/>
        <w:ind w:left="700" w:right="59"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8"/>
          <w:szCs w:val="18"/>
          <w:color w:val="auto"/>
        </w:rPr>
      </w:pPr>
    </w:p>
    <w:p>
      <w:pPr>
        <w:jc w:val="both"/>
        <w:ind w:left="700" w:right="59" w:hanging="326"/>
        <w:spacing w:after="0" w:line="294"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3" w:lineRule="exact"/>
        <w:rPr>
          <w:rFonts w:ascii="Arial" w:cs="Arial" w:eastAsia="Arial" w:hAnsi="Arial"/>
          <w:sz w:val="16"/>
          <w:szCs w:val="16"/>
          <w:color w:val="auto"/>
        </w:rPr>
      </w:pPr>
    </w:p>
    <w:p>
      <w:pPr>
        <w:jc w:val="both"/>
        <w:ind w:left="1020" w:right="59" w:hanging="322"/>
        <w:spacing w:after="0" w:line="238"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jc w:val="both"/>
        <w:ind w:left="1020" w:right="59" w:hanging="322"/>
        <w:spacing w:after="0" w:line="238"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8"/>
          <w:szCs w:val="18"/>
          <w:color w:val="auto"/>
        </w:rPr>
      </w:pPr>
    </w:p>
    <w:p>
      <w:pPr>
        <w:jc w:val="both"/>
        <w:ind w:left="1020" w:right="59" w:hanging="322"/>
        <w:spacing w:after="0" w:line="248"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8"/>
          <w:szCs w:val="18"/>
          <w:color w:val="auto"/>
        </w:rPr>
      </w:pPr>
    </w:p>
    <w:p>
      <w:pPr>
        <w:jc w:val="both"/>
        <w:ind w:left="1020" w:right="59" w:hanging="322"/>
        <w:spacing w:after="0" w:line="238"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0" w:lineRule="exact"/>
        <w:rPr>
          <w:rFonts w:ascii="Arial" w:cs="Arial" w:eastAsia="Arial" w:hAnsi="Arial"/>
          <w:sz w:val="18"/>
          <w:szCs w:val="18"/>
          <w:color w:val="auto"/>
        </w:rPr>
      </w:pPr>
    </w:p>
    <w:p>
      <w:pPr>
        <w:jc w:val="both"/>
        <w:ind w:left="700" w:right="59"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8"/>
          <w:szCs w:val="18"/>
          <w:color w:val="auto"/>
        </w:rPr>
      </w:pPr>
    </w:p>
    <w:p>
      <w:pPr>
        <w:jc w:val="both"/>
        <w:ind w:left="1020" w:right="59" w:hanging="322"/>
        <w:spacing w:after="0"/>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020" w:right="59" w:hanging="322"/>
        <w:spacing w:after="0" w:line="261"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6, 2023</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34" w:name="page35"/>
    <w:bookmarkEnd w:id="34"/>
    <w:p>
      <w:pPr>
        <w:ind w:left="8020"/>
        <w:spacing w:after="0"/>
        <w:rPr>
          <w:sz w:val="20"/>
          <w:szCs w:val="20"/>
          <w:color w:val="auto"/>
        </w:rPr>
      </w:pPr>
      <w:r>
        <w:rPr>
          <w:rFonts w:ascii="Arial" w:cs="Arial" w:eastAsia="Arial" w:hAnsi="Arial"/>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Neal S. Nackman, certify that:</w:t>
      </w:r>
    </w:p>
    <w:p>
      <w:pPr>
        <w:spacing w:after="0" w:line="171" w:lineRule="exact"/>
        <w:rPr>
          <w:sz w:val="20"/>
          <w:szCs w:val="20"/>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71" w:lineRule="exact"/>
        <w:rPr>
          <w:rFonts w:ascii="Arial" w:cs="Arial" w:eastAsia="Arial" w:hAnsi="Arial"/>
          <w:sz w:val="18"/>
          <w:szCs w:val="18"/>
          <w:color w:val="auto"/>
        </w:rPr>
      </w:pPr>
    </w:p>
    <w:p>
      <w:pPr>
        <w:jc w:val="both"/>
        <w:ind w:left="700" w:right="59"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jc w:val="both"/>
        <w:ind w:left="700" w:right="59"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8"/>
          <w:szCs w:val="18"/>
          <w:color w:val="auto"/>
        </w:rPr>
      </w:pPr>
    </w:p>
    <w:p>
      <w:pPr>
        <w:jc w:val="both"/>
        <w:ind w:left="700" w:right="59" w:hanging="326"/>
        <w:spacing w:after="0" w:line="294"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3" w:lineRule="exact"/>
        <w:rPr>
          <w:rFonts w:ascii="Arial" w:cs="Arial" w:eastAsia="Arial" w:hAnsi="Arial"/>
          <w:sz w:val="16"/>
          <w:szCs w:val="16"/>
          <w:color w:val="auto"/>
        </w:rPr>
      </w:pPr>
    </w:p>
    <w:p>
      <w:pPr>
        <w:jc w:val="both"/>
        <w:ind w:left="1020" w:right="59" w:hanging="322"/>
        <w:spacing w:after="0" w:line="23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jc w:val="both"/>
        <w:ind w:left="1020" w:right="59" w:hanging="322"/>
        <w:spacing w:after="0" w:line="23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8"/>
          <w:szCs w:val="18"/>
          <w:color w:val="auto"/>
        </w:rPr>
      </w:pPr>
    </w:p>
    <w:p>
      <w:pPr>
        <w:jc w:val="both"/>
        <w:ind w:left="1020" w:right="59" w:hanging="322"/>
        <w:spacing w:after="0" w:line="24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8"/>
          <w:szCs w:val="18"/>
          <w:color w:val="auto"/>
        </w:rPr>
      </w:pPr>
    </w:p>
    <w:p>
      <w:pPr>
        <w:jc w:val="both"/>
        <w:ind w:left="1020" w:right="59" w:hanging="322"/>
        <w:spacing w:after="0" w:line="23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0" w:lineRule="exact"/>
        <w:rPr>
          <w:rFonts w:ascii="Arial" w:cs="Arial" w:eastAsia="Arial" w:hAnsi="Arial"/>
          <w:sz w:val="18"/>
          <w:szCs w:val="18"/>
          <w:color w:val="auto"/>
        </w:rPr>
      </w:pPr>
    </w:p>
    <w:p>
      <w:pPr>
        <w:jc w:val="both"/>
        <w:ind w:left="700" w:right="59"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8"/>
          <w:szCs w:val="18"/>
          <w:color w:val="auto"/>
        </w:rPr>
      </w:pPr>
    </w:p>
    <w:p>
      <w:pPr>
        <w:jc w:val="both"/>
        <w:ind w:left="1020" w:right="59" w:hanging="322"/>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020" w:right="59" w:hanging="322"/>
        <w:spacing w:after="0" w:line="26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6, 2023</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35" w:name="page36"/>
    <w:bookmarkEnd w:id="35"/>
    <w:p>
      <w:pPr>
        <w:ind w:left="8020"/>
        <w:spacing w:after="0"/>
        <w:rPr>
          <w:sz w:val="20"/>
          <w:szCs w:val="20"/>
          <w:color w:val="auto"/>
        </w:rPr>
      </w:pPr>
      <w:r>
        <w:rPr>
          <w:rFonts w:ascii="Arial" w:cs="Arial" w:eastAsia="Arial" w:hAnsi="Arial"/>
          <w:sz w:val="16"/>
          <w:szCs w:val="16"/>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April 30, 2023,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6, 2023</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36" w:name="page37"/>
    <w:bookmarkEnd w:id="36"/>
    <w:p>
      <w:pPr>
        <w:ind w:left="8020"/>
        <w:spacing w:after="0"/>
        <w:rPr>
          <w:sz w:val="20"/>
          <w:szCs w:val="20"/>
          <w:color w:val="auto"/>
        </w:rPr>
      </w:pPr>
      <w:r>
        <w:rPr>
          <w:rFonts w:ascii="Arial" w:cs="Arial" w:eastAsia="Arial" w:hAnsi="Arial"/>
          <w:sz w:val="16"/>
          <w:szCs w:val="16"/>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April 30, 2023,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6, 2023</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6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55" Type="http://schemas.openxmlformats.org/officeDocument/2006/relationships/hyperlink" Target="https://www.sec.gov/Archives/edgar/data/821002/000095013606007680/file2.htm" TargetMode="External"/><Relationship Id="rId56" Type="http://schemas.openxmlformats.org/officeDocument/2006/relationships/hyperlink" Target="https://www.sec.gov/Archives/edgar/data/821002/000095012311057737/y04932exv3w1.htm" TargetMode="External"/><Relationship Id="rId57" Type="http://schemas.openxmlformats.org/officeDocument/2006/relationships/hyperlink" Target="https://www.sec.gov/Archives/edgar/data/821002/000157104915005420/t1501536_ex3-1.htm" TargetMode="External"/><Relationship Id="rId58" Type="http://schemas.openxmlformats.org/officeDocument/2006/relationships/hyperlink" Target="https://www.sec.gov/Archives/edgar/data/821002/000119312513107874/d503217dex31.htm" TargetMode="External"/><Relationship Id="rId59" Type="http://schemas.openxmlformats.org/officeDocument/2006/relationships/hyperlink" Target="https://www.sec.gov/Archives/edgar/data/821002/000155837023007484/giii-20230427xex10d1.htm" TargetMode="External"/><Relationship Id="rId60" Type="http://schemas.openxmlformats.org/officeDocument/2006/relationships/hyperlink" Target="https://www.sec.gov/Archives/edgar/data/821002/000155837023006892/giii-2023042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2023-06-06T15:14:22Z</dcterms:created>
  <dcterms:modified xsi:type="dcterms:W3CDTF">2023-06-06T15:14:22Z</dcterms:modified>
</cp:coreProperties>
</file>