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246380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90"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10-Q</w:t>
      </w:r>
    </w:p>
    <w:p>
      <w:pPr>
        <w:spacing w:after="0" w:line="13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(Mark One)</w:t>
      </w:r>
    </w:p>
    <w:p>
      <w:pPr>
        <w:spacing w:after="0" w:line="32" w:lineRule="exact"/>
        <w:rPr>
          <w:sz w:val="24"/>
          <w:szCs w:val="24"/>
          <w:color w:val="auto"/>
        </w:rPr>
      </w:pPr>
    </w:p>
    <w:p>
      <w:pPr>
        <w:ind w:left="330" w:hanging="326"/>
        <w:spacing w:after="0"/>
        <w:tabs>
          <w:tab w:leader="none" w:pos="33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2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 the quarterly period ended April 30, 2021</w:t>
      </w:r>
    </w:p>
    <w:p>
      <w:pPr>
        <w:spacing w:after="0" w:line="12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290" w:hanging="290"/>
        <w:spacing w:after="0"/>
        <w:tabs>
          <w:tab w:leader="none" w:pos="29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21" w:lineRule="exact"/>
        <w:rPr>
          <w:sz w:val="24"/>
          <w:szCs w:val="24"/>
          <w:color w:val="auto"/>
        </w:rPr>
      </w:pPr>
    </w:p>
    <w:p>
      <w:pPr>
        <w:ind w:left="3650"/>
        <w:spacing w:after="0"/>
        <w:tabs>
          <w:tab w:leader="none" w:pos="613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-4445</wp:posOffset>
            </wp:positionV>
            <wp:extent cx="205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-4445</wp:posOffset>
            </wp:positionV>
            <wp:extent cx="154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0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Commission File Number: 0-18183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80645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3" w:lineRule="exact"/>
        <w:rPr>
          <w:sz w:val="24"/>
          <w:szCs w:val="24"/>
          <w:color w:val="auto"/>
        </w:rPr>
      </w:pPr>
    </w:p>
    <w:p>
      <w:pPr>
        <w:jc w:val="center"/>
        <w:ind w:right="-9"/>
        <w:spacing w:after="0"/>
        <w:rPr>
          <w:sz w:val="20"/>
          <w:szCs w:val="20"/>
          <w:color w:val="auto"/>
        </w:rPr>
      </w:pPr>
      <w:r>
        <w:rPr>
          <w:rFonts w:ascii="Arial" w:cs="Arial" w:eastAsia="Arial" w:hAnsi="Arial"/>
          <w:sz w:val="36"/>
          <w:szCs w:val="36"/>
          <w:b w:val="1"/>
          <w:bCs w:val="1"/>
          <w:color w:val="auto"/>
        </w:rPr>
        <w:t>G-III APPAREL GROUP, LTD.</w:t>
      </w:r>
    </w:p>
    <w:p>
      <w:pPr>
        <w:spacing w:after="0" w:line="47" w:lineRule="exact"/>
        <w:rPr>
          <w:sz w:val="24"/>
          <w:szCs w:val="24"/>
          <w:color w:val="auto"/>
        </w:rPr>
      </w:pPr>
    </w:p>
    <w:p>
      <w:pPr>
        <w:jc w:val="center"/>
        <w:ind w:right="3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91" w:lineRule="exact"/>
        <w:rPr>
          <w:sz w:val="24"/>
          <w:szCs w:val="24"/>
          <w:color w:val="auto"/>
        </w:rPr>
      </w:pPr>
    </w:p>
    <w:tbl>
      <w:tblPr>
        <w:tblLayout w:type="fixed"/>
        <w:tblInd w:w="1110" w:type="dxa"/>
        <w:tblCellMar>
          <w:top w:w="0" w:type="dxa"/>
          <w:left w:w="0" w:type="dxa"/>
          <w:bottom w:w="0" w:type="dxa"/>
          <w:right w:w="0" w:type="dxa"/>
        </w:tblCellMar>
      </w:tblPr>
      <w:tr>
        <w:trPr>
          <w:trHeight w:val="203"/>
        </w:trPr>
        <w:tc>
          <w:tcPr>
            <w:tcW w:w="4480" w:type="dxa"/>
            <w:vAlign w:val="bottom"/>
          </w:tcPr>
          <w:p>
            <w:pPr>
              <w:jc w:val="center"/>
              <w:ind w:right="1499"/>
              <w:spacing w:after="0"/>
              <w:rPr>
                <w:sz w:val="20"/>
                <w:szCs w:val="20"/>
                <w:color w:val="auto"/>
              </w:rPr>
            </w:pPr>
            <w:r>
              <w:rPr>
                <w:rFonts w:ascii="Arial" w:cs="Arial" w:eastAsia="Arial" w:hAnsi="Arial"/>
                <w:sz w:val="16"/>
                <w:szCs w:val="16"/>
                <w:b w:val="1"/>
                <w:bCs w:val="1"/>
                <w:color w:val="auto"/>
                <w:w w:val="93"/>
              </w:rPr>
              <w:t>Delaware</w:t>
            </w:r>
          </w:p>
        </w:tc>
        <w:tc>
          <w:tcPr>
            <w:tcW w:w="2820" w:type="dxa"/>
            <w:vAlign w:val="bottom"/>
          </w:tcPr>
          <w:p>
            <w:pPr>
              <w:jc w:val="right"/>
              <w:ind w:right="159"/>
              <w:spacing w:after="0"/>
              <w:rPr>
                <w:sz w:val="20"/>
                <w:szCs w:val="20"/>
                <w:color w:val="auto"/>
              </w:rPr>
            </w:pPr>
            <w:r>
              <w:rPr>
                <w:rFonts w:ascii="Arial" w:cs="Arial" w:eastAsia="Arial" w:hAnsi="Arial"/>
                <w:sz w:val="16"/>
                <w:szCs w:val="16"/>
                <w:b w:val="1"/>
                <w:bCs w:val="1"/>
                <w:color w:val="auto"/>
              </w:rPr>
              <w:t>41-1590959</w:t>
            </w:r>
          </w:p>
        </w:tc>
      </w:tr>
      <w:tr>
        <w:trPr>
          <w:trHeight w:val="203"/>
        </w:trPr>
        <w:tc>
          <w:tcPr>
            <w:tcW w:w="4480" w:type="dxa"/>
            <w:vAlign w:val="bottom"/>
          </w:tcPr>
          <w:p>
            <w:pPr>
              <w:jc w:val="center"/>
              <w:ind w:right="1499"/>
              <w:spacing w:after="0"/>
              <w:rPr>
                <w:sz w:val="20"/>
                <w:szCs w:val="20"/>
                <w:color w:val="auto"/>
              </w:rPr>
            </w:pPr>
            <w:r>
              <w:rPr>
                <w:rFonts w:ascii="Arial" w:cs="Arial" w:eastAsia="Arial" w:hAnsi="Arial"/>
                <w:sz w:val="16"/>
                <w:szCs w:val="16"/>
                <w:b w:val="1"/>
                <w:bCs w:val="1"/>
                <w:color w:val="auto"/>
                <w:w w:val="91"/>
              </w:rPr>
              <w:t>(State or other jurisdiction of</w:t>
            </w:r>
          </w:p>
        </w:tc>
        <w:tc>
          <w:tcPr>
            <w:tcW w:w="2820" w:type="dxa"/>
            <w:vAlign w:val="bottom"/>
          </w:tcPr>
          <w:p>
            <w:pPr>
              <w:jc w:val="center"/>
              <w:ind w:left="1459"/>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4480" w:type="dxa"/>
            <w:vAlign w:val="bottom"/>
          </w:tcPr>
          <w:p>
            <w:pPr>
              <w:jc w:val="center"/>
              <w:ind w:right="1479"/>
              <w:spacing w:after="0"/>
              <w:rPr>
                <w:sz w:val="20"/>
                <w:szCs w:val="20"/>
                <w:color w:val="auto"/>
              </w:rPr>
            </w:pPr>
            <w:r>
              <w:rPr>
                <w:rFonts w:ascii="Arial" w:cs="Arial" w:eastAsia="Arial" w:hAnsi="Arial"/>
                <w:sz w:val="16"/>
                <w:szCs w:val="16"/>
                <w:b w:val="1"/>
                <w:bCs w:val="1"/>
                <w:color w:val="auto"/>
                <w:w w:val="92"/>
              </w:rPr>
              <w:t>incorporation or organization)</w:t>
            </w:r>
          </w:p>
        </w:tc>
        <w:tc>
          <w:tcPr>
            <w:tcW w:w="2820" w:type="dxa"/>
            <w:vAlign w:val="bottom"/>
          </w:tcPr>
          <w:p>
            <w:pPr>
              <w:jc w:val="center"/>
              <w:ind w:left="1459"/>
              <w:spacing w:after="0"/>
              <w:rPr>
                <w:sz w:val="20"/>
                <w:szCs w:val="20"/>
                <w:color w:val="auto"/>
              </w:rPr>
            </w:pPr>
            <w:r>
              <w:rPr>
                <w:rFonts w:ascii="Arial" w:cs="Arial" w:eastAsia="Arial" w:hAnsi="Arial"/>
                <w:sz w:val="16"/>
                <w:szCs w:val="16"/>
                <w:b w:val="1"/>
                <w:bCs w:val="1"/>
                <w:color w:val="auto"/>
                <w:w w:val="94"/>
              </w:rPr>
              <w:t>Identification No.)</w:t>
            </w:r>
          </w:p>
        </w:tc>
      </w:tr>
      <w:tr>
        <w:trPr>
          <w:trHeight w:val="303"/>
        </w:trPr>
        <w:tc>
          <w:tcPr>
            <w:tcW w:w="4480" w:type="dxa"/>
            <w:vAlign w:val="bottom"/>
          </w:tcPr>
          <w:p>
            <w:pPr>
              <w:jc w:val="center"/>
              <w:ind w:right="1479"/>
              <w:spacing w:after="0"/>
              <w:rPr>
                <w:sz w:val="20"/>
                <w:szCs w:val="20"/>
                <w:color w:val="auto"/>
              </w:rPr>
            </w:pPr>
            <w:r>
              <w:rPr>
                <w:rFonts w:ascii="Arial" w:cs="Arial" w:eastAsia="Arial" w:hAnsi="Arial"/>
                <w:sz w:val="16"/>
                <w:szCs w:val="16"/>
                <w:b w:val="1"/>
                <w:bCs w:val="1"/>
                <w:color w:val="auto"/>
                <w:w w:val="91"/>
              </w:rPr>
              <w:t>512 Seventh Avenue, New York, New York</w:t>
            </w:r>
          </w:p>
        </w:tc>
        <w:tc>
          <w:tcPr>
            <w:tcW w:w="2820" w:type="dxa"/>
            <w:vAlign w:val="bottom"/>
          </w:tcPr>
          <w:p>
            <w:pPr>
              <w:jc w:val="right"/>
              <w:ind w:right="359"/>
              <w:spacing w:after="0"/>
              <w:rPr>
                <w:sz w:val="20"/>
                <w:szCs w:val="20"/>
                <w:color w:val="auto"/>
              </w:rPr>
            </w:pPr>
            <w:r>
              <w:rPr>
                <w:rFonts w:ascii="Arial" w:cs="Arial" w:eastAsia="Arial" w:hAnsi="Arial"/>
                <w:sz w:val="16"/>
                <w:szCs w:val="16"/>
                <w:b w:val="1"/>
                <w:bCs w:val="1"/>
                <w:color w:val="auto"/>
              </w:rPr>
              <w:t>10018</w:t>
            </w:r>
          </w:p>
        </w:tc>
      </w:tr>
      <w:tr>
        <w:trPr>
          <w:trHeight w:val="210"/>
        </w:trPr>
        <w:tc>
          <w:tcPr>
            <w:tcW w:w="4480" w:type="dxa"/>
            <w:vAlign w:val="bottom"/>
          </w:tcPr>
          <w:p>
            <w:pPr>
              <w:jc w:val="center"/>
              <w:ind w:right="147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820" w:type="dxa"/>
            <w:vAlign w:val="bottom"/>
          </w:tcPr>
          <w:p>
            <w:pPr>
              <w:jc w:val="center"/>
              <w:ind w:left="1459"/>
              <w:spacing w:after="0"/>
              <w:rPr>
                <w:sz w:val="20"/>
                <w:szCs w:val="20"/>
                <w:color w:val="auto"/>
              </w:rPr>
            </w:pPr>
            <w:r>
              <w:rPr>
                <w:rFonts w:ascii="Arial" w:cs="Arial" w:eastAsia="Arial" w:hAnsi="Arial"/>
                <w:sz w:val="16"/>
                <w:szCs w:val="16"/>
                <w:b w:val="1"/>
                <w:bCs w:val="1"/>
                <w:color w:val="auto"/>
                <w:w w:val="96"/>
              </w:rPr>
              <w:t>(Zip Code)</w:t>
            </w:r>
          </w:p>
        </w:tc>
      </w:tr>
    </w:tbl>
    <w:p>
      <w:pPr>
        <w:spacing w:after="0" w:line="195"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(212) 403-0500</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1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80645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0"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7" w:lineRule="exact"/>
        <w:rPr>
          <w:sz w:val="24"/>
          <w:szCs w:val="24"/>
          <w:color w:val="auto"/>
        </w:rPr>
      </w:pPr>
    </w:p>
    <w:tbl>
      <w:tblPr>
        <w:tblLayout w:type="fixed"/>
        <w:tblInd w:w="510" w:type="dxa"/>
        <w:tblCellMar>
          <w:top w:w="0" w:type="dxa"/>
          <w:left w:w="0" w:type="dxa"/>
          <w:bottom w:w="0" w:type="dxa"/>
          <w:right w:w="0" w:type="dxa"/>
        </w:tblCellMar>
      </w:tblPr>
      <w:tr>
        <w:trPr>
          <w:trHeight w:val="162"/>
        </w:trPr>
        <w:tc>
          <w:tcPr>
            <w:tcW w:w="3240" w:type="dxa"/>
            <w:vAlign w:val="bottom"/>
          </w:tcPr>
          <w:p>
            <w:pPr>
              <w:jc w:val="center"/>
              <w:ind w:right="748"/>
              <w:spacing w:after="0"/>
              <w:rPr>
                <w:sz w:val="20"/>
                <w:szCs w:val="20"/>
                <w:color w:val="auto"/>
              </w:rPr>
            </w:pPr>
            <w:r>
              <w:rPr>
                <w:rFonts w:ascii="Arial" w:cs="Arial" w:eastAsia="Arial" w:hAnsi="Arial"/>
                <w:sz w:val="14"/>
                <w:szCs w:val="14"/>
                <w:color w:val="auto"/>
                <w:w w:val="90"/>
              </w:rPr>
              <w:t>Title of each class</w:t>
            </w:r>
          </w:p>
        </w:tc>
        <w:tc>
          <w:tcPr>
            <w:tcW w:w="2700" w:type="dxa"/>
            <w:vAlign w:val="bottom"/>
          </w:tcPr>
          <w:p>
            <w:pPr>
              <w:jc w:val="center"/>
              <w:spacing w:after="0"/>
              <w:rPr>
                <w:sz w:val="20"/>
                <w:szCs w:val="20"/>
                <w:color w:val="auto"/>
              </w:rPr>
            </w:pPr>
            <w:r>
              <w:rPr>
                <w:rFonts w:ascii="Arial" w:cs="Arial" w:eastAsia="Arial" w:hAnsi="Arial"/>
                <w:sz w:val="14"/>
                <w:szCs w:val="14"/>
                <w:color w:val="auto"/>
                <w:w w:val="96"/>
              </w:rPr>
              <w:t>Trading Symbol(s)</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1"/>
              </w:rPr>
              <w:t>Name of each exchange on which registered</w:t>
            </w:r>
          </w:p>
        </w:tc>
      </w:tr>
      <w:tr>
        <w:trPr>
          <w:trHeight w:val="182"/>
        </w:trPr>
        <w:tc>
          <w:tcPr>
            <w:tcW w:w="3240" w:type="dxa"/>
            <w:vAlign w:val="bottom"/>
          </w:tcPr>
          <w:p>
            <w:pPr>
              <w:jc w:val="center"/>
              <w:ind w:right="748"/>
              <w:spacing w:after="0"/>
              <w:rPr>
                <w:sz w:val="20"/>
                <w:szCs w:val="20"/>
                <w:color w:val="auto"/>
              </w:rPr>
            </w:pPr>
            <w:r>
              <w:rPr>
                <w:rFonts w:ascii="Arial" w:cs="Arial" w:eastAsia="Arial" w:hAnsi="Arial"/>
                <w:sz w:val="14"/>
                <w:szCs w:val="14"/>
                <w:color w:val="auto"/>
                <w:w w:val="91"/>
              </w:rPr>
              <w:t>Common Stock, $0.01 par value per share</w:t>
            </w:r>
          </w:p>
        </w:tc>
        <w:tc>
          <w:tcPr>
            <w:tcW w:w="2700" w:type="dxa"/>
            <w:vAlign w:val="bottom"/>
          </w:tcPr>
          <w:p>
            <w:pPr>
              <w:jc w:val="center"/>
              <w:spacing w:after="0"/>
              <w:rPr>
                <w:sz w:val="20"/>
                <w:szCs w:val="20"/>
                <w:color w:val="auto"/>
              </w:rPr>
            </w:pPr>
            <w:r>
              <w:rPr>
                <w:rFonts w:ascii="Arial" w:cs="Arial" w:eastAsia="Arial" w:hAnsi="Arial"/>
                <w:sz w:val="14"/>
                <w:szCs w:val="14"/>
                <w:color w:val="auto"/>
              </w:rPr>
              <w:t>GIII</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2"/>
              </w:rPr>
              <w:t>The Nasdaq Stock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6489065" cy="213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9065" cy="213995"/>
                    </a:xfrm>
                    <a:prstGeom prst="rect">
                      <a:avLst/>
                    </a:prstGeom>
                    <a:noFill/>
                  </pic:spPr>
                </pic:pic>
              </a:graphicData>
            </a:graphic>
          </wp:anchor>
        </w:drawing>
      </w:r>
    </w:p>
    <w:p>
      <w:pPr>
        <w:spacing w:after="0" w:line="50"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88"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88" w:lineRule="exact"/>
        <w:rPr>
          <w:sz w:val="24"/>
          <w:szCs w:val="24"/>
          <w:color w:val="auto"/>
        </w:rPr>
      </w:pPr>
    </w:p>
    <w:p>
      <w:pPr>
        <w:jc w:val="both"/>
        <w:ind w:left="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ind w:left="210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ind w:left="210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spacing w:after="0"/>
              <w:rPr>
                <w:sz w:val="22"/>
                <w:szCs w:val="22"/>
                <w:color w:val="auto"/>
              </w:rPr>
            </w:pPr>
          </w:p>
        </w:tc>
        <w:tc>
          <w:tcPr>
            <w:tcW w:w="980" w:type="dxa"/>
            <w:vAlign w:val="bottom"/>
          </w:tcPr>
          <w:p>
            <w:pPr>
              <w:spacing w:after="0"/>
              <w:rPr>
                <w:sz w:val="22"/>
                <w:szCs w:val="22"/>
                <w:color w:val="auto"/>
              </w:rPr>
            </w:pPr>
          </w:p>
        </w:tc>
      </w:tr>
    </w:tbl>
    <w:p>
      <w:pPr>
        <w:spacing w:after="0" w:line="86" w:lineRule="exact"/>
        <w:rPr>
          <w:sz w:val="24"/>
          <w:szCs w:val="24"/>
          <w:color w:val="auto"/>
        </w:rPr>
      </w:pPr>
    </w:p>
    <w:p>
      <w:pPr>
        <w:jc w:val="both"/>
        <w:ind w:left="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57" w:lineRule="exact"/>
        <w:rPr>
          <w:sz w:val="24"/>
          <w:szCs w:val="24"/>
          <w:color w:val="auto"/>
        </w:rPr>
      </w:pPr>
    </w:p>
    <w:p>
      <w:pPr>
        <w:ind w:left="10" w:right="182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highlight w:val="black"/>
        </w:rPr>
        <w:t>☐</w:t>
      </w:r>
      <w:r>
        <w:rPr>
          <w:rFonts w:ascii="Arial" w:cs="Arial" w:eastAsia="Arial" w:hAnsi="Arial"/>
          <w:sz w:val="15"/>
          <w:szCs w:val="15"/>
          <w:color w:val="auto"/>
        </w:rPr>
        <w:t xml:space="preserve"> No </w:t>
      </w:r>
      <w:r>
        <w:rPr>
          <w:rFonts w:ascii="MS PGothic" w:cs="MS PGothic" w:eastAsia="MS PGothic" w:hAnsi="MS PGothic"/>
          <w:sz w:val="15"/>
          <w:szCs w:val="15"/>
          <w:color w:val="auto"/>
          <w:highlight w:val="black"/>
        </w:rPr>
        <w:t>☒</w:t>
      </w:r>
      <w:r>
        <w:rPr>
          <w:rFonts w:ascii="Arial" w:cs="Arial" w:eastAsia="Arial" w:hAnsi="Arial"/>
          <w:sz w:val="15"/>
          <w:szCs w:val="15"/>
          <w:color w:val="auto"/>
        </w:rPr>
        <w:t xml:space="preserve"> As of June 3, 2021, there were 48,376,794 shares of issuer’s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553085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73025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115570</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60" w:type="dxa"/>
            <w:vAlign w:val="bottom"/>
            <w:gridSpan w:val="5"/>
            <w:vMerge w:val="restart"/>
          </w:tcPr>
          <w:p>
            <w:pPr>
              <w:ind w:left="20"/>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140" w:type="dxa"/>
            <w:vAlign w:val="bottom"/>
          </w:tcPr>
          <w:p>
            <w:pPr>
              <w:spacing w:after="0"/>
              <w:rPr>
                <w:sz w:val="16"/>
                <w:szCs w:val="16"/>
                <w:color w:val="auto"/>
              </w:rPr>
            </w:pPr>
          </w:p>
        </w:tc>
        <w:tc>
          <w:tcPr>
            <w:tcW w:w="7240" w:type="dxa"/>
            <w:vAlign w:val="bottom"/>
            <w:gridSpan w:val="18"/>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1"/>
        </w:trPr>
        <w:tc>
          <w:tcPr>
            <w:tcW w:w="76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7240" w:type="dxa"/>
            <w:vAlign w:val="bottom"/>
            <w:gridSpan w:val="18"/>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3"/>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140" w:type="dxa"/>
            <w:vAlign w:val="bottom"/>
          </w:tcPr>
          <w:p>
            <w:pPr>
              <w:spacing w:after="0"/>
              <w:rPr>
                <w:sz w:val="17"/>
                <w:szCs w:val="17"/>
                <w:color w:val="auto"/>
              </w:rPr>
            </w:pPr>
          </w:p>
        </w:tc>
        <w:tc>
          <w:tcPr>
            <w:tcW w:w="724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 April 30, 2021, April 30, 2020 and January 31, 2021</w:t>
              </w:r>
            </w:hyperlink>
          </w:p>
        </w:tc>
        <w:tc>
          <w:tcPr>
            <w:tcW w:w="34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4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and Comprehensive Income - For the</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Three Months Ended April 30, 2021 and 2020 (Unaudited)</w:t>
              </w:r>
            </w:hyperlink>
          </w:p>
        </w:tc>
        <w:tc>
          <w:tcPr>
            <w:tcW w:w="2000" w:type="dxa"/>
            <w:vAlign w:val="bottom"/>
            <w:tcBorders>
              <w:top w:val="single" w:sz="8" w:color="0000EE"/>
            </w:tcBorders>
          </w:tcPr>
          <w:p>
            <w:pPr>
              <w:spacing w:after="0"/>
              <w:rPr>
                <w:sz w:val="17"/>
                <w:szCs w:val="17"/>
                <w:color w:val="auto"/>
              </w:rPr>
            </w:pPr>
          </w:p>
        </w:tc>
        <w:tc>
          <w:tcPr>
            <w:tcW w:w="86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Stockholders’ Equity – April 30, 2021 and April 30, 2020</w:t>
              </w:r>
            </w:hyperlink>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40" w:type="dxa"/>
            <w:vAlign w:val="bottom"/>
            <w:gridSpan w:val="18"/>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Cash Flows - For the Three Months Ended April 30, 2021</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9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2020 (Unaudited)</w:t>
              </w:r>
            </w:hyperlink>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24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2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2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3.  Quantitative and Qualitative Disclosures About Market Risk</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2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4.  Controls and Procedures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6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gridSpan w:val="5"/>
          </w:tcPr>
          <w:p>
            <w:pPr>
              <w:ind w:left="20"/>
              <w:spacing w:after="0"/>
              <w:rPr>
                <w:rFonts w:ascii="Arial" w:cs="Arial" w:eastAsia="Arial" w:hAnsi="Arial"/>
                <w:sz w:val="18"/>
                <w:szCs w:val="18"/>
                <w:color w:val="0000EE"/>
              </w:rPr>
            </w:pPr>
            <w:hyperlink w:anchor="page30">
              <w:r>
                <w:rPr>
                  <w:rFonts w:ascii="Arial" w:cs="Arial" w:eastAsia="Arial" w:hAnsi="Arial"/>
                  <w:sz w:val="18"/>
                  <w:szCs w:val="18"/>
                  <w:color w:val="0000EE"/>
                </w:rPr>
                <w:t>Part II</w:t>
              </w:r>
            </w:hyperlink>
          </w:p>
        </w:tc>
        <w:tc>
          <w:tcPr>
            <w:tcW w:w="140" w:type="dxa"/>
            <w:vAlign w:val="bottom"/>
          </w:tcPr>
          <w:p>
            <w:pPr>
              <w:spacing w:after="0"/>
              <w:rPr>
                <w:sz w:val="24"/>
                <w:szCs w:val="24"/>
                <w:color w:val="auto"/>
              </w:rPr>
            </w:pPr>
          </w:p>
        </w:tc>
        <w:tc>
          <w:tcPr>
            <w:tcW w:w="724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536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2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 xml:space="preserve">Item </w:t>
              </w:r>
            </w:hyperlink>
            <w:r>
              <w:rPr>
                <w:rFonts w:ascii="Arial" w:cs="Arial" w:eastAsia="Arial" w:hAnsi="Arial"/>
                <w:sz w:val="18"/>
                <w:szCs w:val="18"/>
                <w:color w:val="0000EE"/>
              </w:rPr>
              <w:t xml:space="preserve">1A.Risk </w:t>
            </w:r>
            <w:hyperlink w:anchor="page30">
              <w:r>
                <w:rPr>
                  <w:rFonts w:ascii="Arial" w:cs="Arial" w:eastAsia="Arial" w:hAnsi="Arial"/>
                  <w:sz w:val="18"/>
                  <w:szCs w:val="18"/>
                  <w:color w:val="0000EE"/>
                </w:rPr>
                <w:t>Factors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34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3"/>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Item 6.</w:t>
              </w:r>
            </w:hyperlink>
          </w:p>
        </w:tc>
        <w:tc>
          <w:tcPr>
            <w:tcW w:w="140" w:type="dxa"/>
            <w:vAlign w:val="bottom"/>
          </w:tcPr>
          <w:p>
            <w:pPr>
              <w:spacing w:after="0"/>
              <w:rPr>
                <w:sz w:val="17"/>
                <w:szCs w:val="17"/>
                <w:color w:val="auto"/>
              </w:rPr>
            </w:pPr>
          </w:p>
        </w:tc>
        <w:tc>
          <w:tcPr>
            <w:tcW w:w="7240" w:type="dxa"/>
            <w:vAlign w:val="bottom"/>
            <w:gridSpan w:val="1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gridSpan w:val="2"/>
          </w:tcPr>
          <w:p>
            <w:pPr>
              <w:spacing w:after="0"/>
              <w:rPr>
                <w:sz w:val="24"/>
                <w:szCs w:val="24"/>
                <w:color w:val="auto"/>
              </w:rPr>
            </w:pPr>
          </w:p>
        </w:tc>
        <w:tc>
          <w:tcPr>
            <w:tcW w:w="580" w:type="dxa"/>
            <w:vAlign w:val="bottom"/>
            <w:tcBorders>
              <w:top w:val="single" w:sz="8" w:color="0000EE"/>
            </w:tcBorders>
            <w:gridSpan w:val="2"/>
          </w:tcPr>
          <w:p>
            <w:pPr>
              <w:spacing w:after="0"/>
              <w:rPr>
                <w:sz w:val="24"/>
                <w:szCs w:val="24"/>
                <w:color w:val="auto"/>
              </w:rPr>
            </w:pPr>
          </w:p>
        </w:tc>
        <w:tc>
          <w:tcPr>
            <w:tcW w:w="3400" w:type="dxa"/>
            <w:vAlign w:val="bottom"/>
            <w:gridSpan w:val="8"/>
          </w:tcPr>
          <w:p>
            <w:pPr>
              <w:jc w:val="right"/>
              <w:ind w:right="40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April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April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95"/>
              <w:spacing w:after="0"/>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rPr>
              <w:t>(Unaudited)</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8"/>
          </w:tcPr>
          <w:p>
            <w:pPr>
              <w:jc w:val="right"/>
              <w:ind w:right="315"/>
              <w:spacing w:after="0"/>
              <w:rPr>
                <w:sz w:val="20"/>
                <w:szCs w:val="20"/>
                <w:color w:val="auto"/>
              </w:rPr>
            </w:pPr>
            <w:r>
              <w:rPr>
                <w:rFonts w:ascii="Arial" w:cs="Arial" w:eastAsia="Arial" w:hAnsi="Arial"/>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396,311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616,183</w:t>
            </w:r>
          </w:p>
        </w:tc>
        <w:tc>
          <w:tcPr>
            <w:tcW w:w="1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351,934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tcPr>
          <w:p>
            <w:pPr>
              <w:ind w:left="80"/>
              <w:spacing w:after="0" w:line="185" w:lineRule="exact"/>
              <w:rPr>
                <w:sz w:val="20"/>
                <w:szCs w:val="20"/>
                <w:color w:val="auto"/>
              </w:rPr>
            </w:pPr>
            <w:r>
              <w:rPr>
                <w:rFonts w:ascii="Arial" w:cs="Arial" w:eastAsia="Arial" w:hAnsi="Arial"/>
                <w:sz w:val="17"/>
                <w:szCs w:val="17"/>
                <w:color w:val="auto"/>
                <w:w w:val="94"/>
              </w:rPr>
              <w:t>Accounts receivable, net of allowance for doubtful accounts of $17.5 million,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$10.4 million and $17.5 million, respectively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509,430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421,143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492,698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Inventories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346,668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500,410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416,503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Prepaid income taxes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15,768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9,724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55,945</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66,594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Pr>
          <w:p>
            <w:pPr>
              <w:ind w:left="200"/>
              <w:spacing w:after="0"/>
              <w:rPr>
                <w:sz w:val="20"/>
                <w:szCs w:val="20"/>
                <w:color w:val="auto"/>
              </w:rPr>
            </w:pPr>
            <w:r>
              <w:rPr>
                <w:rFonts w:ascii="Arial" w:cs="Arial" w:eastAsia="Arial" w:hAnsi="Arial"/>
                <w:sz w:val="17"/>
                <w:szCs w:val="17"/>
                <w:color w:val="auto"/>
              </w:rPr>
              <w:t>Total current assets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1,324,122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1,614,054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1,344,040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Investments in unconsolidated affiliates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60,850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58,299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53,298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72,918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57,064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assets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180,715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251,565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186,070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Other assets, net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37,232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32,691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38,785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intangibles, net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34,141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37,321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Deferred income tax assets, net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5,222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34,548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Trademarks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441,075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437,643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443,612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Goodwill</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262,065</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259,922</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263,135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2,398,720</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2,798,961</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2,436,386</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Current portion of notes payable</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5,105</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512</w:t>
            </w:r>
          </w:p>
        </w:tc>
        <w:tc>
          <w:tcPr>
            <w:tcW w:w="1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4,402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114,124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114,750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Accrued expenses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82,592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60,523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102,787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Customer refund liabilities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88,943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157,886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Current operating lease liabilities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43,656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63,632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43,560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Income tax payable</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11,547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Other current liabilities</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1,790</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347,757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406,534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402,002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Notes payable, net of discount and unamortized issuance costs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509,784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900,682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507,950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liabilities, net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20,051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Noncurrent operating lease liabilities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155,218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231,323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161,668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7,012</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liabilities</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1,039,822</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1,552,727</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1,099,181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Redeemable noncontrolling interests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1,022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964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Stockholders' Equity</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Preferred stock; 1,000 shares authorized; no shares issued</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tcPr>
          <w:p>
            <w:pPr>
              <w:ind w:left="80"/>
              <w:spacing w:after="0" w:line="185" w:lineRule="exact"/>
              <w:rPr>
                <w:sz w:val="20"/>
                <w:szCs w:val="20"/>
                <w:color w:val="auto"/>
              </w:rPr>
            </w:pPr>
            <w:r>
              <w:rPr>
                <w:rFonts w:ascii="Arial" w:cs="Arial" w:eastAsia="Arial" w:hAnsi="Arial"/>
                <w:sz w:val="17"/>
                <w:szCs w:val="17"/>
                <w:color w:val="auto"/>
                <w:w w:val="92"/>
              </w:rPr>
              <w:t>Common stock - $0.01 par value; 120,000 shares authorized; 49,396, 48,052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and, 49,396 shares issued, respectively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450,961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449,840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448,417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Accumulated other comprehensive loss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(9,057)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(22,034)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Retained earnings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942,733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853,843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916,683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tcPr>
          <w:p>
            <w:pPr>
              <w:ind w:left="80"/>
              <w:spacing w:after="0" w:line="185" w:lineRule="exact"/>
              <w:rPr>
                <w:sz w:val="20"/>
                <w:szCs w:val="20"/>
                <w:color w:val="auto"/>
              </w:rPr>
            </w:pPr>
            <w:r>
              <w:rPr>
                <w:rFonts w:ascii="Arial" w:cs="Arial" w:eastAsia="Arial" w:hAnsi="Arial"/>
                <w:sz w:val="17"/>
                <w:szCs w:val="17"/>
                <w:color w:val="auto"/>
                <w:w w:val="98"/>
              </w:rPr>
              <w:t>Common stock held in treasury, at cost - 1,019, 1,344 and 1,019 shares,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respectively</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(27,025)</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(35,679)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(27,029)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1,357,876</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1,246,234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1,336,241</w:t>
            </w:r>
          </w:p>
        </w:tc>
        <w:tc>
          <w:tcPr>
            <w:tcW w:w="0" w:type="dxa"/>
            <w:vAlign w:val="bottom"/>
          </w:tcPr>
          <w:p>
            <w:pPr>
              <w:spacing w:after="0"/>
              <w:rPr>
                <w:sz w:val="1"/>
                <w:szCs w:val="1"/>
                <w:color w:val="auto"/>
              </w:rPr>
            </w:pPr>
          </w:p>
        </w:tc>
      </w:tr>
      <w:tr>
        <w:trPr>
          <w:trHeight w:val="196"/>
        </w:trPr>
        <w:tc>
          <w:tcPr>
            <w:tcW w:w="5500" w:type="dxa"/>
            <w:vAlign w:val="bottom"/>
            <w:gridSpan w:val="2"/>
          </w:tcPr>
          <w:p>
            <w:pPr>
              <w:spacing w:after="0"/>
              <w:rPr>
                <w:sz w:val="20"/>
                <w:szCs w:val="20"/>
                <w:color w:val="auto"/>
              </w:rPr>
            </w:pPr>
            <w:r>
              <w:rPr>
                <w:rFonts w:ascii="Arial" w:cs="Arial" w:eastAsia="Arial" w:hAnsi="Arial"/>
                <w:sz w:val="17"/>
                <w:szCs w:val="17"/>
                <w:color w:val="auto"/>
                <w:w w:val="95"/>
              </w:rPr>
              <w:t>Total liabilities, redeemable noncontrolling interests and stockholders' equity</w:t>
            </w: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2,398,720</w:t>
            </w:r>
          </w:p>
        </w:tc>
        <w:tc>
          <w:tcPr>
            <w:tcW w:w="1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2,798,961</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2,436,386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statements</w:t>
      </w:r>
      <w:r>
        <w:rPr>
          <w:rFonts w:ascii="Arial" w:cs="Arial" w:eastAsia="Arial" w:hAnsi="Arial"/>
          <w:sz w:val="17"/>
          <w:szCs w:val="17"/>
          <w:i w:val="1"/>
          <w:iCs w:val="1"/>
          <w:color w:val="auto"/>
        </w:rPr>
        <w:t>.</w:t>
      </w:r>
    </w:p>
    <w:p>
      <w:pPr>
        <w:sectPr>
          <w:pgSz w:w="11900" w:h="16838" w:orient="portrait"/>
          <w:cols w:equalWidth="0" w:num="1">
            <w:col w:w="9019"/>
          </w:cols>
          <w:pgMar w:left="1440" w:top="517" w:right="1440" w:bottom="1440"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6"/>
              </w:rPr>
              <w:t>Three Months Ended April 30,</w:t>
            </w: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3"/>
          </w:tcPr>
          <w:p>
            <w:pPr>
              <w:jc w:val="center"/>
              <w:ind w:left="712"/>
              <w:spacing w:after="0"/>
              <w:rPr>
                <w:sz w:val="20"/>
                <w:szCs w:val="20"/>
                <w:color w:val="auto"/>
              </w:rPr>
            </w:pPr>
            <w:r>
              <w:rPr>
                <w:rFonts w:ascii="Arial" w:cs="Arial" w:eastAsia="Arial" w:hAnsi="Arial"/>
                <w:sz w:val="14"/>
                <w:szCs w:val="14"/>
                <w:b w:val="1"/>
                <w:bCs w:val="1"/>
                <w:color w:val="auto"/>
                <w:w w:val="95"/>
              </w:rPr>
              <w:t>(Unaudited)</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(In thousands, except per share amounts)</w:t>
            </w: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519,910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324,441</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shd w:val="clear" w:color="auto" w:fill="CCEEFF"/>
          </w:tcPr>
          <w:p>
            <w:pPr>
              <w:spacing w:after="0"/>
              <w:rPr>
                <w:sz w:val="18"/>
                <w:szCs w:val="18"/>
                <w:color w:val="auto"/>
              </w:rPr>
            </w:pPr>
          </w:p>
        </w:tc>
        <w:tc>
          <w:tcPr>
            <w:tcW w:w="59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195,469</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4"/>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141,603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4"/>
          </w:tcPr>
          <w:p>
            <w:pPr>
              <w:ind w:left="20"/>
              <w:spacing w:after="0"/>
              <w:rPr>
                <w:sz w:val="20"/>
                <w:szCs w:val="20"/>
                <w:color w:val="auto"/>
              </w:rPr>
            </w:pPr>
            <w:r>
              <w:rPr>
                <w:rFonts w:ascii="Arial" w:cs="Arial" w:eastAsia="Arial" w:hAnsi="Arial"/>
                <w:sz w:val="18"/>
                <w:szCs w:val="18"/>
                <w:color w:val="auto"/>
              </w:rPr>
              <w:t>Loss on lease modifications</w:t>
            </w: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Borders>
              <w:top w:val="single" w:sz="8" w:color="CCEEFF"/>
            </w:tcBorders>
            <w:shd w:val="clear" w:color="auto" w:fill="CCEEFF"/>
          </w:tcPr>
          <w:p>
            <w:pPr>
              <w:spacing w:after="0"/>
              <w:rPr>
                <w:sz w:val="18"/>
                <w:szCs w:val="18"/>
                <w:color w:val="auto"/>
              </w:rPr>
            </w:pPr>
          </w:p>
        </w:tc>
        <w:tc>
          <w:tcPr>
            <w:tcW w:w="5960" w:type="dxa"/>
            <w:vAlign w:val="bottom"/>
            <w:tcBorders>
              <w:top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Operating profit (loss)</w:t>
            </w: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46,822</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4"/>
          </w:tcPr>
          <w:p>
            <w:pPr>
              <w:ind w:left="20"/>
              <w:spacing w:after="0"/>
              <w:rPr>
                <w:sz w:val="20"/>
                <w:szCs w:val="20"/>
                <w:color w:val="auto"/>
              </w:rPr>
            </w:pPr>
            <w:r>
              <w:rPr>
                <w:rFonts w:ascii="Arial" w:cs="Arial" w:eastAsia="Arial" w:hAnsi="Arial"/>
                <w:sz w:val="18"/>
                <w:szCs w:val="18"/>
                <w:color w:val="auto"/>
              </w:rPr>
              <w:t>Other income (loss)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Interest and financing charges, net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(12,004)</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5960" w:type="dxa"/>
            <w:vAlign w:val="bottom"/>
            <w:gridSpan w:val="3"/>
          </w:tcPr>
          <w:p>
            <w:pPr>
              <w:ind w:left="10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36,638</w:t>
            </w: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10,259</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gridSpan w:val="4"/>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26,379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Less: Income attributable to noncontrolling interests</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08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Net income (loss) attributable to G-III Apparel Group, Ltd.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26,321</w:t>
            </w:r>
          </w:p>
        </w:tc>
        <w:tc>
          <w:tcPr>
            <w:tcW w:w="2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80" w:type="dxa"/>
            <w:vAlign w:val="bottom"/>
            <w:gridSpan w:val="4"/>
          </w:tcPr>
          <w:p>
            <w:pPr>
              <w:ind w:left="20"/>
              <w:spacing w:after="0" w:line="198" w:lineRule="exact"/>
              <w:rPr>
                <w:sz w:val="20"/>
                <w:szCs w:val="20"/>
                <w:color w:val="auto"/>
              </w:rPr>
            </w:pPr>
            <w:r>
              <w:rPr>
                <w:rFonts w:ascii="Arial" w:cs="Arial" w:eastAsia="Arial" w:hAnsi="Arial"/>
                <w:sz w:val="18"/>
                <w:szCs w:val="18"/>
                <w:b w:val="1"/>
                <w:bCs w:val="1"/>
                <w:color w:val="auto"/>
              </w:rPr>
              <w:t>NET INCOME (LOSS) PER COMMON SHARE ATTRIBUTABLE TO G-</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80" w:type="dxa"/>
            <w:vAlign w:val="bottom"/>
            <w:gridSpan w:val="4"/>
          </w:tcPr>
          <w:p>
            <w:pPr>
              <w:ind w:left="20"/>
              <w:spacing w:after="0"/>
              <w:rPr>
                <w:sz w:val="20"/>
                <w:szCs w:val="20"/>
                <w:color w:val="auto"/>
              </w:rPr>
            </w:pPr>
            <w:r>
              <w:rPr>
                <w:rFonts w:ascii="Arial" w:cs="Arial" w:eastAsia="Arial" w:hAnsi="Arial"/>
                <w:sz w:val="18"/>
                <w:szCs w:val="18"/>
                <w:b w:val="1"/>
                <w:bCs w:val="1"/>
                <w:color w:val="auto"/>
              </w:rPr>
              <w:t>III APPAREL GROUP, LTD.:</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608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0" w:type="dxa"/>
            <w:vAlign w:val="bottom"/>
            <w:tcBorders>
              <w:bottom w:val="single" w:sz="8" w:color="CCEEFF"/>
            </w:tcBorders>
          </w:tcPr>
          <w:p>
            <w:pPr>
              <w:spacing w:after="0"/>
              <w:rPr>
                <w:sz w:val="22"/>
                <w:szCs w:val="22"/>
                <w:color w:val="auto"/>
              </w:rPr>
            </w:pPr>
          </w:p>
        </w:tc>
        <w:tc>
          <w:tcPr>
            <w:tcW w:w="596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Net income (loss) per common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2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20" w:type="dxa"/>
            <w:vAlign w:val="bottom"/>
            <w:tcBorders>
              <w:bottom w:val="single" w:sz="8" w:color="CCEEFF"/>
            </w:tcBorders>
            <w:shd w:val="clear" w:color="auto" w:fill="CCEEFF"/>
          </w:tcPr>
          <w:p>
            <w:pPr>
              <w:spacing w:after="0"/>
              <w:rPr>
                <w:sz w:val="17"/>
                <w:szCs w:val="17"/>
                <w:color w:val="auto"/>
              </w:rPr>
            </w:pPr>
          </w:p>
        </w:tc>
        <w:tc>
          <w:tcPr>
            <w:tcW w:w="5960" w:type="dxa"/>
            <w:vAlign w:val="bottom"/>
            <w:tcBorders>
              <w:bottom w:val="single" w:sz="8" w:color="CCEEFF"/>
            </w:tcBorders>
            <w:gridSpan w:val="3"/>
            <w:shd w:val="clear" w:color="auto" w:fill="CCEEFF"/>
          </w:tcPr>
          <w:p>
            <w:pPr>
              <w:ind w:left="100"/>
              <w:spacing w:after="0" w:line="196" w:lineRule="exact"/>
              <w:rPr>
                <w:sz w:val="20"/>
                <w:szCs w:val="20"/>
                <w:color w:val="auto"/>
              </w:rPr>
            </w:pPr>
            <w:r>
              <w:rPr>
                <w:rFonts w:ascii="Arial" w:cs="Arial" w:eastAsia="Arial" w:hAnsi="Arial"/>
                <w:sz w:val="18"/>
                <w:szCs w:val="18"/>
                <w:color w:val="auto"/>
              </w:rPr>
              <w:t>Weighted average number of shares outstanding</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48,377</w:t>
            </w:r>
          </w:p>
        </w:tc>
        <w:tc>
          <w:tcPr>
            <w:tcW w:w="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08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0" w:type="dxa"/>
            <w:vAlign w:val="bottom"/>
            <w:tcBorders>
              <w:bottom w:val="single" w:sz="8" w:color="CCEEFF"/>
            </w:tcBorders>
          </w:tcPr>
          <w:p>
            <w:pPr>
              <w:spacing w:after="0"/>
              <w:rPr>
                <w:sz w:val="22"/>
                <w:szCs w:val="22"/>
                <w:color w:val="auto"/>
              </w:rPr>
            </w:pPr>
          </w:p>
        </w:tc>
        <w:tc>
          <w:tcPr>
            <w:tcW w:w="596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Net income (loss) per common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2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5960" w:type="dxa"/>
            <w:vAlign w:val="bottom"/>
            <w:tcBorders>
              <w:bottom w:val="single" w:sz="8" w:color="CCEEFF"/>
            </w:tcBorders>
            <w:gridSpan w:val="3"/>
            <w:shd w:val="clear" w:color="auto" w:fill="CCEEFF"/>
          </w:tcPr>
          <w:p>
            <w:pPr>
              <w:ind w:left="100"/>
              <w:spacing w:after="0" w:line="196" w:lineRule="exact"/>
              <w:rPr>
                <w:sz w:val="20"/>
                <w:szCs w:val="20"/>
                <w:color w:val="auto"/>
              </w:rPr>
            </w:pPr>
            <w:r>
              <w:rPr>
                <w:rFonts w:ascii="Arial" w:cs="Arial" w:eastAsia="Arial" w:hAnsi="Arial"/>
                <w:sz w:val="18"/>
                <w:szCs w:val="18"/>
                <w:color w:val="auto"/>
              </w:rPr>
              <w:t>Weighted average number of shares outstanding</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49,510</w:t>
            </w:r>
          </w:p>
        </w:tc>
        <w:tc>
          <w:tcPr>
            <w:tcW w:w="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26,379</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4"/>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9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(6,959)</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(6,959)</w:t>
            </w:r>
          </w:p>
        </w:tc>
        <w:tc>
          <w:tcPr>
            <w:tcW w:w="2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19,420</w:t>
            </w: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20" w:lineRule="exact"/>
              <w:rPr>
                <w:sz w:val="1"/>
                <w:szCs w:val="1"/>
                <w:color w:val="auto"/>
              </w:rPr>
            </w:pPr>
          </w:p>
        </w:tc>
        <w:tc>
          <w:tcPr>
            <w:tcW w:w="5960" w:type="dxa"/>
            <w:vAlign w:val="bottom"/>
            <w:gridSpan w:val="3"/>
            <w:vMerge w:val="restart"/>
          </w:tcPr>
          <w:p>
            <w:pPr>
              <w:ind w:left="100"/>
              <w:spacing w:after="0"/>
              <w:rPr>
                <w:sz w:val="20"/>
                <w:szCs w:val="20"/>
                <w:color w:val="auto"/>
              </w:rPr>
            </w:pPr>
            <w:r>
              <w:rPr>
                <w:rFonts w:ascii="Arial" w:cs="Arial" w:eastAsia="Arial" w:hAnsi="Arial"/>
                <w:sz w:val="18"/>
                <w:szCs w:val="18"/>
                <w:color w:val="auto"/>
              </w:rPr>
              <w:t>Comprehensive income attributable to noncontrolling interests:</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continue"/>
          </w:tcPr>
          <w:p>
            <w:pPr>
              <w:spacing w:after="0"/>
              <w:rPr>
                <w:sz w:val="17"/>
                <w:szCs w:val="17"/>
                <w:color w:val="auto"/>
              </w:rPr>
            </w:pPr>
          </w:p>
        </w:tc>
        <w:tc>
          <w:tcPr>
            <w:tcW w:w="59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960" w:type="dxa"/>
            <w:vAlign w:val="bottom"/>
            <w:gridSpan w:val="3"/>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Borders>
              <w:top w:val="single" w:sz="8" w:color="CCEEFF"/>
            </w:tcBorders>
            <w:shd w:val="clear" w:color="auto" w:fill="CCEEFF"/>
          </w:tcPr>
          <w:p>
            <w:pPr>
              <w:spacing w:after="0"/>
              <w:rPr>
                <w:sz w:val="18"/>
                <w:szCs w:val="18"/>
                <w:color w:val="auto"/>
              </w:rPr>
            </w:pPr>
          </w:p>
        </w:tc>
        <w:tc>
          <w:tcPr>
            <w:tcW w:w="596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Comprehensive income attributable to noncontrolling interests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gridSpan w:val="4"/>
          </w:tcPr>
          <w:p>
            <w:pPr>
              <w:ind w:left="20"/>
              <w:spacing w:after="0"/>
              <w:rPr>
                <w:sz w:val="20"/>
                <w:szCs w:val="20"/>
                <w:color w:val="auto"/>
              </w:rPr>
            </w:pPr>
            <w:r>
              <w:rPr>
                <w:rFonts w:ascii="Arial" w:cs="Arial" w:eastAsia="Arial" w:hAnsi="Arial"/>
                <w:sz w:val="18"/>
                <w:szCs w:val="18"/>
                <w:color w:val="auto"/>
              </w:rPr>
              <w:t>Comprehensive income (loss) attributable to G-III Apparel Group, Ltd.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19,474</w:t>
            </w:r>
          </w:p>
        </w:tc>
        <w:tc>
          <w:tcPr>
            <w:tcW w:w="20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Common</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940" w:type="dxa"/>
            <w:vAlign w:val="bottom"/>
            <w:gridSpan w:val="2"/>
            <w:vMerge w:val="continue"/>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Held In</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gridSpan w:val="3"/>
          </w:tcPr>
          <w:p>
            <w:pPr>
              <w:jc w:val="right"/>
              <w:ind w:right="332"/>
              <w:spacing w:after="0" w:line="133"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$ 448,417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$ 916,683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(27,029)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$ 1,336,241</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Equity awards exercised/vested, net</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Other comprehensive income, net</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(6,963)</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(6,963)</w:t>
            </w: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Cumulative effect of change in accounting</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principle</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2"/>
        </w:trPr>
        <w:tc>
          <w:tcPr>
            <w:tcW w:w="3300" w:type="dxa"/>
            <w:vAlign w:val="bottom"/>
          </w:tcPr>
          <w:p>
            <w:pPr>
              <w:ind w:left="20"/>
              <w:spacing w:after="0" w:line="201" w:lineRule="exact"/>
              <w:rPr>
                <w:sz w:val="20"/>
                <w:szCs w:val="20"/>
                <w:color w:val="auto"/>
              </w:rPr>
            </w:pPr>
            <w:r>
              <w:rPr>
                <w:rFonts w:ascii="Arial" w:cs="Arial" w:eastAsia="Arial" w:hAnsi="Arial"/>
                <w:sz w:val="18"/>
                <w:szCs w:val="18"/>
                <w:color w:val="auto"/>
              </w:rPr>
              <w:t>Net income attributable to G-III Apparel</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Group, Ltd.</w:t>
            </w:r>
          </w:p>
        </w:tc>
        <w:tc>
          <w:tcPr>
            <w:tcW w:w="10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26,321</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26,321</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April 30, 2021</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$ 450,961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$ 942,733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(27,025)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$ 1,357,876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$ 452,142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$ 893,138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(36,864)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$ 1,290,672</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Equity awards exercised/vested, net</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(1,185)</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1,185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Taxes paid for net share settlements</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(4,026)</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(39,295)</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(39,295)</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April 30, 2020</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$ 449,840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$ 853,843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(35,679)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$ 1,246,234</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right="19"/>
              <w:spacing w:after="0"/>
              <w:rPr>
                <w:sz w:val="20"/>
                <w:szCs w:val="20"/>
                <w:color w:val="auto"/>
              </w:rPr>
            </w:pPr>
            <w:r>
              <w:rPr>
                <w:rFonts w:ascii="Arial" w:cs="Arial" w:eastAsia="Arial" w:hAnsi="Arial"/>
                <w:sz w:val="14"/>
                <w:szCs w:val="14"/>
                <w:b w:val="1"/>
                <w:bCs w:val="1"/>
                <w:color w:val="auto"/>
                <w:w w:val="96"/>
              </w:rPr>
              <w:t>Three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3"/>
          </w:tcPr>
          <w:p>
            <w:pPr>
              <w:jc w:val="center"/>
              <w:ind w:left="480"/>
              <w:spacing w:after="0" w:line="119" w:lineRule="exact"/>
              <w:rPr>
                <w:sz w:val="20"/>
                <w:szCs w:val="20"/>
                <w:color w:val="auto"/>
              </w:rPr>
            </w:pPr>
            <w:r>
              <w:rPr>
                <w:rFonts w:ascii="Arial" w:cs="Arial" w:eastAsia="Arial" w:hAnsi="Arial"/>
                <w:sz w:val="13"/>
                <w:szCs w:val="13"/>
                <w:b w:val="1"/>
                <w:bCs w:val="1"/>
                <w:color w:val="auto"/>
              </w:rPr>
              <w:t>(Unaudited)</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center"/>
              <w:ind w:right="19"/>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80"/>
              <w:spacing w:after="0"/>
              <w:rPr>
                <w:sz w:val="20"/>
                <w:szCs w:val="20"/>
                <w:color w:val="auto"/>
              </w:rPr>
            </w:pPr>
            <w:r>
              <w:rPr>
                <w:rFonts w:ascii="Arial" w:cs="Arial" w:eastAsia="Arial" w:hAnsi="Arial"/>
                <w:sz w:val="16"/>
                <w:szCs w:val="16"/>
                <w:color w:val="auto"/>
              </w:rPr>
              <w:t>Net income (loss) attributable to G-III Apparel Group, Ltd.</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26,321</w:t>
            </w:r>
          </w:p>
        </w:tc>
        <w:tc>
          <w:tcPr>
            <w:tcW w:w="480" w:type="dxa"/>
            <w:vAlign w:val="bottom"/>
            <w:gridSpan w:val="2"/>
          </w:tcPr>
          <w:p>
            <w:pPr>
              <w:jc w:val="right"/>
              <w:ind w:right="16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(39,295)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80"/>
              <w:spacing w:after="0"/>
              <w:rPr>
                <w:sz w:val="20"/>
                <w:szCs w:val="20"/>
                <w:color w:val="auto"/>
              </w:rPr>
            </w:pPr>
            <w:r>
              <w:rPr>
                <w:rFonts w:ascii="Arial" w:cs="Arial" w:eastAsia="Arial" w:hAnsi="Arial"/>
                <w:sz w:val="16"/>
                <w:szCs w:val="16"/>
                <w:color w:val="auto"/>
                <w:w w:val="95"/>
              </w:rPr>
              <w:t>Adjustments to reconcile net income (loss) to net cash provided by (used in) operating activities: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7,044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9,867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on disposal of fixed assets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200"/>
              <w:spacing w:after="0"/>
              <w:rPr>
                <w:sz w:val="20"/>
                <w:szCs w:val="20"/>
                <w:color w:val="auto"/>
              </w:rPr>
            </w:pPr>
            <w:r>
              <w:rPr>
                <w:rFonts w:ascii="Arial" w:cs="Arial" w:eastAsia="Arial" w:hAnsi="Arial"/>
                <w:sz w:val="16"/>
                <w:szCs w:val="16"/>
                <w:color w:val="auto"/>
              </w:rPr>
              <w:t>Non-cash operating lease costs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10,346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17,443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Gain on lease modifications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200"/>
              <w:spacing w:after="0"/>
              <w:rPr>
                <w:sz w:val="20"/>
                <w:szCs w:val="20"/>
                <w:color w:val="auto"/>
              </w:rPr>
            </w:pPr>
            <w:r>
              <w:rPr>
                <w:rFonts w:ascii="Arial" w:cs="Arial" w:eastAsia="Arial" w:hAnsi="Arial"/>
                <w:sz w:val="16"/>
                <w:szCs w:val="16"/>
                <w:color w:val="auto"/>
              </w:rPr>
              <w:t>Dividend received from unconsolidated affiliate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(gain)/loss in unconsolidated affiliates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200"/>
              <w:spacing w:after="0"/>
              <w:rPr>
                <w:sz w:val="20"/>
                <w:szCs w:val="20"/>
                <w:color w:val="auto"/>
              </w:rPr>
            </w:pPr>
            <w:r>
              <w:rPr>
                <w:rFonts w:ascii="Arial" w:cs="Arial" w:eastAsia="Arial" w:hAnsi="Arial"/>
                <w:sz w:val="16"/>
                <w:szCs w:val="16"/>
                <w:color w:val="auto"/>
              </w:rPr>
              <w:t>Share-based compensation</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2,548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financing charges and debt discount amortization</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(16,415)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(16,731)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108,994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69,834</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Income taxes, net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10,024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Other assets, net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Customer refund liabilities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(10,412)</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Operating lease liabilities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(11,491)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(13,129)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 accrued expenses and other liabilities</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(43,805)</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(136,769)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cash provided by (used in) operating activities</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47,044</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(73,096)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Operating lease assets initial direct costs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Capital expenditures</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(2,666)</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80"/>
              <w:spacing w:after="0"/>
              <w:rPr>
                <w:sz w:val="20"/>
                <w:szCs w:val="20"/>
                <w:color w:val="auto"/>
              </w:rPr>
            </w:pPr>
            <w:r>
              <w:rPr>
                <w:rFonts w:ascii="Arial" w:cs="Arial" w:eastAsia="Arial" w:hAnsi="Arial"/>
                <w:sz w:val="16"/>
                <w:szCs w:val="16"/>
                <w:color w:val="auto"/>
              </w:rPr>
              <w:t>Repayment of borrowings - revolving facility</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(418,355)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3"/>
              </w:rPr>
              <w:t>(355,477)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Proceeds from borrowings - revolving facility</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418,355</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855,477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80"/>
              <w:spacing w:after="0"/>
              <w:rPr>
                <w:sz w:val="20"/>
                <w:szCs w:val="20"/>
                <w:color w:val="auto"/>
              </w:rPr>
            </w:pPr>
            <w:r>
              <w:rPr>
                <w:rFonts w:ascii="Arial" w:cs="Arial" w:eastAsia="Arial" w:hAnsi="Arial"/>
                <w:sz w:val="16"/>
                <w:szCs w:val="16"/>
                <w:color w:val="auto"/>
              </w:rPr>
              <w:t>Repayment of borrowings - foreign facilities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Proceeds from borrowings - foreign facilities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Taxes paid for net share settlements</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cash provided by financing activities</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501,408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tcPr>
          <w:p>
            <w:pPr>
              <w:ind w:left="200"/>
              <w:spacing w:after="0"/>
              <w:rPr>
                <w:sz w:val="20"/>
                <w:szCs w:val="20"/>
                <w:color w:val="auto"/>
              </w:rPr>
            </w:pPr>
            <w:r>
              <w:rPr>
                <w:rFonts w:ascii="Arial" w:cs="Arial" w:eastAsia="Arial" w:hAnsi="Arial"/>
                <w:sz w:val="16"/>
                <w:szCs w:val="16"/>
                <w:color w:val="auto"/>
              </w:rPr>
              <w:t>Net increase in cash and cash equivalents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44,377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418,811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351,934</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197,372</w:t>
            </w:r>
          </w:p>
        </w:tc>
        <w:tc>
          <w:tcPr>
            <w:tcW w:w="0" w:type="dxa"/>
            <w:vAlign w:val="bottom"/>
          </w:tcPr>
          <w:p>
            <w:pPr>
              <w:spacing w:after="0"/>
              <w:rPr>
                <w:sz w:val="1"/>
                <w:szCs w:val="1"/>
                <w:color w:val="auto"/>
              </w:rPr>
            </w:pPr>
          </w:p>
        </w:tc>
      </w:tr>
      <w:tr>
        <w:trPr>
          <w:trHeight w:val="236"/>
        </w:trPr>
        <w:tc>
          <w:tcPr>
            <w:tcW w:w="6600" w:type="dxa"/>
            <w:vAlign w:val="bottom"/>
            <w:gridSpan w:val="2"/>
          </w:tcPr>
          <w:p>
            <w:pPr>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396,311</w:t>
            </w:r>
          </w:p>
        </w:tc>
        <w:tc>
          <w:tcPr>
            <w:tcW w:w="200" w:type="dxa"/>
            <w:vAlign w:val="bottom"/>
          </w:tcPr>
          <w:p>
            <w:pPr>
              <w:spacing w:after="0"/>
              <w:rPr>
                <w:sz w:val="20"/>
                <w:szCs w:val="20"/>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616,183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Supplemental disclosures of cash flow information</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payments: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200"/>
              <w:spacing w:after="0"/>
              <w:rPr>
                <w:sz w:val="20"/>
                <w:szCs w:val="20"/>
                <w:color w:val="auto"/>
              </w:rPr>
            </w:pPr>
            <w:r>
              <w:rPr>
                <w:rFonts w:ascii="Arial" w:cs="Arial" w:eastAsia="Arial" w:hAnsi="Arial"/>
                <w:sz w:val="16"/>
                <w:szCs w:val="16"/>
                <w:color w:val="auto"/>
              </w:rPr>
              <w:t>Interest, net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17,903</w:t>
            </w:r>
          </w:p>
        </w:tc>
        <w:tc>
          <w:tcPr>
            <w:tcW w:w="480" w:type="dxa"/>
            <w:vAlign w:val="bottom"/>
            <w:gridSpan w:val="2"/>
          </w:tcPr>
          <w:p>
            <w:pPr>
              <w:jc w:val="right"/>
              <w:ind w:right="16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6,839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tax payments, net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480" w:type="dxa"/>
            <w:vAlign w:val="bottom"/>
            <w:gridSpan w:val="2"/>
            <w:shd w:val="clear" w:color="auto" w:fill="CCEEFF"/>
          </w:tcPr>
          <w:p>
            <w:pPr>
              <w:jc w:val="right"/>
              <w:ind w:right="16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 – Basis of Presentation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for several product categories.</w:t>
      </w:r>
    </w:p>
    <w:p>
      <w:pPr>
        <w:spacing w:after="0" w:line="18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 consolidates the accounts of its wholly-owned and majority-owned subsidiaries. Fabco Holding B.V (“Fabco”) is a Dutch joint venture limited liability company that was 49% owned by the Company through November 30, 2020. Effective December 1, 2020, the Company increased its ownership interest in Fabco to 75% and Fabco is treated as a consolidated majority-owned subsidiary. KL North America B.V. (“KLNA”) is a Dutch joint venture limited liability company that is 49% owned by the Company. Karl Lagerfeld Holding B.V. (“KLH”) is a Dutch limited liability company that is 19% owned by the Company. The Company accounts for these two investments using the equity method of accounting. All material intercompany balances and transactions have been eliminated.</w:t>
      </w:r>
    </w:p>
    <w:p>
      <w:pPr>
        <w:spacing w:after="0" w:line="17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Vilebrequin International SA (“Vilebrequin”), a Swiss corporation that is wholly-owned by the Company, KLH, KLNA and Fabco report results on a calendar year basis rather than on the January 31 fiscal year basis used by the Company. Accordingly, the results of Vilebrequin, KLH, KLNA and Fabco are, and will be, included in the financial statements for the quarter ended or ending closest to the Company’s fiscal quarter end. For example, with respect to the Company’s results for the three-month period ended April 30, 2021, the results of Vilebrequin, KLH, KLNA and Fabco are included for the three-month period ended March 31, 2021. The Company’s retail operations segment reports on a 52/53-week fiscal year. The Company’s three -month periods ended April 30, 2021 and 2020 were each 13-week periods for the retail operations segment. For fiscal 2022 and 2021, the three-month periods for the retail operations segment ended on May 1, 2021 and May 2, 2020, respectively.</w:t>
      </w:r>
    </w:p>
    <w:p>
      <w:pPr>
        <w:spacing w:after="0" w:line="18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results for the three months ended April 30, 2021 are not necessarily indicative of the results expected for the entire fiscal year, given the seasonal nature of the Company’s business and the significant effects of the COVID-19 pandemic on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accompanying financial statements should be read in conjunction with the financial statements and notes included in the Company’s Annual Report on Form 10-K for the fiscal year ended January 31, 2021 filed with the Securities and Exchange Commission (the “SEC”).</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Assets and liabilities of the Company’s foreign operations, where the functional currency is not the U.S. dollar (reporting currency), are translated from foreign currency into U.S. dollars at period-end rates, while income and expenses are translated at the weighted-average exchange rates for the period. The related translation adjustments are reflected as a foreign currency translation adjustment in accumulated other comprehensive loss within stockholders’ equity.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Effective February 1, 2021, the Company elected to change its method of accounting for retail inventories from the lower of cost or market as determined by the retail inventory method to the lower of cost or net realizable value using the weighted average cost method. The Company believes the new method is preferable as it provides better matching of cost of goods sold with revenue, improves the precision of inventory valuation at the balance sheet dates, and more closely aligns with the valuation methods used throughout the rest of the Company. In addition, the change in inventory valuation better aligns with the way the Company manages its business with a focus on the actual margin realized.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 has determined that it is impractical to apply this change in accounting principle retrospectively due to a lack of available information. The Company has instead applied the change prospectively as of February 1, 2021. The cumulative adjustment as of February 1, 2021 was a decrease in both inventories and retained earnings of $0.3 million. The change in accounting principle did not have a material effect on the Company’s condensed consolidated financial statements as of and for the three-month period ended April 30, 2021.</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2 – Retail Restructuring</w:t>
      </w:r>
    </w:p>
    <w:p>
      <w:pPr>
        <w:spacing w:after="0" w:line="13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fiscal 2021, the Company restructured its retail operations segment, including the closing of the Wilsons Leather, G.H. Bass and Calvin Klein Performance stores. Restructuring charges are recorded within selling, general and administrative expenses in the Company’s condensed consolidated statements of operations and comprehensive income. The following is a reconciliation of the accrual for the quarter ended April 30, 2021:</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Severance and Benefit</w:t>
            </w:r>
          </w:p>
        </w:tc>
        <w:tc>
          <w:tcPr>
            <w:tcW w:w="120" w:type="dxa"/>
            <w:vAlign w:val="bottom"/>
          </w:tcPr>
          <w:p>
            <w:pPr>
              <w:spacing w:after="0"/>
              <w:rPr>
                <w:sz w:val="14"/>
                <w:szCs w:val="14"/>
                <w:color w:val="auto"/>
              </w:rPr>
            </w:pPr>
          </w:p>
        </w:tc>
        <w:tc>
          <w:tcPr>
            <w:tcW w:w="16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9"/>
              </w:rPr>
              <w:t>Store Closing Costs</w:t>
            </w:r>
          </w:p>
        </w:tc>
        <w:tc>
          <w:tcPr>
            <w:tcW w:w="360" w:type="dxa"/>
            <w:vAlign w:val="bottom"/>
          </w:tcPr>
          <w:p>
            <w:pPr>
              <w:spacing w:after="0"/>
              <w:rPr>
                <w:sz w:val="14"/>
                <w:szCs w:val="14"/>
                <w:color w:val="auto"/>
              </w:rPr>
            </w:pPr>
          </w:p>
        </w:tc>
        <w:tc>
          <w:tcPr>
            <w:tcW w:w="118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Costs</w:t>
            </w:r>
          </w:p>
        </w:tc>
        <w:tc>
          <w:tcPr>
            <w:tcW w:w="12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ind w:right="216"/>
              <w:spacing w:after="0" w:line="129"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31, 2021</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Amounts charged to expense</w:t>
            </w:r>
          </w:p>
        </w:tc>
        <w:tc>
          <w:tcPr>
            <w:tcW w:w="34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8"/>
                <w:szCs w:val="18"/>
                <w:color w:val="auto"/>
              </w:rPr>
              <w:t>Balance at April 30, 2021</w:t>
            </w: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remaining severance and benefit costs and store closing costs are expected to be paid during the second quarter of fiscal 2022.</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3 – Allowance for Doubtful Accounts</w:t>
      </w:r>
    </w:p>
    <w:p>
      <w:pPr>
        <w:spacing w:after="0" w:line="13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30 to 60 days. Retail trade receivables primarily relate to amounts due from third-party credit card processors for the settlement of debit and credit card transactions and are typically collected within 3 to 5 days.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Company’s accounts receivable and allowance for doubtful accounts as of April 30, 2021, April 30, 2020 and January 31, 2021 were: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gross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Allowance for doubtful accounts</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gross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Allowance for doubtful accounts</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gross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Allowance for doubtful accounts</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April 30,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Wholesale</w:t>
            </w:r>
          </w:p>
        </w:tc>
        <w:tc>
          <w:tcPr>
            <w:tcW w:w="1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w w:val="94"/>
              </w:rPr>
              <w:t>Retail</w:t>
            </w: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14"/>
        </w:trPr>
        <w:tc>
          <w:tcPr>
            <w:tcW w:w="24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jc w:val="center"/>
              <w:ind w:right="39"/>
              <w:spacing w:after="0" w:line="114" w:lineRule="exact"/>
              <w:rPr>
                <w:sz w:val="20"/>
                <w:szCs w:val="20"/>
                <w:color w:val="auto"/>
              </w:rPr>
            </w:pPr>
            <w:r>
              <w:rPr>
                <w:rFonts w:ascii="Arial" w:cs="Arial" w:eastAsia="Arial" w:hAnsi="Arial"/>
                <w:sz w:val="13"/>
                <w:szCs w:val="13"/>
                <w:b w:val="1"/>
                <w:bCs w:val="1"/>
                <w:color w:val="auto"/>
              </w:rPr>
              <w:t>(In thousands)</w:t>
            </w:r>
          </w:p>
        </w:tc>
        <w:tc>
          <w:tcPr>
            <w:tcW w:w="30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525,568</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1,328</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526,896</w:t>
            </w:r>
          </w:p>
        </w:tc>
        <w:tc>
          <w:tcPr>
            <w:tcW w:w="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(17,414)</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(17,466)</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508,154</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509,430</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5"/>
              </w:rPr>
              <w:t>April 30, 2020</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Wholesale</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Retail</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r>
      <w:tr>
        <w:trPr>
          <w:trHeight w:val="182"/>
        </w:trPr>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428,762</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2,828</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431,590</w:t>
            </w:r>
          </w:p>
        </w:tc>
        <w:tc>
          <w:tcPr>
            <w:tcW w:w="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(10,419)</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(10,447)</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418,343</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2,800</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421,143</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January 31, 2021</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Wholesale</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Retail</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r>
      <w:tr>
        <w:trPr>
          <w:trHeight w:val="182"/>
        </w:trPr>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509,010</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1,147</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510,157</w:t>
            </w:r>
          </w:p>
        </w:tc>
        <w:tc>
          <w:tcPr>
            <w:tcW w:w="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(17,429)</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(17,459)</w:t>
            </w:r>
          </w:p>
        </w:tc>
      </w:tr>
      <w:tr>
        <w:trPr>
          <w:trHeight w:val="209"/>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491,581</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492,698</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-2433955</wp:posOffset>
            </wp:positionV>
            <wp:extent cx="56489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-2159635</wp:posOffset>
            </wp:positionV>
            <wp:extent cx="564896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-1439545</wp:posOffset>
            </wp:positionV>
            <wp:extent cx="56489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-1165225</wp:posOffset>
            </wp:positionV>
            <wp:extent cx="564896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-445135</wp:posOffset>
            </wp:positionV>
            <wp:extent cx="56489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-170815</wp:posOffset>
            </wp:positionV>
            <wp:extent cx="564896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5019"/>
          </w:cols>
          <w:pgMar w:left="1440" w:top="517" w:right="1440"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allowance for doubtful accounts for wholesale trade receivables is estimated based on several factors. In circumstances where the Company is aware of a specific customer’s inability to meet its financial obligations (such as in the case of bankruptcy filings (including potential bankruptcy filings), extensive delay in payment or substantial downgrading by credit rating agencies), a specific reserve for bad debts is recorded against amounts due from that customer to reduce the net recognized receivable to the amount reasonably expected to be collected. For all other wholesale customers, an allowance for doubtful accounts is determined through analysis of the aging of accounts receivable at the end of the reporting period for financial statements, assessments of collectability based on historical trends and an evaluation of the impact of economic conditions. The Company considers both current and forecasted future economic conditions in determining the adequacy of its allowance for doubtful accounts.</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allowance for doubtful accounts for retail trade receivables is estimated at the credit card chargeback rate applied to the previous 90 days of credit card sales. In addition, the Company considers both current and forecasted future economic conditions in determining the adequacy of its allowance for doubtful accounts.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had the following activity in its allowance for credit losses: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Wholesale</w:t>
            </w:r>
          </w:p>
        </w:tc>
        <w:tc>
          <w:tcPr>
            <w:tcW w:w="180" w:type="dxa"/>
            <w:vAlign w:val="bottom"/>
          </w:tcPr>
          <w:p>
            <w:pPr>
              <w:spacing w:after="0"/>
              <w:rPr>
                <w:sz w:val="14"/>
                <w:szCs w:val="14"/>
                <w:color w:val="auto"/>
              </w:rPr>
            </w:pPr>
          </w:p>
        </w:tc>
        <w:tc>
          <w:tcPr>
            <w:tcW w:w="1560" w:type="dxa"/>
            <w:vAlign w:val="bottom"/>
            <w:gridSpan w:val="2"/>
          </w:tcPr>
          <w:p>
            <w:pPr>
              <w:ind w:left="360"/>
              <w:spacing w:after="0"/>
              <w:rPr>
                <w:sz w:val="20"/>
                <w:szCs w:val="20"/>
                <w:color w:val="auto"/>
              </w:rPr>
            </w:pPr>
            <w:r>
              <w:rPr>
                <w:rFonts w:ascii="Arial" w:cs="Arial" w:eastAsia="Arial" w:hAnsi="Arial"/>
                <w:sz w:val="14"/>
                <w:szCs w:val="14"/>
                <w:b w:val="1"/>
                <w:bCs w:val="1"/>
                <w:color w:val="auto"/>
              </w:rPr>
              <w:t>Retail</w:t>
            </w:r>
          </w:p>
        </w:tc>
        <w:tc>
          <w:tcPr>
            <w:tcW w:w="34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8"/>
        </w:trPr>
        <w:tc>
          <w:tcPr>
            <w:tcW w:w="3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173"/>
              <w:spacing w:after="0" w:line="129"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(17,429)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written off as uncollectible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April 30, 2021</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(17,414)</w:t>
            </w:r>
          </w:p>
        </w:tc>
        <w:tc>
          <w:tcPr>
            <w:tcW w:w="3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3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Balance as of January 31, 2020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(628)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(82)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(9,791)</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April 30, 2020</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(10,419)</w:t>
            </w:r>
          </w:p>
        </w:tc>
        <w:tc>
          <w:tcPr>
            <w:tcW w:w="3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Balance as of January 31, 2020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(628)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(82)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(16,934)</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Accounts written off as uncollectible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31, 2021</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(17,429)</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4 – Inventories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Wholesale inventories, which comprise a significant portion of the Company’s inventory, are stated at the lower of cost (determined by the first-in, first-out method) or net realizable value. Prior to February 1, 2021, retail inventories were valued at the lower of cost or market as determined by the retail inventory method. Effective February 1, 2021, the Company elected to change its method of accounting for retail inventories to the lower of cost (determined by the weighted average method) or net realizable value. See Note 1 – Basis of Presentation for more details on the preferability and application of this change in accounting principle. Vilebrequin inventories are stated at the lower of cost (determined by the weighted average method) or net realizable value. Substantially all of the Company’s inventories consist of finished goods.</w:t>
      </w:r>
    </w:p>
    <w:p>
      <w:pPr>
        <w:spacing w:after="0" w:line="16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inventory return asset, which consists of the amount of goods that are anticipated to be returned by customers, represented $16.9 million, $21.3 million and $22.5 million as of April 30, 2021, April 30, 2020 and January 31, 2021, respectively. The inventory return asset is recorded within prepaid expenses and other current assets on the condensed consolidated balance sheets.</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Inventory held on consignment by the Company’s customers totaled $4.6 million, $6.6 million and $3.5 million at April 30, 2021, April 30, 2020 and January 31, 2021, respectively. Consignment inventory is stored at the facilities of the Company’s customers. The Company reflects this inventory on its condensed consolidated balance sheets.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5 – Fair Value of Financial Instruments</w:t>
      </w:r>
    </w:p>
    <w:p>
      <w:pPr>
        <w:spacing w:after="0" w:line="21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Generally Accepted Accounting Principles establish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71" w:lineRule="exact"/>
        <w:rPr>
          <w:sz w:val="20"/>
          <w:szCs w:val="20"/>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based on quoted prices (unadjusted) for identical assets or liabilities in active markets.</w:t>
      </w:r>
    </w:p>
    <w:p>
      <w:pPr>
        <w:spacing w:after="0" w:line="48"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6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methodology based on unobservable prices or valuation techniques that are significant to the fair value measurement.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carrying values and the estimated fair values of the Company’s debt instruments:</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Carrying Value</w:t>
            </w: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8"/>
              </w:rPr>
              <w:t>Fair Value</w:t>
            </w:r>
          </w:p>
        </w:tc>
        <w:tc>
          <w:tcPr>
            <w:tcW w:w="940" w:type="dxa"/>
            <w:vAlign w:val="bottom"/>
            <w:tcBorders>
              <w:bottom w:val="single" w:sz="8" w:color="auto"/>
            </w:tcBorders>
          </w:tcPr>
          <w:p>
            <w:pPr>
              <w:spacing w:after="0"/>
              <w:rPr>
                <w:sz w:val="16"/>
                <w:szCs w:val="16"/>
                <w:color w:val="auto"/>
              </w:rPr>
            </w:pPr>
          </w:p>
        </w:tc>
      </w:tr>
      <w:tr>
        <w:trPr>
          <w:trHeight w:val="119"/>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April 30,</w:t>
            </w:r>
          </w:p>
        </w:tc>
        <w:tc>
          <w:tcPr>
            <w:tcW w:w="200" w:type="dxa"/>
            <w:vAlign w:val="bottom"/>
          </w:tcPr>
          <w:p>
            <w:pPr>
              <w:spacing w:after="0"/>
              <w:rPr>
                <w:sz w:val="10"/>
                <w:szCs w:val="10"/>
                <w:color w:val="auto"/>
              </w:rPr>
            </w:pPr>
          </w:p>
        </w:tc>
        <w:tc>
          <w:tcPr>
            <w:tcW w:w="820" w:type="dxa"/>
            <w:vAlign w:val="bottom"/>
          </w:tcPr>
          <w:p>
            <w:pPr>
              <w:jc w:val="center"/>
              <w:ind w:right="115"/>
              <w:spacing w:after="0" w:line="119" w:lineRule="exact"/>
              <w:rPr>
                <w:sz w:val="20"/>
                <w:szCs w:val="20"/>
                <w:color w:val="auto"/>
              </w:rPr>
            </w:pPr>
            <w:r>
              <w:rPr>
                <w:rFonts w:ascii="Arial" w:cs="Arial" w:eastAsia="Arial" w:hAnsi="Arial"/>
                <w:sz w:val="13"/>
                <w:szCs w:val="13"/>
                <w:b w:val="1"/>
                <w:bCs w:val="1"/>
                <w:color w:val="auto"/>
              </w:rPr>
              <w:t>April 30,</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160" w:type="dxa"/>
            <w:vAlign w:val="bottom"/>
          </w:tcPr>
          <w:p>
            <w:pPr>
              <w:spacing w:after="0"/>
              <w:rPr>
                <w:sz w:val="10"/>
                <w:szCs w:val="10"/>
                <w:color w:val="auto"/>
              </w:rPr>
            </w:pPr>
          </w:p>
        </w:tc>
        <w:tc>
          <w:tcPr>
            <w:tcW w:w="88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April 30,</w:t>
            </w:r>
          </w:p>
        </w:tc>
        <w:tc>
          <w:tcPr>
            <w:tcW w:w="180" w:type="dxa"/>
            <w:vAlign w:val="bottom"/>
          </w:tcPr>
          <w:p>
            <w:pPr>
              <w:spacing w:after="0"/>
              <w:rPr>
                <w:sz w:val="10"/>
                <w:szCs w:val="10"/>
                <w:color w:val="auto"/>
              </w:rPr>
            </w:pPr>
          </w:p>
        </w:tc>
        <w:tc>
          <w:tcPr>
            <w:tcW w:w="78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rPr>
              <w:t>April 30,</w:t>
            </w: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r>
      <w:tr>
        <w:trPr>
          <w:trHeight w:val="185"/>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Financial Instrument</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2020</w:t>
            </w:r>
          </w:p>
        </w:tc>
        <w:tc>
          <w:tcPr>
            <w:tcW w:w="8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2020</w:t>
            </w: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r>
      <w:tr>
        <w:trPr>
          <w:trHeight w:val="155"/>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20" w:type="dxa"/>
            <w:vAlign w:val="bottom"/>
            <w:gridSpan w:val="3"/>
          </w:tcPr>
          <w:p>
            <w:pPr>
              <w:jc w:val="right"/>
              <w:ind w:right="415"/>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Secured notes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400,000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400,000</w:t>
            </w:r>
          </w:p>
        </w:tc>
      </w:tr>
      <w:tr>
        <w:trPr>
          <w:trHeight w:val="216"/>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Term loan</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300,000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300,000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500,000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Note issued to LVMH</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109,406</w:t>
            </w:r>
          </w:p>
        </w:tc>
        <w:tc>
          <w:tcPr>
            <w:tcW w:w="20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103,438</w:t>
            </w:r>
          </w:p>
        </w:tc>
        <w:tc>
          <w:tcPr>
            <w:tcW w:w="880" w:type="dxa"/>
            <w:vAlign w:val="bottom"/>
          </w:tcPr>
          <w:p>
            <w:pPr>
              <w:jc w:val="right"/>
              <w:spacing w:after="0"/>
              <w:rPr>
                <w:sz w:val="20"/>
                <w:szCs w:val="20"/>
                <w:color w:val="auto"/>
              </w:rPr>
            </w:pPr>
            <w:r>
              <w:rPr>
                <w:rFonts w:ascii="Arial" w:cs="Arial" w:eastAsia="Arial" w:hAnsi="Arial"/>
                <w:sz w:val="18"/>
                <w:szCs w:val="18"/>
                <w:color w:val="auto"/>
              </w:rPr>
              <w:t>107,869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103,828</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109,910</w:t>
            </w:r>
          </w:p>
        </w:tc>
        <w:tc>
          <w:tcPr>
            <w:tcW w:w="940" w:type="dxa"/>
            <w:vAlign w:val="bottom"/>
          </w:tcPr>
          <w:p>
            <w:pPr>
              <w:jc w:val="right"/>
              <w:spacing w:after="0"/>
              <w:rPr>
                <w:sz w:val="20"/>
                <w:szCs w:val="20"/>
                <w:color w:val="auto"/>
              </w:rPr>
            </w:pPr>
            <w:r>
              <w:rPr>
                <w:rFonts w:ascii="Arial" w:cs="Arial" w:eastAsia="Arial" w:hAnsi="Arial"/>
                <w:sz w:val="18"/>
                <w:szCs w:val="18"/>
                <w:color w:val="auto"/>
              </w:rPr>
              <w:t>101,810</w:t>
            </w:r>
          </w:p>
        </w:tc>
      </w:tr>
      <w:tr>
        <w:trPr>
          <w:trHeight w:val="21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loans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4,504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w:t>
            </w:r>
          </w:p>
        </w:tc>
      </w:tr>
      <w:tr>
        <w:trPr>
          <w:trHeight w:val="23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Overdraft facilities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3,885</w:t>
            </w:r>
          </w:p>
        </w:tc>
        <w:tc>
          <w:tcPr>
            <w:tcW w:w="20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3,007</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3,885</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3,007</w:t>
            </w:r>
          </w:p>
        </w:tc>
      </w:tr>
    </w:tbl>
    <w:p>
      <w:pPr>
        <w:spacing w:after="0" w:line="18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Company’s debt instruments are recorded at their carrying values in its condensed consolidated balance sheets, which may differ from their respective fair values. 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w:t>
      </w:r>
    </w:p>
    <w:p>
      <w:pPr>
        <w:spacing w:after="0" w:line="1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 xml:space="preserve">The 2% note in the principal amount of $125 million (the “LVMH Note”) issued to LVMH Moet Hennessy Louis Vuitton Inc. (“LVMH”) in connection with the acquisition of Donna Karan International (“DKI”) was recorded on the balance sheet at a discount of $40.0 million in accordance with ASC 820 – </w:t>
      </w:r>
      <w:r>
        <w:rPr>
          <w:rFonts w:ascii="Arial" w:cs="Arial" w:eastAsia="Arial" w:hAnsi="Arial"/>
          <w:sz w:val="16"/>
          <w:szCs w:val="16"/>
          <w:i w:val="1"/>
          <w:iCs w:val="1"/>
          <w:color w:val="auto"/>
        </w:rPr>
        <w:t>Fair Value Measurements</w:t>
      </w:r>
      <w:r>
        <w:rPr>
          <w:rFonts w:ascii="Arial" w:cs="Arial" w:eastAsia="Arial" w:hAnsi="Arial"/>
          <w:sz w:val="16"/>
          <w:szCs w:val="16"/>
          <w:color w:val="auto"/>
        </w:rPr>
        <w:t>. For purposes of this fair value disclosure, the Company based its fair value estimate for the LVMH Note on the initial fair value as determined at the date of the acquisition of DKI and records the amortization using the effective interest method over the term of the LVMH Note.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fair value of the LVMH Note was considered a Level 3 valuation in the fair value hierarchy.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Non-Financial Assets and Liabilities</w:t>
      </w:r>
    </w:p>
    <w:p>
      <w:pPr>
        <w:spacing w:after="0" w:line="21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Company’s non-financial assets that are measured at fair value on a nonrecurring basis include long-lived assets, which consist primarily of property and equipment and operating lease assets. The Company reviews these assets for impairment whenever events or changes in circumstances indicate that their carrying value may not be fully recoverable. For impaired assets, an impairment loss is recognized equal to the difference between the carrying amount of the asset or asset group and its estimated fair value. For operating lease assets, the Company determines the fair value of the assets by discounting the estimated market rental rates over the remaining term of the lease. These fair value measurements are considered level 3 measurements in the fair value hierarchy.</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6 – Leases</w:t>
      </w:r>
    </w:p>
    <w:p>
      <w:pPr>
        <w:spacing w:after="0" w:line="21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leases retail stores, warehouses, distribution centers, office space and certain equipment. Leases with an initial term of 12 months or less are not recorded on the balance sheet. The Company recognizes lease expense for these leases on a straight-line basis over the lease term.</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Most leases are for a term of one to ten years. Some leases include one or more options to renew, with renewal terms that can extend the lease term from one to ten years. Several of the Company’s retail store leases include an option to terminate the lease based on failure to achieve a specified sales volume. The exercise of lease renewal options is generally at the Company’s sole discretion. The exercise of lease termination options is generally by mutual agreement between the Company and the lessor.</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Certain of the Company’s lease agreements include rental payments based on a percentage of retail sales over contractual levels and others include rental payments adjusted periodically for inflation. The Company’s leases do not contain any material residual value guarantees or material restrictive covenants.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Company’s lease assets and liabilities as of April 30, 2021, April 30, 2020 and January 31, 2021 consist of the following: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96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Classification</w:t>
            </w:r>
          </w:p>
        </w:tc>
        <w:tc>
          <w:tcPr>
            <w:tcW w:w="1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 2021</w:t>
            </w:r>
          </w:p>
        </w:tc>
        <w:tc>
          <w:tcPr>
            <w:tcW w:w="1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 2020</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2"/>
              </w:rPr>
              <w:t>January 31, 2021</w:t>
            </w:r>
          </w:p>
        </w:tc>
      </w:tr>
      <w:tr>
        <w:trPr>
          <w:trHeight w:val="142"/>
        </w:trPr>
        <w:tc>
          <w:tcPr>
            <w:tcW w:w="1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16"/>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Operating</w:t>
            </w:r>
          </w:p>
        </w:tc>
        <w:tc>
          <w:tcPr>
            <w:tcW w:w="2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lease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180,715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251,565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186,070</w:t>
            </w:r>
          </w:p>
        </w:tc>
      </w:tr>
      <w:tr>
        <w:trPr>
          <w:trHeight w:val="209"/>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assets</w:t>
            </w:r>
          </w:p>
        </w:tc>
        <w:tc>
          <w:tcPr>
            <w:tcW w:w="2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180,715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251,565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186,070</w:t>
            </w:r>
          </w:p>
        </w:tc>
      </w:tr>
      <w:tr>
        <w:trPr>
          <w:trHeight w:val="20"/>
        </w:trPr>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60" w:type="dxa"/>
            <w:vAlign w:val="bottom"/>
            <w:gridSpan w:val="2"/>
          </w:tcPr>
          <w:p>
            <w:pPr>
              <w:ind w:left="120"/>
              <w:spacing w:after="0"/>
              <w:rPr>
                <w:sz w:val="20"/>
                <w:szCs w:val="20"/>
                <w:color w:val="auto"/>
              </w:rPr>
            </w:pPr>
            <w:r>
              <w:rPr>
                <w:rFonts w:ascii="Arial" w:cs="Arial" w:eastAsia="Arial" w:hAnsi="Arial"/>
                <w:sz w:val="18"/>
                <w:szCs w:val="18"/>
                <w:color w:val="auto"/>
              </w:rPr>
              <w:t>Current operating</w:t>
            </w:r>
          </w:p>
        </w:tc>
        <w:tc>
          <w:tcPr>
            <w:tcW w:w="2900" w:type="dxa"/>
            <w:vAlign w:val="bottom"/>
            <w:gridSpan w:val="2"/>
          </w:tcPr>
          <w:p>
            <w:pPr>
              <w:spacing w:after="0"/>
              <w:rPr>
                <w:sz w:val="20"/>
                <w:szCs w:val="20"/>
                <w:color w:val="auto"/>
              </w:rPr>
            </w:pPr>
            <w:r>
              <w:rPr>
                <w:rFonts w:ascii="Arial" w:cs="Arial" w:eastAsia="Arial" w:hAnsi="Arial"/>
                <w:sz w:val="18"/>
                <w:szCs w:val="18"/>
                <w:color w:val="auto"/>
              </w:rPr>
              <w:t>Current operating lease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43,656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63,632</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43,560</w:t>
            </w:r>
          </w:p>
        </w:tc>
      </w:tr>
      <w:tr>
        <w:trPr>
          <w:trHeight w:val="216"/>
        </w:trPr>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Noncurrent operating</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Noncurrent operating lease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155,218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231,323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161,668</w:t>
            </w:r>
          </w:p>
        </w:tc>
      </w:tr>
      <w:tr>
        <w:trPr>
          <w:trHeight w:val="21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Total lease liabilities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198,874</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294,955</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205,228</w:t>
            </w:r>
          </w:p>
        </w:tc>
      </w:tr>
      <w:tr>
        <w:trPr>
          <w:trHeight w:val="20"/>
        </w:trPr>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Company’s operating lease assets and operating lease liabilities significantly declined during fiscal 2021 due to the restructuring of the retail operations segment, partially offset by other leasing activity. As a result of this restructuring, the Company closed its Wilsons Leather, G.H. Bass and Calvin Klein Performance stores during fiscal 2021.</w:t>
      </w:r>
    </w:p>
    <w:p>
      <w:pPr>
        <w:spacing w:after="0" w:line="14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recorded lease costs of $13.6 million and $22.4 million during the three months ended April 30, 2021 and 2020, respectively. Lease costs are recorded within selling, general and administrative expenses in the Company’s condensed consolidated statements of operations and comprehensive income. The Company recorded variable lease costs and short-term lease costs of $1.5 million and $3.4 million for the three months ended April 30, 2021 and 2020, respectively. Short-term lease costs are immaterial. As of April 30, 2021, the Company has $2.3 million of deferred lease payments recorded within accounts payable on its condensed consolidated balance sheets.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April 30, 2021, the Company’s maturity of operating lease liabilities in the years ending up to January 31, 2026 and thereafter are as follows: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Year Ending January 31,</w:t>
            </w:r>
          </w:p>
        </w:tc>
        <w:tc>
          <w:tcPr>
            <w:tcW w:w="4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ind w:right="873"/>
              <w:spacing w:after="0"/>
              <w:rPr>
                <w:sz w:val="20"/>
                <w:szCs w:val="20"/>
                <w:color w:val="auto"/>
              </w:rPr>
            </w:pPr>
            <w:r>
              <w:rPr>
                <w:rFonts w:ascii="Arial" w:cs="Arial" w:eastAsia="Arial" w:hAnsi="Arial"/>
                <w:sz w:val="14"/>
                <w:szCs w:val="14"/>
                <w:b w:val="1"/>
                <w:bCs w:val="1"/>
                <w:color w:val="auto"/>
              </w:rPr>
              <w:t>Amount</w:t>
            </w:r>
          </w:p>
        </w:tc>
      </w:tr>
      <w:tr>
        <w:trPr>
          <w:trHeight w:val="142"/>
        </w:trPr>
        <w:tc>
          <w:tcPr>
            <w:tcW w:w="6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tcPr>
          <w:p>
            <w:pPr>
              <w:jc w:val="right"/>
              <w:ind w:right="673"/>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43,363</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52,321</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39,337</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2025</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32,171</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25,626</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2026</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58,124</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250,942</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52,068</w:t>
            </w:r>
          </w:p>
        </w:tc>
      </w:tr>
      <w:tr>
        <w:trPr>
          <w:trHeight w:val="209"/>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198,874</w:t>
            </w:r>
          </w:p>
        </w:tc>
      </w:tr>
      <w:tr>
        <w:trPr>
          <w:trHeight w:val="20"/>
        </w:trPr>
        <w:tc>
          <w:tcPr>
            <w:tcW w:w="6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April 30, 2021, there are no material leases that are legally binding but have not yet commenced.</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April 30, 2021, the weighted average remaining lease term related to operating leases is 5.6 years. The weighted average discount rate related to operating leases is 8.3%.</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Cash paid for amounts included in the measurement of operating lease liabilities is $14.8 million and $23.4 million during the three months ended April 30, 2021 and April 30, 2020, respectively. Right-of-use assets obtained in exchange for lease obligations were $6.5 million and $4.6 million as of April 30, 2021 and April 30, 2020, respectively.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7 – Net Income (Loss) per Common Share</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Basic net income (loss)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unit awards and stock options outstanding during the period. Approximately 238,500 shares of common stock have been excluded from the diluted net income per share calculation for the three months ended April 30, 2021. All share-based payments outstanding that vest based on the achievement of performance conditions, and for which the respective performance conditions have not been achieved, have been excluded from the diluted per share calculation.</w:t>
      </w:r>
    </w:p>
    <w:p>
      <w:pPr>
        <w:spacing w:after="0" w:line="16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reconciles the numerators and denominators used in the calculation of basic and diluted net income (loss) per share:</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gridSpan w:val="7"/>
          </w:tcPr>
          <w:p>
            <w:pPr>
              <w:jc w:val="center"/>
              <w:ind w:right="660"/>
              <w:spacing w:after="0"/>
              <w:rPr>
                <w:sz w:val="20"/>
                <w:szCs w:val="20"/>
                <w:color w:val="auto"/>
              </w:rPr>
            </w:pPr>
            <w:r>
              <w:rPr>
                <w:rFonts w:ascii="Arial" w:cs="Arial" w:eastAsia="Arial" w:hAnsi="Arial"/>
                <w:sz w:val="14"/>
                <w:szCs w:val="14"/>
                <w:b w:val="1"/>
                <w:bCs w:val="1"/>
                <w:color w:val="auto"/>
                <w:w w:val="95"/>
              </w:rPr>
              <w:t>Three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614"/>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1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60" w:type="dxa"/>
            <w:vAlign w:val="bottom"/>
            <w:gridSpan w:val="7"/>
          </w:tcPr>
          <w:p>
            <w:pPr>
              <w:jc w:val="center"/>
              <w:ind w:right="412"/>
              <w:spacing w:after="0" w:line="142" w:lineRule="exact"/>
              <w:rPr>
                <w:sz w:val="20"/>
                <w:szCs w:val="20"/>
                <w:color w:val="auto"/>
              </w:rPr>
            </w:pPr>
            <w:r>
              <w:rPr>
                <w:rFonts w:ascii="Arial" w:cs="Arial" w:eastAsia="Arial" w:hAnsi="Arial"/>
                <w:sz w:val="14"/>
                <w:szCs w:val="14"/>
                <w:b w:val="1"/>
                <w:bCs w:val="1"/>
                <w:color w:val="auto"/>
                <w:w w:val="91"/>
              </w:rPr>
              <w:t>(In thousands, except per share amounts)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2"/>
              </w:rPr>
              <w:t>Net income (loss) attributable to G-III Apparel Group, Ltd.</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26,321</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Basic net income (loss) per share: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Basic common shares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48,377</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398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Basic net income (loss) per share</w:t>
            </w:r>
          </w:p>
        </w:tc>
        <w:tc>
          <w:tcPr>
            <w:tcW w:w="2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2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Diluted net income (loss) per share: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Basic common shares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48,377</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4"/>
          </w:tcPr>
          <w:p>
            <w:pPr>
              <w:ind w:left="100"/>
              <w:spacing w:after="0"/>
              <w:rPr>
                <w:sz w:val="20"/>
                <w:szCs w:val="20"/>
                <w:color w:val="auto"/>
              </w:rPr>
            </w:pPr>
            <w:r>
              <w:rPr>
                <w:rFonts w:ascii="Arial" w:cs="Arial" w:eastAsia="Arial" w:hAnsi="Arial"/>
                <w:sz w:val="18"/>
                <w:szCs w:val="18"/>
                <w:color w:val="auto"/>
                <w:w w:val="96"/>
              </w:rPr>
              <w:t>Dilutive restricted stock unit awards and stock options</w:t>
            </w: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2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Diluted common shares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3"/>
          </w:tcPr>
          <w:p>
            <w:pPr>
              <w:ind w:left="100"/>
              <w:spacing w:after="0"/>
              <w:rPr>
                <w:sz w:val="20"/>
                <w:szCs w:val="20"/>
                <w:color w:val="auto"/>
              </w:rPr>
            </w:pPr>
            <w:r>
              <w:rPr>
                <w:rFonts w:ascii="Arial" w:cs="Arial" w:eastAsia="Arial" w:hAnsi="Arial"/>
                <w:sz w:val="18"/>
                <w:szCs w:val="18"/>
                <w:color w:val="auto"/>
              </w:rPr>
              <w:t>Diluted net income (loss) per share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3"/>
            <w:vMerge w:val="restart"/>
          </w:tcPr>
          <w:p>
            <w:pPr>
              <w:spacing w:after="0"/>
              <w:rPr>
                <w:sz w:val="20"/>
                <w:szCs w:val="20"/>
                <w:color w:val="auto"/>
              </w:rPr>
            </w:pPr>
            <w:r>
              <w:rPr>
                <w:rFonts w:ascii="Arial" w:cs="Arial" w:eastAsia="Arial" w:hAnsi="Arial"/>
                <w:sz w:val="18"/>
                <w:szCs w:val="18"/>
                <w:color w:val="auto"/>
              </w:rPr>
              <w:t>Note 8 – Notes Payable</w:t>
            </w: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39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Long-term debt consists of the following:</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2"/>
              </w:rPr>
              <w:t>April 30, 2021</w:t>
            </w:r>
          </w:p>
        </w:tc>
        <w:tc>
          <w:tcPr>
            <w:tcW w:w="120" w:type="dxa"/>
            <w:vAlign w:val="bottom"/>
          </w:tcPr>
          <w:p>
            <w:pPr>
              <w:spacing w:after="0"/>
              <w:rPr>
                <w:sz w:val="23"/>
                <w:szCs w:val="23"/>
                <w:color w:val="auto"/>
              </w:rPr>
            </w:pPr>
          </w:p>
        </w:tc>
        <w:tc>
          <w:tcPr>
            <w:tcW w:w="1340" w:type="dxa"/>
            <w:vAlign w:val="bottom"/>
            <w:gridSpan w:val="3"/>
          </w:tcPr>
          <w:p>
            <w:pPr>
              <w:ind w:left="140"/>
              <w:spacing w:after="0"/>
              <w:rPr>
                <w:sz w:val="20"/>
                <w:szCs w:val="20"/>
                <w:color w:val="auto"/>
              </w:rPr>
            </w:pPr>
            <w:r>
              <w:rPr>
                <w:rFonts w:ascii="Arial" w:cs="Arial" w:eastAsia="Arial" w:hAnsi="Arial"/>
                <w:sz w:val="14"/>
                <w:szCs w:val="14"/>
                <w:b w:val="1"/>
                <w:bCs w:val="1"/>
                <w:color w:val="auto"/>
              </w:rPr>
              <w:t>April 30, 2020</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60"/>
              <w:spacing w:after="0" w:line="129"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Secured Notes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Term Loan</w:t>
            </w:r>
          </w:p>
        </w:tc>
        <w:tc>
          <w:tcPr>
            <w:tcW w:w="280" w:type="dxa"/>
            <w:vAlign w:val="bottom"/>
          </w:tcPr>
          <w:p>
            <w:pPr>
              <w:spacing w:after="0"/>
              <w:rPr>
                <w:sz w:val="19"/>
                <w:szCs w:val="19"/>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LVMH Note</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Unsecured loans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Overdraft facilities</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3,885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537,701</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929,504</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Less: Net debt issuance costs </w:t>
            </w:r>
            <w:r>
              <w:rPr>
                <w:rFonts w:ascii="Arial" w:cs="Arial" w:eastAsia="Arial" w:hAnsi="Arial"/>
                <w:sz w:val="25"/>
                <w:szCs w:val="25"/>
                <w:color w:val="auto"/>
                <w:vertAlign w:val="superscript"/>
              </w:rPr>
              <w:t>(1)</w:t>
            </w:r>
          </w:p>
        </w:tc>
        <w:tc>
          <w:tcPr>
            <w:tcW w:w="280" w:type="dxa"/>
            <w:vAlign w:val="bottom"/>
          </w:tcPr>
          <w:p>
            <w:pPr>
              <w:spacing w:after="0"/>
              <w:rPr>
                <w:sz w:val="18"/>
                <w:szCs w:val="18"/>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(7,218)</w:t>
            </w:r>
          </w:p>
        </w:tc>
        <w:tc>
          <w:tcPr>
            <w:tcW w:w="12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(6,748)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Debt discount</w:t>
            </w:r>
          </w:p>
        </w:tc>
        <w:tc>
          <w:tcPr>
            <w:tcW w:w="2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(15,594)</w:t>
            </w: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(21,562)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ind w:left="42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18"/>
                <w:szCs w:val="18"/>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(5,105)</w:t>
            </w:r>
          </w:p>
        </w:tc>
        <w:tc>
          <w:tcPr>
            <w:tcW w:w="12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(512)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9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509,784</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900,682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jc w:val="both"/>
        <w:ind w:left="380" w:right="79" w:hanging="330"/>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5"/>
          <w:szCs w:val="15"/>
          <w:color w:val="auto"/>
        </w:rPr>
        <w:t>Does not include debt issuance costs, net of amortization, totaling $6.8 million, $3.9 million and $7.2 million as of April 30, 2021, April 30, 2020 and January 31, 2021, respectively, related to the revolving credit facility. These debt issuance costs have been deferred and are classified in assets in the accompanying condensed consolidated balance sheets in accordance with ASC 835.</w:t>
      </w:r>
    </w:p>
    <w:p>
      <w:pPr>
        <w:sectPr>
          <w:pgSz w:w="11900" w:h="16838" w:orient="portrait"/>
          <w:cols w:equalWidth="0" w:num="1">
            <w:col w:w="9019"/>
          </w:cols>
          <w:pgMar w:left="1440" w:top="517"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Notes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August 2020, the Company completed a private debt offering of $400 million aggregate principal amount of its 7.875% Senior Secured Notes due 2025 (the “Notes”). The terms of the Notes are governed by an indenture (the “Indenture”), among the Company, the guarantors party thereto and U.S. Bank, National Association, as trustee and collateral agent (the “Collateral Agent”). The net proceeds of the Notes have been used (i) to repay the $300 million that was outstanding under the Company’s prior term loan facility due 2022 (the “Term Loan”), (ii) to pay related fees and expenses and (iii) for general corporate purposes.</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Notes bear interest at a rate of 7.875% per year payable semi-annually in arrears on February 15 and August 15 of each year, commencing on February 15, 2021.</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Notes are unconditionally guaranteed on a senior-priority secured basis by the Company’s current and future wholly-owned domestic subsidiaries that guarantee any of the Company’s credit facilities, including the Company’s ABL facility (the “ABL Facility”) pursuant to the ABL Credit Agreement, or certain future capital markets indebtedness of the Company or guarantors.</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Notes and the related guarantees are secured by (i) first priority liens on the Company’s Cash Flow Priority Collateral (as defined in the Indenture), and (ii) a second-priority lien on the Company’s ABL Priority Collateral (as defined in the Indenture), in each case subject to permitted liens described in the Indenture.</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In connection with the issuance of the Notes and execution of the Indenture, the Company and the Guarantors entered into a pledge and security agreement (the “Pledge and Security Agreement”), among the Company, the Guarantors and the Collateral Agent.</w:t>
      </w:r>
    </w:p>
    <w:p>
      <w:pPr>
        <w:spacing w:after="0" w:line="18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The Notes are also subject to the terms of the seller note subordination agreement which governs the relative rights of the secured parties in respect of the Seller Note (as defined therein), the ABL Facility and the Notes.</w:t>
      </w:r>
    </w:p>
    <w:p>
      <w:pPr>
        <w:spacing w:after="0" w:line="1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At any time prior to August 15, 2022, the Company may redeem some or all of the Notes at a price equal to 100% of the principal amount of the Notes redeemed plus accrued and unpaid interest, if any, to, but excluding, the applicable redemption date plus a “make-whole” premium, as described in the Indenture. On or after August 15, 2022, the Company may redeem some or all of the Notes at any time and from time to time at the redemption prices set forth in the Indenture, plus accrued and unpaid interest, if any, to, but excluding, the applicable redemption date. In addition, at any time prior to August 15, 2022, the Company may redeem up to 40% of the aggregate principal amount of the Notes with the proceeds of certain equity offerings at the redemption price set forth in the Indenture, plus accrued and unpaid interest, if any, to, but excluding, the applicable redemption date. In addition, at any time prior to August 15, 2022, during any twelve month period, the Company may redeem up to 10% of the aggregate principal amount of the Notes at a redemption price equal to 103% of the principal amount of the Notes redeemed plus accrued and unpaid interest, if any, to, but excluding, the applicable redemption date.</w:t>
      </w:r>
    </w:p>
    <w:p>
      <w:pPr>
        <w:spacing w:after="0" w:line="18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the Company experiences a Change of Control (as defined in the Indenture), the Company is required to offer to repurchase the Notes at 101% of the principal amount of such Notes plus accrued and unpaid interest, if any, to, but excluding, the date of repurchase.</w:t>
      </w:r>
    </w:p>
    <w:p>
      <w:pPr>
        <w:spacing w:after="0" w:line="184"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Indenture contains covenants that, among other things, limit the Company’s ability and the ability of its restricted subsidiaries to incur or guarantee additional indebtedness, pay dividends or make other restricted payments, make certain investments, incur restrictions on the ability of the Company’s restricted subsidiaries that are not guarantors to pay dividends or make certain other payments, create or incur certain liens, sell assets and subsidiary stock, impair the security interests, transfer all or substantially all of the Company’s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w:t>
      </w:r>
    </w:p>
    <w:p>
      <w:pPr>
        <w:sectPr>
          <w:pgSz w:w="11900" w:h="16838" w:orient="portrait"/>
          <w:cols w:equalWidth="0" w:num="1">
            <w:col w:w="9019"/>
          </w:cols>
          <w:pgMar w:left="1440" w:top="517"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failure to perfect certain collateral securing the Notes failure to pay certain final judgments, and certain events of bankruptcy or insolvency.</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incurred debt issuance costs totaling $8.5 million related to the Notes that will be amortized over the term of the Notes. In accordance with ASC 835, the debt issuance costs have been deferred and are presented as a contra-liability, offsetting the outstanding balance of the Notes, and are amortized over the remaining life of the Notes. In addition, the Company had unamortized debt issuance costs of $6.1 million associated with the Term Loan. Upon repayment of the Term Loan, these debt issuance costs were fully extinguished and charged to interest expense in the Company’s results of operations.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Second Amended and Restated ABL Credit Agreement</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August 2020, the Company’s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the LVMH Note is not refinanced or repaid prior to the date that is 91 days prior to the date of any relevant payment thereunder. The ABL Credit Agreement provides for borrowings in the aggregate principal amount of up to $650 million. The Company and its subsidiaries, G-III Apparel Canada ULC, Gabrielle Studio, Inc., Donna Karan International Inc. and Donna Karan Studio LLC (the “Guarantors”), are Loan Guarantors under the ABL Credit Agreement</w:t>
      </w:r>
    </w:p>
    <w:p>
      <w:pPr>
        <w:spacing w:after="0" w:line="18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ABL Credit Agreement refinances, amends and restates the Amended Credit Agreement, dated as of December 1, 2016 (as amended, supplemented or otherwise modified from time to time prior to August 7, 2020, the “Prior Credit Agreement”), by and among the Borrowers and the Loan Guarantors (each as defined therein) party thereto, the lenders from time to time party thereto, and JPMorgan Chase Bank, N.A., in its capacity as the administrative agent thereunder. The Prior Credit Agreement provided for borrowings of up to $650 million and was due to expire in December 2021. The ABL Credit Agreement extends the maturity date to August 2025, subject to a springing maturity date if, subject to certain conditions, the LVMH Note is not refinanced or repaid prior to the date that is 91 days prior to the date of any relevant payment thereunder.</w:t>
      </w:r>
    </w:p>
    <w:p>
      <w:pPr>
        <w:spacing w:after="0" w:line="19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The ABL Credit Agreement is secured by specified assets of the Borrowers and the Guarantors. In addition to paying interest on any outstanding borrowings under the ABL Credit Agreement, the Company is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w:t>
      </w:r>
    </w:p>
    <w:p>
      <w:pPr>
        <w:spacing w:after="0" w:line="17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revolving credit facility contains covenants that, among other things, restrict the Company’s ability, subject to specified exceptions, to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April 30, 2021, the Company was in compliance with these covenants.</w:t>
      </w:r>
    </w:p>
    <w:p>
      <w:pPr>
        <w:spacing w:after="0" w:line="16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of April 30, 2021, the Company had no borrowings outstanding under the ABL Credit Agreement. There were no borrowings under the ABL Credit Agreement during the three months ended April 30, 2021. The ABL credit agreement also includes amounts available for letters of credit. As of April 30, 2021, there were outstanding trade and standby letters of credit amounting to $10.9 million and $4.0 million, respectively.</w:t>
      </w:r>
    </w:p>
    <w:p>
      <w:pPr>
        <w:sectPr>
          <w:pgSz w:w="11900" w:h="16838" w:orient="portrait"/>
          <w:cols w:equalWidth="0" w:num="1">
            <w:col w:w="9019"/>
          </w:cols>
          <w:pgMar w:left="1440" w:top="517" w:right="1440"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At the date of the refinancing of the Prior Credit Agreement, the Company had $3.3 million of unamortized debt issuance costs remaining from the Prior Credit Agreement. The Company extinguished and charged to interest expense $0.4 million of the prior debt issuance costs and incurred new debt issuance costs totaling $5.1 million related to the ABL Credit Agreement. The Company has a total of $8.0 million debt issuance costs related to its ABL Credit Agreement. As permitted under ASC 835, the debt issuance costs have been deferred and are presented as an asset which is to be subsequently amortized ratably over the term of the ABL Credit Agreement.</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a portion of the consideration for the acquisition of DKI, the Company issued to LVMH a junior lien secured promissory note in the principal amount of $125.0 million that bears interest at the rate of 2% per year. $75.0 million of the principal amount of the LVMH Note is due and payable on June 1, 2023 and $50.0 million of such principal amount is due and payable on December 1, 2023.</w:t>
      </w:r>
    </w:p>
    <w:p>
      <w:pPr>
        <w:spacing w:after="0" w:line="187"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ASC 820 requires the note to be recorded at fair value at issuance. As a result, the Company recorded a $40.0 million debt discount. This discount is being amortized as interest expense using the effective interest method over the term of the LVMH Note.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Unsecured Loans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During fiscal 2020 and fiscal 2021, T.R.B International SA (“TRB”), a subsidiary of Vilebrequin, borrowed funds under several unsecured loans. A portion of the unsecured loans were to provide funding for operations in the normal course of business, while other unsecured loans were various European state backed loans as part of COVID-19 relief programs. In the aggregate, TRB is currently required to make quarterly installment payments of €0.2 million under these loans. Interest on the outstanding principal amount of the unsecured loans accrues at a fixed rate equal to 0% to 2.0% per annum, payable on either a quarterly or monthly basis. As of April 30, 2021, TRB had an aggregate outstanding balance of €7.5 million under these various unsecured loans.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Overdraft Facilities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During fiscal 2021,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rate equal to the Euro Interbank Offered Rate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April 30, 2021, TRB had an aggregate of €3.3 million drawn under these various facilities.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9 – Revenue Recognition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In accordance with ASC 606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discloses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has identified the wholesale operations segment and the retail operations segment as distinct sources of revenue.</w:t>
      </w:r>
    </w:p>
    <w:p>
      <w:pPr>
        <w:spacing w:after="0" w:line="18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i w:val="1"/>
          <w:iCs w:val="1"/>
          <w:color w:val="auto"/>
        </w:rPr>
        <w:t xml:space="preserve">Wholesale Operations Segment. </w:t>
      </w:r>
      <w:r>
        <w:rPr>
          <w:rFonts w:ascii="Arial" w:cs="Arial" w:eastAsia="Arial" w:hAnsi="Arial"/>
          <w:sz w:val="16"/>
          <w:szCs w:val="16"/>
          <w:color w:val="auto"/>
        </w:rPr>
        <w:t>Wholesale revenues include sales of products to retailers under owned, licensed and</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label brands, as well as sales related to the Vilebrequin business.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 arising from implicit or explicit obligations. Wholesale revenues also include revenues from license agreements related to the DKNY, Donna Karan, G.H. Bass, Andrew Marc and Vilebrequin</w:t>
      </w:r>
    </w:p>
    <w:p>
      <w:pPr>
        <w:sectPr>
          <w:pgSz w:w="11900" w:h="16838" w:orient="portrait"/>
          <w:cols w:equalWidth="0" w:num="1">
            <w:col w:w="9019"/>
          </w:cols>
          <w:pgMar w:left="1440" w:top="517"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trademarks owned by the Company. As of April 30, 2021, revenues from license agreements represented an insignificant portion of wholesale revenues.</w:t>
      </w:r>
    </w:p>
    <w:p>
      <w:pPr>
        <w:spacing w:after="0" w:line="17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Retail Operations Segment. </w:t>
      </w:r>
      <w:r>
        <w:rPr>
          <w:rFonts w:ascii="Arial" w:cs="Arial" w:eastAsia="Arial" w:hAnsi="Arial"/>
          <w:sz w:val="17"/>
          <w:szCs w:val="17"/>
          <w:color w:val="auto"/>
        </w:rPr>
        <w:t>Retail store revenues are generated by direct sales to consumers through company-operated</w:t>
      </w:r>
      <w:r>
        <w:rPr>
          <w:rFonts w:ascii="Arial" w:cs="Arial" w:eastAsia="Arial" w:hAnsi="Arial"/>
          <w:sz w:val="17"/>
          <w:szCs w:val="17"/>
          <w:i w:val="1"/>
          <w:iCs w:val="1"/>
          <w:color w:val="auto"/>
        </w:rPr>
        <w:t xml:space="preserve"> </w:t>
      </w:r>
      <w:r>
        <w:rPr>
          <w:rFonts w:ascii="Arial" w:cs="Arial" w:eastAsia="Arial" w:hAnsi="Arial"/>
          <w:sz w:val="17"/>
          <w:szCs w:val="17"/>
          <w:color w:val="auto"/>
        </w:rPr>
        <w:t>stores and product sales through the Company’s digital channels for the DKNY, Donna Karan, G.H. Bass, Karl Lagerfeld Paris, Andrew Marc and Wilsons Leather businesses. Prior to completion of the restructuring in fiscal 2021, retail stores primarily consisted of Wilsons Leather, G.H. Bass, DKNY and Karl Lagerfeld Paris retail stores, substantially all of which are operated as outlet stores. The Company’s Wilsons Leather and G.H. Bass stores were closed in fiscal 2021 as a result of the restructuring. Retail operations segment revenues are recognized at the point of sale when the customer takes possession of the goods and tenders payment. Digital revenues primarily consist of sales to consumers through the Company’s digital platforms. Digital revenue is recognized when a customer takes possession of the goods. Retail sales are recorded net of applicable sales tax.</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Company’s contract liabilities, which are recorded within accrued expenses in the accompanying condensed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$4.1 million, $4.1 million and $5.9 million at April 30, 2021, April 30, 2020 and January 31, 2021, respectively. The Company recognized $3.2 million in revenue for the three months ended April 30, 2021 related to contract liabilities that existed at January 31, 2021. The Company recognized $3.5 million in revenue for the three months ended April 30, 2020 related to contract liabilities that existed at January 31, 2020. There were no contract assets recorded as of April 30, 2021, April 30, 2020 and January 31, 2021. Substantially all of the advance payments from licensees as of April 30, 2021 are expected to be recognized as revenue within the next twelve months.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10 – Segments</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under the Company’s owned, licensed and private label brands, as well as sales related to the Vilebrequin business. Wholesale revenues also include revenues from license agreements related to our owned trademarks including DKNY, Donna Karan, Vilebrequin, G.H. Bass and Andrew Marc. The retail operations segment consists primarily of direct sales to consumers through Company-operated stores, which, prior to the completion of the retail restructuring in fiscal 2021, consisted primarily of Wilsons Leather, G.H. Bass, DKNY and Karl Lagerfeld Paris stores, substantially all of which were operated as outlet stores. Sales through Company-owned channels, with the exception of Vilebrequin, are also included in the retail operations segment. As a result of the restructuring of the Company’s retail operations, the Company closed its Wilsons Leather, G.H. Bass and Calvin Klein Performance retail stores during fiscal 2021. After completion of the restructuring, the Company’s retail operations segment consists of DKNY and Karl Lagerfeld Paris stores, as well as the digital channels for DKNY, Donna Karan, Karl Lagerfeld Paris, G.H. Bass, Andrew Marc and Wilsons Leather.</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segment information is presented for the three-month periods indicated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April 30, 2021</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42"/>
        </w:trPr>
        <w:tc>
          <w:tcPr>
            <w:tcW w:w="4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5"/>
              </w:rPr>
              <w:t>Wholesale</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Retail</w:t>
            </w:r>
          </w:p>
        </w:tc>
        <w:tc>
          <w:tcPr>
            <w:tcW w:w="200" w:type="dxa"/>
            <w:vAlign w:val="bottom"/>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r>
      <w:tr>
        <w:trPr>
          <w:trHeight w:val="128"/>
        </w:trPr>
        <w:tc>
          <w:tcPr>
            <w:tcW w:w="4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19,419</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(11,023)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519,910</w:t>
            </w: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325,821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9,643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(11,023)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324,441</w:t>
            </w:r>
          </w:p>
        </w:tc>
      </w:tr>
      <w:tr>
        <w:trPr>
          <w:trHeight w:val="209"/>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185,693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9,776</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195,469</w:t>
            </w: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125,334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16,269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141,603</w:t>
            </w: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w:t>
            </w:r>
          </w:p>
        </w:tc>
      </w:tr>
      <w:tr>
        <w:trPr>
          <w:trHeight w:val="209"/>
        </w:trPr>
        <w:tc>
          <w:tcPr>
            <w:tcW w:w="4300" w:type="dxa"/>
            <w:vAlign w:val="bottom"/>
          </w:tcPr>
          <w:p>
            <w:pPr>
              <w:ind w:left="20"/>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54,147</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(7,325)</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46,822</w:t>
            </w:r>
          </w:p>
        </w:tc>
      </w:tr>
      <w:tr>
        <w:trPr>
          <w:trHeight w:val="20"/>
        </w:trPr>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4"/>
              </w:rPr>
              <w:t>Three Months Ended April 30, 2020</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42"/>
        </w:trPr>
        <w:tc>
          <w:tcPr>
            <w:tcW w:w="3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5"/>
              </w:rPr>
              <w:t>Wholesale</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12"/>
                <w:szCs w:val="12"/>
                <w:color w:val="auto"/>
              </w:rPr>
            </w:pPr>
          </w:p>
        </w:tc>
        <w:tc>
          <w:tcPr>
            <w:tcW w:w="10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Total</w:t>
            </w:r>
          </w:p>
        </w:tc>
      </w:tr>
      <w:tr>
        <w:trPr>
          <w:trHeight w:val="128"/>
        </w:trPr>
        <w:tc>
          <w:tcPr>
            <w:tcW w:w="3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378,871</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33,908</w:t>
            </w:r>
          </w:p>
        </w:tc>
        <w:tc>
          <w:tcPr>
            <w:tcW w:w="60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405,131</w:t>
            </w:r>
          </w:p>
        </w:tc>
      </w:tr>
      <w:tr>
        <w:trPr>
          <w:trHeight w:val="216"/>
        </w:trPr>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266,639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21,739</w:t>
            </w: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(7,648)</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280,730</w:t>
            </w: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112,232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12,169</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124,401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112,600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42,020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154,620</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w:t>
            </w:r>
          </w:p>
        </w:tc>
      </w:tr>
      <w:tr>
        <w:trPr>
          <w:trHeight w:val="216"/>
        </w:trPr>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loss on lease modifications</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w:t>
            </w:r>
          </w:p>
        </w:tc>
      </w:tr>
      <w:tr>
        <w:trPr>
          <w:trHeight w:val="210"/>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(34,618)</w:t>
            </w: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(43,273)</w:t>
            </w:r>
          </w:p>
        </w:tc>
      </w:tr>
      <w:tr>
        <w:trPr>
          <w:trHeight w:val="20"/>
        </w:trPr>
        <w:tc>
          <w:tcPr>
            <w:tcW w:w="3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128905</wp:posOffset>
            </wp:positionV>
            <wp:extent cx="14141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11" w:lineRule="exact"/>
        <w:rPr>
          <w:sz w:val="20"/>
          <w:szCs w:val="20"/>
          <w:color w:val="auto"/>
        </w:rPr>
      </w:pPr>
    </w:p>
    <w:p>
      <w:pPr>
        <w:ind w:left="320" w:hanging="270"/>
        <w:spacing w:after="0"/>
        <w:tabs>
          <w:tab w:leader="none" w:pos="320" w:val="left"/>
        </w:tabs>
        <w:numPr>
          <w:ilvl w:val="0"/>
          <w:numId w:val="5"/>
        </w:numPr>
        <w:rPr>
          <w:rFonts w:ascii="Arial" w:cs="Arial" w:eastAsia="Arial" w:hAnsi="Arial"/>
          <w:sz w:val="24"/>
          <w:szCs w:val="24"/>
          <w:color w:val="auto"/>
          <w:vertAlign w:val="superscript"/>
        </w:rPr>
      </w:pPr>
      <w:r>
        <w:rPr>
          <w:rFonts w:ascii="Arial" w:cs="Arial" w:eastAsia="Arial" w:hAnsi="Arial"/>
          <w:sz w:val="16"/>
          <w:szCs w:val="16"/>
          <w:color w:val="auto"/>
        </w:rPr>
        <w:t>Represents intersegment sales to the Company’s retail operations segment.</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11 – Stockholders’ Equity</w:t>
      </w:r>
    </w:p>
    <w:p>
      <w:pPr>
        <w:spacing w:after="0" w:line="15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three months ended April 30, 2021, the Company issued no shares of common stock and utilized 158 shares of treasury stock in connection with the vesting of equity awards. For the three months ended April 30, 2020, the Company issued no shares of common stock and utilized 42,195 shares of treasury stock in connection with the vesting of equity awards.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12 – Income Taxes</w:t>
      </w:r>
    </w:p>
    <w:p>
      <w:pPr>
        <w:spacing w:after="0" w:line="15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For the three months ended April 30, 2021 and April 30, 2020, the Company recorded a $10.3 million income tax expense and a $16.4 million income tax benefit, respectively. Historically, the Company has calculated its provision for income taxes during interim reporting periods by applying the estimated annual effective tax rate for the full fiscal year to pre-tax income or loss, excluding discrete items, for the reporting period. Due to the uncertainty related to the impact of the COVID-19 pandemic on our operations, the Company used a discrete effective tax rate method to calculate taxes for the three month period ended April 30, 2020. Due to the change in pre-tax income for the current fiscal year, the Company has an equitable projection for the current fiscal year, and has returned to the historical practice of using an annual effective tax rate based on full fiscal year pre-tax income.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13 – Canadian Customs Duty Examination</w:t>
      </w:r>
    </w:p>
    <w:p>
      <w:pPr>
        <w:spacing w:after="0" w:line="158"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In October 2017, the Canada Border Service Agency (“CBSA”) issued a final audit report to G-III Apparel Canada ULC (“G-III Canada”), a wholly-owned subsidiary of the Company. The report challenged the valuation used by G-III Canada for certain goods imported into Canada. The period covered by the examination is February 1, 2014 through October 27, 2017, the date of the final report. The CBSA has requested G-III Canada to reassess its customs entries for that period using the price paid or payable by the Canadian retail customers for certain imported goods rather than the price paid by G-</w:t>
      </w:r>
    </w:p>
    <w:p>
      <w:pPr>
        <w:spacing w:after="0" w:line="2" w:lineRule="exact"/>
        <w:rPr>
          <w:sz w:val="20"/>
          <w:szCs w:val="20"/>
          <w:color w:val="auto"/>
        </w:rPr>
      </w:pPr>
    </w:p>
    <w:p>
      <w:pPr>
        <w:ind w:left="60" w:right="79" w:hanging="10"/>
        <w:spacing w:after="0" w:line="260" w:lineRule="auto"/>
        <w:tabs>
          <w:tab w:leader="none" w:pos="292" w:val="left"/>
        </w:tabs>
        <w:numPr>
          <w:ilvl w:val="0"/>
          <w:numId w:val="6"/>
        </w:numPr>
        <w:rPr>
          <w:rFonts w:ascii="Arial" w:cs="Arial" w:eastAsia="Arial" w:hAnsi="Arial"/>
          <w:sz w:val="18"/>
          <w:szCs w:val="18"/>
          <w:color w:val="auto"/>
        </w:rPr>
      </w:pPr>
      <w:r>
        <w:rPr>
          <w:rFonts w:ascii="Arial" w:cs="Arial" w:eastAsia="Arial" w:hAnsi="Arial"/>
          <w:sz w:val="18"/>
          <w:szCs w:val="18"/>
          <w:color w:val="auto"/>
        </w:rPr>
        <w:t>Canada to the vendor. The CBSA has also requested that G-III Canada change the valuation method used to pay duties with respect to goods imported in the future.</w:t>
      </w:r>
    </w:p>
    <w:p>
      <w:pPr>
        <w:spacing w:after="0" w:line="18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March 2018, G-III Canada provided a bond to guarantee payment to the CBSA for additional duties payable as a result of the reassessment required by the final audit report. The Company secured a bond in the amount of CAD$26.9 million ($20.9 million) representing customs duty and interest through December 31, 2017 that is claimed to be owed to the CBSA. In March 2018, the Company amended the duties filed for the month of January 2018 based on the new valuation method. This amount was paid to the CBSA. Beginning February 1, 2018, the Company began paying duties based on the new valuation method. There were no amounts paid and deferred for the three months ended April 30, 2021, related to the higher dutiable values, however, the Company paid interest in the amount of CAD$1.0 million ($0.8 million) on the additional duties for the period January 15, 2018 through November 25, 2020, the date of the CBSA’s final decision as discussed below. Cumulative amounts paid and deferred through April 30, 2021, related to the higher dutiable values, were CAD$14.4 million ($11.6 million).</w:t>
      </w:r>
    </w:p>
    <w:p>
      <w:pPr>
        <w:spacing w:after="0" w:line="18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Effective June 1, 2019, G-III commenced paying based on the dutiable value of G-III Canada’s imports based on the pre-audit levels. G-III continued to defer the additional duty paid through the month of May 2019 pending the final outcome of the appeal.</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CBSA has issued its final decision denying the appeal filed by G-III Canada with the President’s Office of the CBSA. G-III Canada has filed a Notice of Appeal with the Canadian International Trade Tribunal (the “Tribunal”) further appealing the CBSA decision. The Tribunal has confirmed receipt of the Notice of Appeal. G-III Canada filed its case brief and evidence on April 13, 2021. The CBSA has until June 14, 2021 to file their brief. The hearing date, originally scheduled for August 10, 2021, has been set for September 1, 2021.</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G-III Canada, based on the advice of counsel, believes it has positions that support its valuations for duty as declared and therefore its ability to receive a refund of amounts claimed to be owed to the CBSA on appeal and intends to vigorously contest the findings of the CBSA.</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14 – Recent Adopted and Issued Accounting Pronouncements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 Accounting Guidance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was no accounting guidance adopted during the three months ended April 30, 2021.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Issued Accounting Guidance Being Evaluated for Adoption</w:t>
      </w:r>
    </w:p>
    <w:p>
      <w:pPr>
        <w:spacing w:after="0" w:line="22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Company has reviewed all recently issued accounting pronouncements and concluded that they were either not applicable or not expected to have a significant impact to the condensed consolidated financial statements.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Unless the context otherwise requires, “G-III,” “us,” “we” and “our” refer to G-III Apparel Group, Ltd. and its subsidiaries. References to fiscal years refer to the year ended or ending on January 31 of that year. For example, our fiscal year ending January 31, 2022 is referred to as “fiscal 2022.” Vilebrequin, KLH, KLNA and Fabco report results on a calendar year basis rather than on the January 31 fiscal year basis used by G-III. Accordingly, the results of Vilebrequin, KLH, KLNA and Fabco are, and will be, included in our financial statements for the quarter ended or ending closest to G-III’s fiscal quarter end. For example, with respect to our results for the three-month period ended April 30, 2021, the results of Vilebrequin, KLH, KLNA and Fabco are included for the three-month period ended March 31, 2021. We account for our investment in each of KLH and KLNA using the equity method of accounting. The Company’s retail operations segment uses a 52/53-week fiscal year. The Company’s three-month periods ended April 30, 2021 and 2020 were each 13-week periods for the retail operations segment. For fiscal 2022 and 2021, the three month period for the retail operations segment ended on May 1, 2021 and May 2, 2020 respectively.</w:t>
      </w:r>
    </w:p>
    <w:p>
      <w:pPr>
        <w:spacing w:after="0" w:line="18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Various statements contained in this Form 10-Q,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w:t>
      </w:r>
    </w:p>
    <w:p>
      <w:pPr>
        <w:spacing w:after="0" w:line="181" w:lineRule="exact"/>
        <w:rPr>
          <w:sz w:val="20"/>
          <w:szCs w:val="20"/>
          <w:color w:val="auto"/>
        </w:rPr>
      </w:pPr>
    </w:p>
    <w:p>
      <w:pPr>
        <w:jc w:val="both"/>
        <w:ind w:left="720" w:right="79" w:hanging="319"/>
        <w:spacing w:after="0" w:line="255"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global health crisis caused by the COVID-19 pandemic has had, and the current and uncertain future outlook of the outbreak will likely continue to have, adverse effects on our business, financial condition and results of operations;</w:t>
      </w:r>
    </w:p>
    <w:p>
      <w:pPr>
        <w:spacing w:after="0" w:line="2" w:lineRule="exact"/>
        <w:rPr>
          <w:rFonts w:ascii="Arial" w:cs="Arial" w:eastAsia="Arial" w:hAnsi="Arial"/>
          <w:sz w:val="18"/>
          <w:szCs w:val="18"/>
          <w:color w:val="auto"/>
        </w:rPr>
      </w:pPr>
    </w:p>
    <w:p>
      <w:pPr>
        <w:ind w:left="720" w:right="45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to maintain our material license agreements could cause us to lose significant revenues and have a material adverse effect on our results of operations;</w:t>
      </w: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the strategies and reputation of our licensors;</w:t>
      </w:r>
    </w:p>
    <w:p>
      <w:pPr>
        <w:spacing w:after="0" w:line="9" w:lineRule="exact"/>
        <w:rPr>
          <w:rFonts w:ascii="Arial" w:cs="Arial" w:eastAsia="Arial" w:hAnsi="Arial"/>
          <w:sz w:val="18"/>
          <w:szCs w:val="18"/>
          <w:color w:val="auto"/>
        </w:rPr>
      </w:pPr>
    </w:p>
    <w:p>
      <w:pPr>
        <w:ind w:left="720" w:right="31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adverse change in our relationship with PVH and its Calvin Klein or Tommy Hilfiger brands would have a material adverse effect on our results of operations;</w:t>
      </w:r>
    </w:p>
    <w:p>
      <w:pPr>
        <w:ind w:left="720" w:right="139" w:hanging="319"/>
        <w:spacing w:after="0" w:line="281"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risks relating to our wholesale operations including, among others, maintaining the image our proprietary brands, business practices of our customers that could adversely affect us and retail customer concentration;</w:t>
      </w:r>
    </w:p>
    <w:p>
      <w:pPr>
        <w:spacing w:after="0" w:line="1" w:lineRule="exact"/>
        <w:rPr>
          <w:rFonts w:ascii="Arial" w:cs="Arial" w:eastAsia="Arial" w:hAnsi="Arial"/>
          <w:sz w:val="16"/>
          <w:szCs w:val="16"/>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relating to our retail operations segment;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achieve operating enhancements and cost reductions from the restructuring of our retail operations;</w:t>
      </w:r>
    </w:p>
    <w:p>
      <w:pPr>
        <w:spacing w:after="0" w:line="32" w:lineRule="exact"/>
        <w:rPr>
          <w:rFonts w:ascii="Arial" w:cs="Arial" w:eastAsia="Arial" w:hAnsi="Arial"/>
          <w:sz w:val="16"/>
          <w:szCs w:val="16"/>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dependence on existing management;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make strategic acquisitions and possible disruptions from acquisitions;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of operating through joint ventures;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need for additional financing;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nature of our business and effect of unseasonable or extreme weather on our business;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possible adverse effect of problems with our logistics and distribution systems;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availability and quality of materials used in our products;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protect our trademarks and other intellectual property;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 that our licensees may not generate expected sales or maintain the value of our brands;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impact of the current economic and credit environment on us, our customers, suppliers and vendors;</w:t>
      </w:r>
    </w:p>
    <w:p>
      <w:pPr>
        <w:spacing w:after="0" w:line="20" w:lineRule="exact"/>
        <w:rPr>
          <w:rFonts w:ascii="Arial" w:cs="Arial" w:eastAsia="Arial" w:hAnsi="Arial"/>
          <w:sz w:val="17"/>
          <w:szCs w:val="17"/>
          <w:color w:val="auto"/>
        </w:rPr>
      </w:pPr>
    </w:p>
    <w:p>
      <w:pPr>
        <w:ind w:left="720" w:right="2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effects of war, acts of terrorism, natural disasters or public health crises could adversely affect our business and results of operations;</w:t>
      </w: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foreign manufacturers;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risks of expansion into foreign markets, conducting business internationally and exposures to foreign currencies;</w:t>
      </w:r>
    </w:p>
    <w:p>
      <w:pPr>
        <w:spacing w:after="0" w:line="32" w:lineRule="exact"/>
        <w:rPr>
          <w:rFonts w:ascii="Arial" w:cs="Arial" w:eastAsia="Arial" w:hAnsi="Arial"/>
          <w:sz w:val="16"/>
          <w:szCs w:val="16"/>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the recent adoption of a national security law in Hong Kong;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successfully upgrade, maintain and secure our information systems;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99" w:hanging="319"/>
        <w:spacing w:after="0" w:line="25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exposure to consumer privacy, cybersecurity and fraud concerns, including as a result of the remote working environment;</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possible adverse effects of data security or privacy breaches;</w:t>
      </w:r>
    </w:p>
    <w:p>
      <w:pPr>
        <w:spacing w:after="0" w:line="9" w:lineRule="exact"/>
        <w:rPr>
          <w:rFonts w:ascii="Arial" w:cs="Arial" w:eastAsia="Arial" w:hAnsi="Arial"/>
          <w:sz w:val="18"/>
          <w:szCs w:val="18"/>
          <w:color w:val="auto"/>
        </w:rPr>
      </w:pPr>
    </w:p>
    <w:p>
      <w:pPr>
        <w:ind w:left="720" w:right="9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on our business of the imposition of tariffs by the United States government and the escalation of trade tensions between countries;</w:t>
      </w: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the audit by the Canadian Border Services Agency;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legislation or exposure to additional tax liabilities could impact our business;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regulations applicable to us as a U.S. public company;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focus on corporate responsibility issues by stakeholders;</w:t>
      </w:r>
    </w:p>
    <w:p>
      <w:pPr>
        <w:spacing w:after="0" w:line="9" w:lineRule="exact"/>
        <w:rPr>
          <w:rFonts w:ascii="Arial" w:cs="Arial" w:eastAsia="Arial" w:hAnsi="Arial"/>
          <w:sz w:val="18"/>
          <w:szCs w:val="18"/>
          <w:color w:val="auto"/>
        </w:rPr>
      </w:pPr>
    </w:p>
    <w:p>
      <w:pPr>
        <w:ind w:left="720" w:right="23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effect on the price of our stock if actual results are worse than financial forecasts or if we are unable to provide financial forecasts;</w:t>
      </w: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price of our common stock;</w:t>
      </w:r>
    </w:p>
    <w:p>
      <w:pPr>
        <w:spacing w:after="0" w:line="9" w:lineRule="exact"/>
        <w:rPr>
          <w:rFonts w:ascii="Arial" w:cs="Arial" w:eastAsia="Arial" w:hAnsi="Arial"/>
          <w:sz w:val="18"/>
          <w:szCs w:val="18"/>
          <w:color w:val="auto"/>
        </w:rPr>
      </w:pPr>
    </w:p>
    <w:p>
      <w:pPr>
        <w:ind w:left="720" w:right="31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impairment of our goodwill, trademarks or other intangibles may require us to record charges against earnings; and</w:t>
      </w: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our indebtedness.</w:t>
      </w:r>
    </w:p>
    <w:p>
      <w:pPr>
        <w:spacing w:after="0" w:line="21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Annual Report on Form 10-K for the year ended January 31, 2021. We undertake no obligation to publicly update or revise any forward-looking statements, whether as a result of new information, future events or otherwise, except as required by law.</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five global power brands: DKNY, Donna Karan, Calvin Klein, Tommy Hilfiger and Karl Lagerfeld Paris. We are not only licensees, but also brand owners, and we distribute our products through multiple channels.</w:t>
      </w:r>
    </w:p>
    <w:p>
      <w:pPr>
        <w:spacing w:after="0" w:line="16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Our own proprietary brands include DKNY, Donna Karan, Vilebrequin, G.H. Bass, Eliza J, Jessica Howard, Andrew Marc, Marc New York and Wilsons Leather. We sell products under an extensive portfolio of well-known licensed brands, including Calvin Klein, Tommy Hilfiger, Karl Lagerfeld Paris, Levi’s, Guess?, Kenneth Cole, Cole Haan, Vince Camuto and Dockers. Through our team sports business, we have licenses with the National Football League, National Basketball Association, Major League Baseball, National Hockey League and over 150 U.S. colleges and universities. We also source and sell products to major retailers under their private retail labels.</w:t>
      </w:r>
    </w:p>
    <w:p>
      <w:pPr>
        <w:spacing w:after="0" w:line="17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products are sold through a cross section of leading retailers such as Macy’s, Dillard’s, Hudson’s Bay Company, including their Saks Fifth Avenue division, Nordstrom, Kohl’s, TJX Companies, Ross Stores and Burlington. We also sell our products over the web through retail partners such as macys.com, nordstrom.com and dillards.com, each of which has a substantial online business. In addition, we sell to pure play online retail partners such as Amazon and Fanatics.</w:t>
      </w:r>
    </w:p>
    <w:p>
      <w:pPr>
        <w:spacing w:after="0" w:line="15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also distribute apparel and other products directly to consumers through our own DKNY and Karl Lagerfeld retail stores, as well as through our digital channels for the DKNY, Donna Karan, Karl Lagerfeld Paris, G.H. Bass, Andrew Marc and Wilsons Leather businesses. In June 2020, we commenced the restructuring of our retail operations, including the closure of the Wilsons Leather, G.H. Bass and Calvin Klein Performance stores. We completed the closing of our Wilsons Leather, G.H. Bass and Calvin Klein Performance stores in fiscal 2021. We believe this restructuring will enable us to reduce our losses and re-position our retail operations with a goal of becoming a profitable contributor to our business.</w:t>
      </w:r>
    </w:p>
    <w:p>
      <w:pPr>
        <w:spacing w:after="0" w:line="16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w:t>
      </w:r>
    </w:p>
    <w:p>
      <w:pPr>
        <w:sectPr>
          <w:pgSz w:w="11900" w:h="16838" w:orient="portrait"/>
          <w:cols w:equalWidth="0" w:num="1">
            <w:col w:w="9019"/>
          </w:cols>
          <w:pgMar w:left="1440" w:top="517"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products that are accepted in the marketplace, source the manufacture of our products on a competitive basis, and continue to diversify our product portfolio and the markets we serve.</w:t>
      </w:r>
    </w:p>
    <w:p>
      <w:pPr>
        <w:spacing w:after="0" w:line="17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believe that consumers prefer to buy brands they know, and we have continually sought to increase the portfolio of name brands we can offer through different tiers of retail distribution, for a wide array of products at a variety of price points. We have increased the portfolio of brands we offer through licenses, acquisitions and joint ventures. We focus our efforts on the sale of products under our five power brands, two of which we own and three of which we license. It is our objective to continue to expand our product offerings and we are continually discussing new licensing opportunities with brand owners and seeking to acquire established brands.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Effective February 1, 2021, we elected to change our method of accounting for retail inventories from the lower of cost or market as determined by the retail inventory method to the lower of cost or net realizable value using the weighted average cost method. We believe the new method is preferable as it provides better matching of cost of goods sold with revenue, improves the precision of inventory valuation at the balance sheet dates, and more closely aligns with the valuation methods used throughout the rest of the Company. In addition, the change in inventory valuation better aligns with the way we manage our business with a focus on the actual margin realized.</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determined that it is impractical to apply this change in accounting principle retrospectively due to a lack of available information. We have instead applied the change prospectively as of February 1, 2021. The cumulative adjustment as of February 1, 2021 was a decrease in both inventories and retained earnings of $0.3 million. The change in accounting principle did not have a material effect on our condensed consolidated financial statements as of and for the three-month period ended April 30,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report based on two segments: wholesale operations and retail operations.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Our wholesale operations segment includes sales of products to retailers under owned, licensed and private label brands, as well as sales related to the Vilebrequin business. Wholesale revenues also include royalty revenues from license agreements related to our owned trademarks including DKNY, Donna Karan, Vilebrequin, G.H. Bass and Andrew Marc.</w:t>
      </w:r>
    </w:p>
    <w:p>
      <w:pPr>
        <w:spacing w:after="0" w:line="2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retail operations segment consists primarily of direct sales to consumers through our company-operated stores and through digital channels. In fiscal 2021, we restructured our retail operations, including the closure of our Wilsons Leather, G.H. Bass and Calvin Klein Performance stores. After completion of the restructuring, our retail operations segment consists of our DKNY and Karl Lagerfeld Paris stores, as well as the digital channels for DKNY, Donna Karan, Karl Lagerfeld Paris, G.H. Bass, Andrew Marc and Wilsons Leather.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Trends Affecting Our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Impact of COVID-19 Pandemic</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COVID-19 pandemic has affected businesses around the world for over a year. Federal, state and local governments and private entities mandated various restrictions, including closing of retail stores and restaurants, travel restrictions, restrictions on public gatherings, stay at home orders and advisories, and quarantining of people who may have been exposed to the virus. The response to the COVID-19 pandemic negatively affected the global economy, disrupted global supply chains, and created significant disruption of the financial and retail markets, including a disruption in consumer demand for apparel and accessories.</w:t>
      </w:r>
    </w:p>
    <w:p>
      <w:pPr>
        <w:spacing w:after="0" w:line="19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COVID-19 pandemic continues to impact the global economy. In the first quarter of fiscal 2022, consumer demand increased year-over-year, but remained below pre-pandemic levels. Even as businesses have reopened as governmental restrictions were loosened with respect to stay at home orders and various restrictions on the operation of retail businesses, the ultimate economic impact of the COVID-19 pandemic is uncertain. We expect that our business operations and results of operations, including our net sales, earnings and cash flows, will continue to be adversely impacted in fiscal 2022 as</w:t>
      </w:r>
    </w:p>
    <w:p>
      <w:pPr>
        <w:sectPr>
          <w:pgSz w:w="11900" w:h="16838" w:orient="portrait"/>
          <w:cols w:equalWidth="0" w:num="1">
            <w:col w:w="9019"/>
          </w:cols>
          <w:pgMar w:left="1440" w:top="517"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compared to our results of operations prior to the COVID-19 pandemic. We expect significant improvements in our results of operations for fiscal 2022 as compared to fiscal 2021.</w:t>
      </w:r>
    </w:p>
    <w:p>
      <w:pPr>
        <w:spacing w:after="0" w:line="17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continued impact of COVID-19 remains uncertain and cannot be predicted. The extent to which COVID-19 impacts our results will depend on continued developments in the public and private responses to the pandemic and the success and efficacy of efforts in the United States and around the world to vaccinate people against COVID-19. New information may emerge concerning the severity of the outbreak and the spread of variants of the COVID-19 virus in locations that are important to our business. Actions taken to contain COVID-19 or treat its impact may change or become more restrictive if additional waves of infections occur, or continue to occur, as a result of the loosening of governmental restrictions.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Industry Trends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Significant trends that affect the apparel industry include retail chains closing unprofitable stores, an increased focus by retail chains and others on expanding digital sales and providing convenience-driven fulfillment options, the continued consolidation of retail chains and the desire on the part of retailers to consolidate vendors supplying them. In addition, consumer shopping preferences have continued to shift from physical stores to online shopping and retail traffic remains under pressure.</w:t>
      </w:r>
    </w:p>
    <w:p>
      <w:pPr>
        <w:spacing w:after="0" w:line="18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sell our products online through retail partners such as macys.com, nordstrom.com and dillards.com, each of which has a substantial online business. As digital sales of apparel continue to increase, we are developing additional digital marketing initiatives on our web sites and through social media. We are investing in digital personnel, marketing, logistics, planning and distribution to help us expand our online opportunities going forward. Our digital business consists of our own web platforms at www.dkny.com, www.donnakaran.com, www.ghbass.com, www.vilebrequin.com, www.andrewmarc.com and www.wilsonsleather.com. We also sell Karl Lagerfeld Paris products on our website, www.karllagerfeldparis.com. In addition, we sell to pure play online retail partners such as Amazon and Fanatics.</w:t>
      </w:r>
    </w:p>
    <w:p>
      <w:pPr>
        <w:spacing w:after="0" w:line="16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 number of retailers are experiencing financial difficulties, which in some cases have resulted in bankruptcies, liquidations and/or store closings.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and thus customers loyal to their brands can only find them in the stores of that retailer.</w:t>
      </w:r>
    </w:p>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Consumers have shifted their apparel purchases based on their adjusted lifestyle needs resulting from changes to the work environment and leisure activities caused by the COVID-19 pandemic. We revised our product offerings in response to this shift toward casual and comfortable work-from-home clothing, as well as to activewear and leisure attire. We continue to revise our product lines to satisfy the needs of our retail customers and consumers. We are seeing significant acceleration in demand for day and occasion dresses, as well as career wear such as suit separates. We are working diligently to satisfy this demand from our retail partners and consumers.</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have attempted to respond to general trends in our industry by continuing to focus on selling products with recognized brand equity, by attention to design, quality and value and by improving our sourcing capabilities. We have also responded with the strategic acquisitions made by us and new license agreements entered into by us that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Inbound Freight</w:t>
      </w:r>
    </w:p>
    <w:p>
      <w:pPr>
        <w:spacing w:after="0" w:line="212"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effects of the COVID-19 pandemic on the shipping industry have adversely affected our ability to ensure that we are able to import our product in a manner that allows for timely delivery to our customers. Demand for container space has increased, as availability of container space has been reduced. This has caused contractual shipping rates to increase. Our shipping costs have also increased as we purchased needed container space on the secondary market at higher spot rates. If we are unable to secure container space on a vessel due to the limited availability, we may experience delays in shipping product from our overseas suppliers to our customers. Ports around the world are experiencing congestion, slowing transit times of product through ports of entry which affects our ability to timely receive and deliver product to our customers. Our longstanding relationships with our steamship carriers have facilitated our ability to secure space on vessels as demand for apparel increases, although at rates that are significantly higher than in the past. We believe that the strength of our portfolio of global power brands will allow us to selectively raise prices to largely offset higher freight costs.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April 30, 2021 compared to three months ended April 30, 2020</w:t>
      </w:r>
    </w:p>
    <w:p>
      <w:pPr>
        <w:spacing w:after="0" w:line="21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Net sales for the three months ended April 30, 2021 increased to $519.9 million from $405.1 million in the same period last year. Net sales of our segments are reported before intercompany eliminations.</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Net sales of our wholesale operations segment increased to $511.5 million for the three months ended April 30, 2021 from $378.9 million in the comparable period last year. This increase is primarily the result of a $47.7 million increase in net sales of Calvin Klein licensed products, a $42.8 million increase in net sales of Tommy Hilfiger licensed products, a $27.7 million increase in net sales of our DKNY and Donna Karan products and a $5.8 million increase in net sales of Karl Lagerfeld licensed products. In the prior year period, we experienced a significant decrease in net sales across substantially all of our brands primarily due to the effects of restrictions that began in March 2020 on business and personal activities imposed by governments in connection with the COVID-19 pandemic. As a result, most of our retail partners closed their stores in North America, beginning in mid-March, 2020. The governmental restrictions imposed in connection with the COVID-19 pandemic resulted in significant increases in unemployment, a reduction in business activity and a reduction in consumer spending on apparel and accessories, all of which contributed to the reduction of our net sales which occurred during the majority of fiscal 2021. During the three months ended April 30, 2021, substantially all stores operated by our retail partners were open and governmental restrictions were eased in most regions of the United States due to the reduction of the severity of the COVID-19 pandemic. The lessening of COVID-19 restrictions has resulted in an increase in business activity which has contributed to an increase in consumer spending on apparel and accessories.</w:t>
      </w:r>
    </w:p>
    <w:p>
      <w:pPr>
        <w:spacing w:after="0" w:line="17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Net sales of our retail operations segment decreased to $19.4 million for the three months ended April 30, 2021 from $33.9 million in the same period last year. This decrease is primarily due to the significant reduction in our store count as a result of the restructuring of our retail operations segment that resulted in the closure of our Wilsons, G.H. Bass and Calvin Klein Performance stores during fiscal 2021. The number of retail stores operated by us decreased from 257 at April 30, 2020 to 50 at April 30, 2021. In addition, while the impact of the COVID-19 pandemic has lessened in this year’s first quarter compared to last year, reduced demand and store traffic, as well as domestic and international travel restrictions, continue to have a negative impact on net sales of our retail operations segment.</w:t>
      </w:r>
    </w:p>
    <w:p>
      <w:pPr>
        <w:spacing w:after="0" w:line="17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Gross profit was $195.5 million, or 37.6% of net sales, for the three months ended April 30, 2021, compared to $124.4 million, or 30.7% of net sales, in the same period last year. The gross profit percentage in our wholesale operations segment was 36.3% in the three months ended April 30, 2021 compared to 29.6% in the same period last year. The gross profit percentage in our retail operations segment was 50.3% for the three months ended April 30, 2021 compared to 35.9% for the same period last year. Gross profit percentages for both our wholesale and retail operations segments in the prior year’s quarter were impacted by the negative effects of the COVID-19 pandemic on our net sales. The gross profit percentage in our wholesale operations segment was negatively impacted last year as a result of recognizing certain fixed costs, primarily higher effective royalty rates, over the lower net sales last year.</w:t>
      </w:r>
    </w:p>
    <w:p>
      <w:pPr>
        <w:spacing w:after="0" w:line="17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Selling, general and administrative expenses decreased to $141.6 million in the three months ended April 30, 2021 from $154.6 million in the same period last year. The decrease in expenses was primarily due to a decrease of $12.5 million in facility expenses as a result of the restructuring of our retail operations segment in fiscal 2021 and $9.6 million in bad debt expense related to allowances recorded against the outstanding receivables of certain department store customers in fiscal</w:t>
      </w:r>
    </w:p>
    <w:p>
      <w:pPr>
        <w:sectPr>
          <w:pgSz w:w="11900" w:h="16838" w:orient="portrait"/>
          <w:cols w:equalWidth="0" w:num="1">
            <w:col w:w="9019"/>
          </w:cols>
          <w:pgMar w:left="1440" w:top="517"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2021. These decreases were partially offset by a net $7.2 million increase in compensation expense, primarily from bonuses and share-based compensation. As a result of the COVID-19 pandemic, the prior year’s period had no bonus accrual and a $3.9 million reversal in share-based compensation related to awards with performance conditions that became improbable to achieve. In addition, contractual advertising related to increased sales of licensed product increased by $3.7 million.</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Depreciation and amortization was $7.0 million for the three months ended April 30, 2021 compared to $9.9 million in the same period last year. This decrease primarily relates to a reduction in capital expenditures during the COVID-19 pandemic.</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Other income was $1.8 million in the three months ended April 30, 2021 compared to other loss of $2.1 million for the same period last year. This change is primarily due to other income of $1.5 million from non-refundable European government-backed grants received by Vilebrequin for COVID-19 relief. In addition, this change is also the result of recording $0.2 million of foreign currency losses during the three months ended April 30, 2021 compared to foreign currency losses of $1.5 million during the three months ended April 30, 2020 and $0.5 million in income from unconsolidated affiliates during the three months ended April 30, 2021 compared to $0.6 million of loss from unconsolidated affiliates in the same period last year.</w:t>
      </w:r>
    </w:p>
    <w:p>
      <w:pPr>
        <w:spacing w:after="0" w:line="195"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Interest and financing charges, net, for the three months ended April 30, 2021 were $12.0 million compared to $10.4 million for the same period last year. The increase is primarily due to the senior secured notes outstanding in the current quarter having a higher principal balance and interest rate than the term loan that was outstanding in the prior year period.</w:t>
      </w:r>
    </w:p>
    <w:p>
      <w:pPr>
        <w:spacing w:after="0" w:line="14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Income tax expense was $10.3 million for the three months ended April 30, 2021 compared to income tax benefit of $16.4 million for the same period last year. Our effective tax rate decreased to 28.0% in the current year’s quarter from 29.5% in last year’s comparable quarter.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Availability</w:t>
      </w:r>
    </w:p>
    <w:p>
      <w:pPr>
        <w:spacing w:after="0" w:line="21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We rely on our cash flows generated from operations, cash and cash equivalents and the borrowing capacity under our revolving credit facility to meet the cash requirements of our business. The primary cash requirements of our business are primarily related to the seasonal buildup in inventories, compensation paid to employees, payments to vendors in the normal course of business, capital expenditures, maturities of debt and related interest payments and income tax payments.</w:t>
      </w:r>
    </w:p>
    <w:p>
      <w:pPr>
        <w:spacing w:after="0" w:line="15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April 30, 2021, we had cash and cash equivalents of $396.3 million and availability under our revolving credit facility in excess of $460 million. As of April 30, 2021, we were in compliance with all covenants under our debt agreements.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Notes</w:t>
      </w:r>
    </w:p>
    <w:p>
      <w:pPr>
        <w:spacing w:after="0" w:line="21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August 2020, we completed a private debt offering of $400 million aggregate principal amount of our 7.875% Senior Secured Notes due 2025 (the “Notes). The terms of the Notes are governed by an indenture, dated as of August 7, 2020 (the “Indenture”), among us, the guarantors party thereto and U.S. Bank, National Association, as trustee and collateral agent (the “Collateral Agent”). The net proceeds of the Notes have been used (i) to repay the $300 million that was outstanding under our prior term loan facility due 2022 (the “Term Loan”), (ii) to pay related fees and expenses and (iii) for general corporate purposes.</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Notes bear interest at a rate of 7.875% per year payable semi-annually in arrears on February 15 and August 15 of each year, commencing on February 15, 2021.</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Notes are unconditionally guaranteed on a senior-priority secured basis by our current and future wholly-owned domestic subsidiaries that guarantee any of our credit facilities, including our ABL facility (the “ABL Facility”) pursuant to the ABL Credit Agreement, or certain future capital markets indebtedness of ours or the guarantors.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Notes and the related guarantees are secured by (i) first priority liens on our Cash Flow Priority Collateral (as defined in the Indenture), and (ii) a second-priority lien on our ABL Priority Collateral (as defined in the Indenture), in each case subject to permitted liens described in the Indenture.</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In connection with the issuance of the Notes and execution of the Indenture, we and the Guarantors entered into a pledge and security agreement (the “Pledge and Security Agreement”), among us, the Guarantors and the Collateral Agent.</w:t>
      </w:r>
    </w:p>
    <w:p>
      <w:pPr>
        <w:spacing w:after="0" w:line="12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The Notes are also subject to the terms of the seller note subordination agreement which governs the relative rights of the secured parties in respect of the Seller Note (as defined therein), the ABL Facility and the Notes.</w:t>
      </w:r>
    </w:p>
    <w:p>
      <w:pPr>
        <w:spacing w:after="0" w:line="1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At any time prior to August 15, 2022, we may redeem some or all of the Notes at a price equal to 100% of the principal amount of the Notes redeemed plus accrued and unpaid interest, if any, to, but excluding, the applicable redemption date plus a “make-whole” premium, as described in the Indenture. On or after August 15, 2022, we may redeem some or all of the Notes at any time and from time to time at the redemption prices set forth in the Indenture, plus accrued and unpaid interest, if any, to, but excluding, the applicable redemption date. In addition, at any time prior to August 15, 2022, we may redeem up to 40% of the aggregate principal amount of the Notes with the proceeds of certain equity offerings at the redemption price set forth in the Indenture, plus accrued and unpaid interest, if any, to, but excluding, the applicable redemption date. In addition, at any time prior to August 15, 2022, during any twelve month period, we may redeem up to 10% of the aggregate principal amount of the Notes at a redemption price equal to 103% of the principal amount of the Notes redeemed plus accrued and unpaid interest, if any, to, but excluding, the applicable redemption date.</w:t>
      </w:r>
    </w:p>
    <w:p>
      <w:pPr>
        <w:spacing w:after="0" w:line="16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If we experience a Change of Control (as defined in the Indenture), we are required to offer to repurchase the Notes at 101% of the principal amount of such Notes plus accrued and unpaid interest, if any, to, but excluding, the date of repurchase.</w:t>
      </w:r>
    </w:p>
    <w:p>
      <w:pPr>
        <w:spacing w:after="0" w:line="184"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Indenture contains covenants that, among other things, limit our ability and the ability of our restricted subsidiaries to incur or guarantee additional indebtedness, pay dividends or make other restricted payments, make certain investments, incur restrictions on the ability of our restricted subsidiaries that are not guarantors to pay dividends or make certain other payments, create or incur certain liens, sell assets and subsidiary stock, impair the security interests, transfer all or substantially all of our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spacing w:after="0" w:line="16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incurred debt issuance costs totaling $8.5 million related to the Notes that will be amortized over the term of the Notes. In accordance with ASC 835, the debt issuance costs have been deferred and are presented as a contra-liability, offsetting the outstanding balance of the Notes, and are amortized over the remaining life of the Notes. In addition, we had unamortized debt issuance costs of $6.1 million associated with the Term Loan. Upon repayment of the Term Loan, these debt issuance costs were fully extinguished and charged to interest expense in our results of operations.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Second Amended and Restated ABL Credit Agreement</w:t>
      </w:r>
    </w:p>
    <w:p>
      <w:pPr>
        <w:spacing w:after="0" w:line="15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August 2020, our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the LVMH Note is not refinanced or repaid prior to the date that is 91 days prior to the date of any relevant payment thereunder. The ABL Credit Agreement provides for borrowings in the aggregate principal amount of up to $650 million. We and our subsidiaries, G-III Apparel Canada ULC, Gabrielle Studio, Inc., Donna Karan International Inc. and Donna Karan Studio LLC (the “Guarantors”), are Loan Guarantors under the ABL Credit Agreement.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ABL Credit Agreement refinances, amends and restates the Amended Credit Agreement, dated as of December 1, 2016 (as amended, supplemented or otherwise modified from time to time prior to August 7, 2020, the “Prior Credit Agreement”), by and among the Borrowers and the Loan Guarantors (each as defined therein) party thereto, the lenders from time to time party thereto, and JPMorgan Chase Bank, N.A., in its capacity as the administrative agent thereunder. The Prior Credit Agreement provided for borrowings of up to $650 million and was due to expire in December 2021. The ABL Credit Agreement extends the maturity date to August 2025, subject to a springing maturity date if, subject to certain conditions, the LVMH Note is not refinanced or repaid prior to the date that is 91 days prior to the date of any relevant payment thereunder.</w:t>
      </w:r>
    </w:p>
    <w:p>
      <w:pPr>
        <w:spacing w:after="0" w:line="19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The ABL Credit Agreement is secured by specified assets of the Borrowers and the Guarantors. In addition to paying interest on any outstanding borrowings under the ABL Credit Agreement, we are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w:t>
      </w:r>
    </w:p>
    <w:p>
      <w:pPr>
        <w:spacing w:after="0" w:line="17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revolving credit facility contains covenants that, among other things, restrict our ability, subject to specified exceptions, to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us to maintain a fixed charge coverage ratio, as defined in the agreement, not less than 1.00 to 1.00 for each period of twelve consecutive fiscal months of the Company. As of April 30, 2021, the Company was in compliance with these covenants.</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of April 30, 2021, we had no borrowings outstanding under the ABL Credit Agreement. There were no borrowings under the ABL Credit Agreement during the three months ended April 30, 2021. The ABL Credit Agreement also includes amounts available for letters of credit. As of April 30, 2021, there were outstanding trade and standby letters of credit amounting to $10.9 million and $4.0 million, respectively.</w:t>
      </w:r>
    </w:p>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At the date of the refinancing of the Prior Credit Agreement, we had $3.3 million of unamortized debt issuance costs remaining from the Prior Credit Agreement. We extinguished and charged to interest expense $0.4 million of the prior debt issuance costs and incurred new debt issuance costs totaling $5.1 million related to the ABL Credit Agreement. We have a total of $8.0 million debt issuance costs related to our ABL Credit Agreement. As permitted under ASC 835, the debt issuance costs have been deferred and are presented as an asset which is to be subsequently amortized ratably over the term of the ABL Credit Agreement.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issued to LVMH, as a portion of the consideration for the acquisition of DKI, a junior lien secured promissory note in favor of LVMH in the principal amount of $125 million (the “LVMH Note”) that bears interest at the rate of 2% per year. $75 million of the principal amount of the LVMH Note is due and payable on June 1, 2023 and $50 million of such principal amount is due and payable on December 1, 2023.</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Based on an independent valuation, it was determined that the LVMH Note should be treated as having been issued at a discount of $40 million in accordance with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discount is being amortized as interest expense using the effective interest method over the term of the LVMH Note.</w:t>
      </w:r>
    </w:p>
    <w:p>
      <w:pPr>
        <w:spacing w:after="0" w:line="18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 connection with the issuance of the LVMH Note, LVMH entered into (i) a subordination agreement providing that our obligations under the LVMH Note are subordinate and junior to our obligations under the revolving credit facility and Term Loan and (ii) a pledge and security agreement with us and our subsidiary, G-III Leather, pursuant to which we and</w:t>
      </w:r>
    </w:p>
    <w:p>
      <w:pPr>
        <w:sectPr>
          <w:pgSz w:w="11900" w:h="16838" w:orient="portrait"/>
          <w:cols w:equalWidth="0" w:num="1">
            <w:col w:w="9019"/>
          </w:cols>
          <w:pgMar w:left="1440" w:top="517"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G-III Leather granted to LVMH a security interest in specified collateral to secure our payment and performance of our obligations under the LVMH Note that is subordinate and junior to the security interest granted by us with respect to our obligations under the revolving credit facility and Term Loan.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Unsecured Loans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During fiscal 2020 and fiscal 2021, T.R.B International SA (“TRB”), a subsidiary of Vilebrequin, borrowed funds under several unsecured loans. A portion of the unsecured loans were to provide funding for operations in the normal course of business, while other unsecured loans were various European state backed loans as part of COVID-19 relief programs. In the aggregate, TRB is currently required to make quarterly installment payments of €0.2 million. Interest on the outstanding principal amount of the unsecured loans accrues at a fixed rate equal to 0% to 2.0% per annum, payable on either a quarterly or monthly basis. As of April 30, 2021, TRB had an aggregate outstanding balance of €7.5 million under these various unsecured loans.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Overdraft Facilities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During fiscal 2021,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fixed rate equal to the Euro Interbank Offered Rate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April 30, 2021, TRB had an aggregate €3.3 million drawn under these various facilities.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Outstanding Borrowings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asset-based credit facility during our third fiscal quarter. The primary sources to meet our operating cash requirements have been borrowings under this credit facility and cash generated from operations.</w:t>
      </w:r>
    </w:p>
    <w:p>
      <w:pPr>
        <w:spacing w:after="0" w:line="15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had no borrowings outstanding under our revolving credit facility at April 30, 2021 and had $500.0 million of borrowings outstanding at April 30, 2020. We borrowed $500 million in March 2020 as a precautionary measure in connection with disruptions caused by the COVID-19 pandemic and repaid those borrowings in May and June 2020. We had $400 million in borrowings outstanding under the Notes at April 30, 2021. We had $300 million in borrowings under the Term Loan Credit Agreement at April 30, 2020. Our contingent liability under open letters of credit was approximately $14.9 million and $15.8 million at April 30, 2021 and 2020, respectively. In addition to the amounts outstanding under these two loan agreements, at April 30, 2021 and 2020, we had $125 million of face value principal amount outstanding under the LVMH Note. As of April 30, 2021 and 2020, we had an aggregate of €7.5 million ($8.8 million) and €4.1 million ($4.5 million) outstanding under Vilebrequin’s unsecured loans. As of April 30, 2021, we also had €3.3 million ($3.9 million) outstanding under Vilebrequin’s overdraft facilities.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had cash and cash equivalents of $396.3 million on April 30, 2021 and $616.2 million on April 30,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Board of Directors authorized a share repurchase program in the aggregate amount of 5,000,000 shares.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No shares were repurchased during the three months ended April 30, 2021. As of June 3, 2021, we had 2,949,362 authorized shares remaining under this program and 48,376,794 shares of common stock outstanding.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Operating Activities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generated $47.0 million in cash from operating activities during three months ended April 30, 2021, primarily as a result of our net income of $26.3 million and non-cash charges in the aggregate amount of $19.9 million relating primarily to operating lease costs of $10.3 million, depreciation and amortization of $7.0 million and share-based compensation of $2.5 million. We also generated cash from operating activities as a result of a decrease of $69.8 million in inventories. These items were offset, in part, by decreases of $43.8 million in accounts payable and accrued expenses, $11.5 million in operating lease liabilities and $10.4 million in customer refund liabilities, as well as an increase in accounts receivable of $16.7 million.</w:t>
      </w:r>
    </w:p>
    <w:p>
      <w:pPr>
        <w:spacing w:after="0" w:line="19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decrease in accounts payable and accrued expenses is primarily attributable to vendor payments related to inventory purchases and the payment of year-end bonuses in our first fiscal quarter. Our customer refund liabilities and inventory decreased because we experience lower sales level in our first and second quarters than in our third and fourth quarters.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Investing Activities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used $2.7 million of cash in investing activities during three months ended April 30, 2021 for capital expenditures. Capital expenditures in the period primarily related to infrastructure and information technology expenditures and additional fixturing costs at department stores.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Financing Activities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Net cash provided by financing activities was $1.1 million during three months ended April 30, 2021 primarily as a result of net borrowings under Vilebrequin’s overdraft facilities.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spacing w:after="0" w:line="17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accounting policies and related estimates described in our Annual Report on Form 10-K for the year ended January 31, 2021 are those that depend most heavily on these judgments and estimates. As of April 30, 2021, there have been no material changes to our critical accounting policies, other than the change in our retail inventory valuation method from the lower of cost or market as determined by the retail inventory method to the lower of cost or market under the weighted average cost method as discussed in Note 1 to the condensed consolidated financial statements included in this Quarterly Report on Form 10-Q.</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There are no material changes to the disclosure made with respect to these matters in our Annual Report on Form 10-K for the year ended January 31, 2021.</w:t>
      </w:r>
    </w:p>
    <w:p>
      <w:pPr>
        <w:spacing w:after="0" w:line="166"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13a-15(e) under the Securities Exchange Act of 1934, as amended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During our last fiscal quarter,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risk factors contained in “Item 1A.-Risk Factors” in our Annual Report on Form 10-K for the year ended January 31, 2021 (the “Annual Report”), which could materially affect our business, financial condition and/or future results. There have been no material changes in our risk factors from those set forth in our Annual Report as of April 30, 2021. The risks described in our Annual Report on Form 10-K are not the only risks facing our company. Additional risks and uncertainties not currently known to us or that we currently deem to be immaterial also may materially adversely affect our business, financial condition and/or future results.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100" w:type="dxa"/>
            <w:vAlign w:val="bottom"/>
            <w:gridSpan w:val="7"/>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05"/>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64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Form of Restricted Stock Unit Agreement for March 16, 2021 restricted stock unit grants.</w:t>
              </w:r>
            </w:hyperlink>
          </w:p>
        </w:tc>
        <w:tc>
          <w:tcPr>
            <w:tcW w:w="1640" w:type="dxa"/>
            <w:vAlign w:val="bottom"/>
            <w:gridSpan w:val="4"/>
          </w:tcPr>
          <w:p>
            <w:pPr>
              <w:spacing w:after="0"/>
              <w:rPr>
                <w:sz w:val="24"/>
                <w:szCs w:val="24"/>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18.1</w:t>
            </w:r>
          </w:p>
        </w:tc>
        <w:tc>
          <w:tcPr>
            <w:tcW w:w="8100" w:type="dxa"/>
            <w:vAlign w:val="bottom"/>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Letter from Ernst &amp; Young LLP regarding change in accounting principle.</w:t>
              </w:r>
            </w:hyperlink>
          </w:p>
        </w:tc>
      </w:tr>
      <w:tr>
        <w:trPr>
          <w:trHeight w:val="20"/>
        </w:trPr>
        <w:tc>
          <w:tcPr>
            <w:tcW w:w="800" w:type="dxa"/>
            <w:vAlign w:val="bottom"/>
          </w:tcPr>
          <w:p>
            <w:pPr>
              <w:spacing w:after="0" w:line="20" w:lineRule="exact"/>
              <w:rPr>
                <w:sz w:val="1"/>
                <w:szCs w:val="1"/>
                <w:color w:val="auto"/>
              </w:rPr>
            </w:pPr>
          </w:p>
        </w:tc>
        <w:tc>
          <w:tcPr>
            <w:tcW w:w="53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810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Certification by Morris Goldfarb, Chief Executive Officer of G-III Apparel Group, Ltd., pursuant to Rule 13a -</w:t>
              </w:r>
            </w:hyperlink>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14(a) or Rule 15d - 14(a) of the Securities Exchange Act of 1934, as amended, in connection with G-III Apparel</w:t>
              </w:r>
            </w:hyperlink>
          </w:p>
        </w:tc>
      </w:tr>
      <w:tr>
        <w:trPr>
          <w:trHeight w:val="196"/>
        </w:trPr>
        <w:tc>
          <w:tcPr>
            <w:tcW w:w="800" w:type="dxa"/>
            <w:vAlign w:val="bottom"/>
          </w:tcPr>
          <w:p>
            <w:pPr>
              <w:spacing w:after="0"/>
              <w:rPr>
                <w:sz w:val="17"/>
                <w:szCs w:val="17"/>
                <w:color w:val="auto"/>
              </w:rPr>
            </w:pPr>
          </w:p>
        </w:tc>
        <w:tc>
          <w:tcPr>
            <w:tcW w:w="8100" w:type="dxa"/>
            <w:vAlign w:val="bottom"/>
            <w:gridSpan w:val="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Group, Ltd.’s Quarterly Report on Form 10-Q for the fiscal quarter ended April 30, 2021.</w:t>
              </w:r>
            </w:hyperlink>
          </w:p>
        </w:tc>
      </w:tr>
      <w:tr>
        <w:trPr>
          <w:trHeight w:val="20"/>
        </w:trPr>
        <w:tc>
          <w:tcPr>
            <w:tcW w:w="800" w:type="dxa"/>
            <w:vAlign w:val="bottom"/>
          </w:tcPr>
          <w:p>
            <w:pPr>
              <w:spacing w:after="0" w:line="20" w:lineRule="exact"/>
              <w:rPr>
                <w:sz w:val="1"/>
                <w:szCs w:val="1"/>
                <w:color w:val="auto"/>
              </w:rPr>
            </w:pPr>
          </w:p>
        </w:tc>
        <w:tc>
          <w:tcPr>
            <w:tcW w:w="642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8100" w:type="dxa"/>
            <w:vAlign w:val="bottom"/>
            <w:gridSpan w:val="7"/>
          </w:tcPr>
          <w:p>
            <w:pPr>
              <w:spacing w:after="0" w:line="196" w:lineRule="exact"/>
              <w:rPr>
                <w:rFonts w:ascii="Arial" w:cs="Arial" w:eastAsia="Arial" w:hAnsi="Arial"/>
                <w:sz w:val="18"/>
                <w:szCs w:val="18"/>
                <w:color w:val="0000EE"/>
                <w:w w:val="93"/>
              </w:rPr>
            </w:pPr>
            <w:hyperlink w:anchor="page36">
              <w:r>
                <w:rPr>
                  <w:rFonts w:ascii="Arial" w:cs="Arial" w:eastAsia="Arial" w:hAnsi="Arial"/>
                  <w:sz w:val="18"/>
                  <w:szCs w:val="18"/>
                  <w:color w:val="0000EE"/>
                  <w:w w:val="93"/>
                </w:rPr>
                <w:t>Certification by Neal S. Nackman, Chief Financial Officer of G-III Apparel Group, Ltd., pursuant to Rule 13a -</w:t>
              </w:r>
            </w:hyperlink>
          </w:p>
        </w:tc>
      </w:tr>
      <w:tr>
        <w:trPr>
          <w:trHeight w:val="20"/>
        </w:trPr>
        <w:tc>
          <w:tcPr>
            <w:tcW w:w="800" w:type="dxa"/>
            <w:vAlign w:val="bottom"/>
          </w:tcPr>
          <w:p>
            <w:pPr>
              <w:spacing w:after="0" w:line="20" w:lineRule="exact"/>
              <w:rPr>
                <w:sz w:val="1"/>
                <w:szCs w:val="1"/>
                <w:color w:val="auto"/>
              </w:rPr>
            </w:pPr>
          </w:p>
        </w:tc>
        <w:tc>
          <w:tcPr>
            <w:tcW w:w="642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14(a) or Rule 15d - 14(a) of the Securities Exchange Act of 1934, as amended, in connection with G-III Apparel</w:t>
              </w:r>
            </w:hyperlink>
          </w:p>
        </w:tc>
      </w:tr>
      <w:tr>
        <w:trPr>
          <w:trHeight w:val="196"/>
        </w:trPr>
        <w:tc>
          <w:tcPr>
            <w:tcW w:w="800" w:type="dxa"/>
            <w:vAlign w:val="bottom"/>
          </w:tcPr>
          <w:p>
            <w:pPr>
              <w:spacing w:after="0"/>
              <w:rPr>
                <w:sz w:val="17"/>
                <w:szCs w:val="17"/>
                <w:color w:val="auto"/>
              </w:rPr>
            </w:pPr>
          </w:p>
        </w:tc>
        <w:tc>
          <w:tcPr>
            <w:tcW w:w="8100" w:type="dxa"/>
            <w:vAlign w:val="bottom"/>
            <w:gridSpan w:val="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Group, Ltd.’s Quarterly Report on Form 10-Q for the fiscal quarter ended April 30, 2021.</w:t>
              </w:r>
            </w:hyperlink>
          </w:p>
        </w:tc>
      </w:tr>
      <w:tr>
        <w:trPr>
          <w:trHeight w:val="20"/>
        </w:trPr>
        <w:tc>
          <w:tcPr>
            <w:tcW w:w="800" w:type="dxa"/>
            <w:vAlign w:val="bottom"/>
          </w:tcPr>
          <w:p>
            <w:pPr>
              <w:spacing w:after="0" w:line="20" w:lineRule="exact"/>
              <w:rPr>
                <w:sz w:val="1"/>
                <w:szCs w:val="1"/>
                <w:color w:val="auto"/>
              </w:rPr>
            </w:pPr>
          </w:p>
        </w:tc>
        <w:tc>
          <w:tcPr>
            <w:tcW w:w="642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810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Certification by Morris Goldfarb, Chief Executive Officer of G-III Apparel Group, Ltd., pursuant to 18 U.S.C.</w:t>
              </w:r>
            </w:hyperlink>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Section 1350, as adopted pursuant to Section 906 of the Sarbanes-Oxley Act of 2002, in connection with G-III</w:t>
              </w:r>
            </w:hyperlink>
          </w:p>
        </w:tc>
      </w:tr>
      <w:tr>
        <w:trPr>
          <w:trHeight w:val="196"/>
        </w:trPr>
        <w:tc>
          <w:tcPr>
            <w:tcW w:w="800" w:type="dxa"/>
            <w:vAlign w:val="bottom"/>
          </w:tcPr>
          <w:p>
            <w:pPr>
              <w:spacing w:after="0"/>
              <w:rPr>
                <w:sz w:val="17"/>
                <w:szCs w:val="17"/>
                <w:color w:val="auto"/>
              </w:rPr>
            </w:pPr>
          </w:p>
        </w:tc>
        <w:tc>
          <w:tcPr>
            <w:tcW w:w="70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Apparel Group, Ltd.’s Quarterly Report on Form 10-Q for the fiscal quarter ended April 30, 2021.</w:t>
              </w:r>
            </w:hyperlink>
          </w:p>
        </w:tc>
        <w:tc>
          <w:tcPr>
            <w:tcW w:w="1020" w:type="dxa"/>
            <w:vAlign w:val="bottom"/>
            <w:gridSpan w:val="2"/>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8100" w:type="dxa"/>
            <w:vAlign w:val="bottom"/>
            <w:gridSpan w:val="7"/>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Certification by Neal S. Nackman, Chief Financial Officer of G-III Apparel Group, Ltd., pursuant to 18 U.S.C.</w:t>
              </w:r>
            </w:hyperlink>
          </w:p>
        </w:tc>
      </w:tr>
      <w:tr>
        <w:trPr>
          <w:trHeight w:val="20"/>
        </w:trPr>
        <w:tc>
          <w:tcPr>
            <w:tcW w:w="800" w:type="dxa"/>
            <w:vAlign w:val="bottom"/>
          </w:tcPr>
          <w:p>
            <w:pPr>
              <w:spacing w:after="0" w:line="20" w:lineRule="exact"/>
              <w:rPr>
                <w:sz w:val="1"/>
                <w:szCs w:val="1"/>
                <w:color w:val="auto"/>
              </w:rPr>
            </w:pPr>
          </w:p>
        </w:tc>
        <w:tc>
          <w:tcPr>
            <w:tcW w:w="7060" w:type="dxa"/>
            <w:vAlign w:val="bottom"/>
            <w:gridSpan w:val="4"/>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Section 1350, as adopted pursuant to Section 906 of the Sarbanes-Oxley Act of 2002, in connection with G-III</w:t>
              </w:r>
            </w:hyperlink>
          </w:p>
        </w:tc>
      </w:tr>
      <w:tr>
        <w:trPr>
          <w:trHeight w:val="196"/>
        </w:trPr>
        <w:tc>
          <w:tcPr>
            <w:tcW w:w="800" w:type="dxa"/>
            <w:vAlign w:val="bottom"/>
          </w:tcPr>
          <w:p>
            <w:pPr>
              <w:spacing w:after="0"/>
              <w:rPr>
                <w:sz w:val="17"/>
                <w:szCs w:val="17"/>
                <w:color w:val="auto"/>
              </w:rPr>
            </w:pPr>
          </w:p>
        </w:tc>
        <w:tc>
          <w:tcPr>
            <w:tcW w:w="70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Apparel Group, Ltd.’s Quarterly Report on Form 10-Q for the fiscal quarter ended April 30, 2021.</w:t>
              </w:r>
            </w:hyperlink>
          </w:p>
        </w:tc>
        <w:tc>
          <w:tcPr>
            <w:tcW w:w="1040" w:type="dxa"/>
            <w:vAlign w:val="bottom"/>
            <w:gridSpan w:val="3"/>
          </w:tcPr>
          <w:p>
            <w:pPr>
              <w:spacing w:after="0"/>
              <w:rPr>
                <w:sz w:val="17"/>
                <w:szCs w:val="17"/>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8100" w:type="dxa"/>
            <w:vAlign w:val="bottom"/>
            <w:gridSpan w:val="7"/>
          </w:tcPr>
          <w:p>
            <w:pPr>
              <w:spacing w:after="0"/>
              <w:rPr>
                <w:sz w:val="20"/>
                <w:szCs w:val="20"/>
                <w:color w:val="auto"/>
              </w:rPr>
            </w:pPr>
            <w:r>
              <w:rPr>
                <w:rFonts w:ascii="Arial" w:cs="Arial" w:eastAsia="Arial" w:hAnsi="Arial"/>
                <w:sz w:val="18"/>
                <w:szCs w:val="18"/>
                <w:color w:val="auto"/>
              </w:rPr>
              <w:t>iXBRL Instance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8100" w:type="dxa"/>
            <w:vAlign w:val="bottom"/>
            <w:gridSpan w:val="7"/>
          </w:tcPr>
          <w:p>
            <w:pPr>
              <w:spacing w:after="0"/>
              <w:rPr>
                <w:sz w:val="20"/>
                <w:szCs w:val="20"/>
                <w:color w:val="auto"/>
              </w:rPr>
            </w:pPr>
            <w:r>
              <w:rPr>
                <w:rFonts w:ascii="Arial" w:cs="Arial" w:eastAsia="Arial" w:hAnsi="Arial"/>
                <w:sz w:val="18"/>
                <w:szCs w:val="18"/>
                <w:color w:val="auto"/>
              </w:rPr>
              <w:t>iXBRL Schema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8100" w:type="dxa"/>
            <w:vAlign w:val="bottom"/>
            <w:gridSpan w:val="7"/>
          </w:tcPr>
          <w:p>
            <w:pPr>
              <w:spacing w:after="0"/>
              <w:rPr>
                <w:sz w:val="20"/>
                <w:szCs w:val="20"/>
                <w:color w:val="auto"/>
              </w:rPr>
            </w:pPr>
            <w:r>
              <w:rPr>
                <w:rFonts w:ascii="Arial" w:cs="Arial" w:eastAsia="Arial" w:hAnsi="Arial"/>
                <w:sz w:val="18"/>
                <w:szCs w:val="18"/>
                <w:color w:val="auto"/>
              </w:rPr>
              <w:t>iXBRL Calculation Linkbase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8100" w:type="dxa"/>
            <w:vAlign w:val="bottom"/>
            <w:gridSpan w:val="7"/>
          </w:tcPr>
          <w:p>
            <w:pPr>
              <w:spacing w:after="0"/>
              <w:rPr>
                <w:sz w:val="20"/>
                <w:szCs w:val="20"/>
                <w:color w:val="auto"/>
              </w:rPr>
            </w:pPr>
            <w:r>
              <w:rPr>
                <w:rFonts w:ascii="Arial" w:cs="Arial" w:eastAsia="Arial" w:hAnsi="Arial"/>
                <w:sz w:val="18"/>
                <w:szCs w:val="18"/>
                <w:color w:val="auto"/>
              </w:rPr>
              <w:t>iXBRL Extension Definition.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8100" w:type="dxa"/>
            <w:vAlign w:val="bottom"/>
            <w:gridSpan w:val="7"/>
          </w:tcPr>
          <w:p>
            <w:pPr>
              <w:spacing w:after="0"/>
              <w:rPr>
                <w:sz w:val="20"/>
                <w:szCs w:val="20"/>
                <w:color w:val="auto"/>
              </w:rPr>
            </w:pPr>
            <w:r>
              <w:rPr>
                <w:rFonts w:ascii="Arial" w:cs="Arial" w:eastAsia="Arial" w:hAnsi="Arial"/>
                <w:sz w:val="18"/>
                <w:szCs w:val="18"/>
                <w:color w:val="auto"/>
              </w:rPr>
              <w:t>iXBRL Label Linkbase Document.</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8100" w:type="dxa"/>
            <w:vAlign w:val="bottom"/>
            <w:gridSpan w:val="7"/>
          </w:tcPr>
          <w:p>
            <w:pPr>
              <w:spacing w:after="0"/>
              <w:rPr>
                <w:sz w:val="20"/>
                <w:szCs w:val="20"/>
                <w:color w:val="auto"/>
              </w:rPr>
            </w:pPr>
            <w:r>
              <w:rPr>
                <w:rFonts w:ascii="Arial" w:cs="Arial" w:eastAsia="Arial" w:hAnsi="Arial"/>
                <w:sz w:val="18"/>
                <w:szCs w:val="18"/>
                <w:color w:val="auto"/>
              </w:rPr>
              <w:t>iXBRL Presentation Linkbase Document.</w:t>
            </w:r>
          </w:p>
        </w:tc>
      </w:tr>
    </w:tbl>
    <w:p>
      <w:pPr>
        <w:ind w:left="860" w:hanging="80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6060" w:type="dxa"/>
            <w:vAlign w:val="bottom"/>
            <w:gridSpan w:val="2"/>
          </w:tcPr>
          <w:p>
            <w:pPr>
              <w:ind w:left="1620"/>
              <w:spacing w:after="0"/>
              <w:rPr>
                <w:sz w:val="20"/>
                <w:szCs w:val="20"/>
                <w:color w:val="auto"/>
              </w:rPr>
            </w:pPr>
            <w:r>
              <w:rPr>
                <w:rFonts w:ascii="Arial" w:cs="Arial" w:eastAsia="Arial" w:hAnsi="Arial"/>
                <w:sz w:val="18"/>
                <w:szCs w:val="18"/>
                <w:color w:val="auto"/>
              </w:rPr>
              <w:t>G-III APPAREL GROUP, LTD.</w:t>
            </w:r>
          </w:p>
        </w:tc>
      </w:tr>
      <w:tr>
        <w:trPr>
          <w:trHeight w:val="230"/>
        </w:trPr>
        <w:tc>
          <w:tcPr>
            <w:tcW w:w="28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(Registrant)</w:t>
            </w:r>
          </w:p>
        </w:tc>
      </w:tr>
      <w:tr>
        <w:trPr>
          <w:trHeight w:val="432"/>
        </w:trPr>
        <w:tc>
          <w:tcPr>
            <w:tcW w:w="2860" w:type="dxa"/>
            <w:vAlign w:val="bottom"/>
          </w:tcPr>
          <w:p>
            <w:pPr>
              <w:ind w:left="20"/>
              <w:spacing w:after="0"/>
              <w:rPr>
                <w:sz w:val="20"/>
                <w:szCs w:val="20"/>
                <w:color w:val="auto"/>
              </w:rPr>
            </w:pPr>
            <w:r>
              <w:rPr>
                <w:rFonts w:ascii="Arial" w:cs="Arial" w:eastAsia="Arial" w:hAnsi="Arial"/>
                <w:sz w:val="18"/>
                <w:szCs w:val="18"/>
                <w:color w:val="auto"/>
              </w:rPr>
              <w:t>Date: June 8, 2021</w:t>
            </w:r>
          </w:p>
        </w:tc>
        <w:tc>
          <w:tcPr>
            <w:tcW w:w="6060" w:type="dxa"/>
            <w:vAlign w:val="bottom"/>
            <w:gridSpan w:val="2"/>
          </w:tcPr>
          <w:p>
            <w:pPr>
              <w:ind w:left="1620"/>
              <w:spacing w:after="0"/>
              <w:rPr>
                <w:sz w:val="20"/>
                <w:szCs w:val="20"/>
                <w:color w:val="auto"/>
              </w:rPr>
            </w:pPr>
            <w:r>
              <w:rPr>
                <w:rFonts w:ascii="Arial" w:cs="Arial" w:eastAsia="Arial" w:hAnsi="Arial"/>
                <w:sz w:val="18"/>
                <w:szCs w:val="18"/>
                <w:color w:val="auto"/>
              </w:rPr>
              <w:t>By: /s/ Morris Goldfarb</w:t>
            </w:r>
          </w:p>
        </w:tc>
      </w:tr>
      <w:tr>
        <w:trPr>
          <w:trHeight w:val="195"/>
        </w:trPr>
        <w:tc>
          <w:tcPr>
            <w:tcW w:w="28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Morris Goldfarb</w:t>
            </w:r>
          </w:p>
        </w:tc>
      </w:tr>
      <w:tr>
        <w:trPr>
          <w:trHeight w:val="230"/>
        </w:trPr>
        <w:tc>
          <w:tcPr>
            <w:tcW w:w="28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2860" w:type="dxa"/>
            <w:vAlign w:val="bottom"/>
          </w:tcPr>
          <w:p>
            <w:pPr>
              <w:ind w:left="20"/>
              <w:spacing w:after="0"/>
              <w:rPr>
                <w:sz w:val="20"/>
                <w:szCs w:val="20"/>
                <w:color w:val="auto"/>
              </w:rPr>
            </w:pPr>
            <w:r>
              <w:rPr>
                <w:rFonts w:ascii="Arial" w:cs="Arial" w:eastAsia="Arial" w:hAnsi="Arial"/>
                <w:sz w:val="18"/>
                <w:szCs w:val="18"/>
                <w:color w:val="auto"/>
              </w:rPr>
              <w:t>Date: June 8, 2021</w:t>
            </w:r>
          </w:p>
        </w:tc>
        <w:tc>
          <w:tcPr>
            <w:tcW w:w="6060" w:type="dxa"/>
            <w:vAlign w:val="bottom"/>
            <w:gridSpan w:val="2"/>
          </w:tcPr>
          <w:p>
            <w:pPr>
              <w:ind w:left="1620"/>
              <w:spacing w:after="0"/>
              <w:rPr>
                <w:sz w:val="20"/>
                <w:szCs w:val="20"/>
                <w:color w:val="auto"/>
              </w:rPr>
            </w:pPr>
            <w:r>
              <w:rPr>
                <w:rFonts w:ascii="Arial" w:cs="Arial" w:eastAsia="Arial" w:hAnsi="Arial"/>
                <w:sz w:val="18"/>
                <w:szCs w:val="18"/>
                <w:color w:val="auto"/>
              </w:rPr>
              <w:t>By: /s/ Neal S. Nackman</w:t>
            </w:r>
          </w:p>
        </w:tc>
      </w:tr>
      <w:tr>
        <w:trPr>
          <w:trHeight w:val="195"/>
        </w:trPr>
        <w:tc>
          <w:tcPr>
            <w:tcW w:w="28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Neal S. Nackman</w:t>
            </w:r>
          </w:p>
        </w:tc>
      </w:tr>
      <w:tr>
        <w:trPr>
          <w:trHeight w:val="230"/>
        </w:trPr>
        <w:tc>
          <w:tcPr>
            <w:tcW w:w="28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64"/>
        </w:trPr>
        <w:tc>
          <w:tcPr>
            <w:tcW w:w="2860" w:type="dxa"/>
            <w:vAlign w:val="bottom"/>
          </w:tcPr>
          <w:p>
            <w:pPr>
              <w:spacing w:after="0"/>
              <w:rPr>
                <w:sz w:val="24"/>
                <w:szCs w:val="24"/>
                <w:color w:val="auto"/>
              </w:rPr>
            </w:pPr>
          </w:p>
        </w:tc>
        <w:tc>
          <w:tcPr>
            <w:tcW w:w="194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4120" w:type="dxa"/>
            <w:vAlign w:val="bottom"/>
          </w:tcPr>
          <w:p>
            <w:pPr>
              <w:spacing w:after="0"/>
              <w:rPr>
                <w:sz w:val="24"/>
                <w:szCs w:val="24"/>
                <w:color w:val="auto"/>
              </w:rPr>
            </w:pPr>
          </w:p>
        </w:tc>
      </w:tr>
      <w:tr>
        <w:trPr>
          <w:trHeight w:val="560"/>
        </w:trPr>
        <w:tc>
          <w:tcPr>
            <w:tcW w:w="28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1" w:name="page32"/>
    <w:bookmarkEnd w:id="31"/>
    <w:p>
      <w:pPr>
        <w:jc w:val="right"/>
        <w:ind w:right="219"/>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G-III APPAREL GROUP,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2015 LONG-TERM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11" w:lineRule="exact"/>
        <w:rPr>
          <w:sz w:val="20"/>
          <w:szCs w:val="20"/>
          <w:color w:val="auto"/>
        </w:rPr>
      </w:pPr>
    </w:p>
    <w:p>
      <w:pPr>
        <w:ind w:left="200" w:right="219" w:firstLine="648"/>
        <w:spacing w:after="0" w:line="221" w:lineRule="auto"/>
        <w:rPr>
          <w:sz w:val="20"/>
          <w:szCs w:val="20"/>
          <w:color w:val="auto"/>
        </w:rPr>
      </w:pPr>
      <w:r>
        <w:rPr>
          <w:rFonts w:ascii="Arial" w:cs="Arial" w:eastAsia="Arial" w:hAnsi="Arial"/>
          <w:sz w:val="17"/>
          <w:szCs w:val="17"/>
          <w:color w:val="auto"/>
        </w:rPr>
        <w:t>AGREEMENT, made as of the 16</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of March, 2021, between G-III APPAREL GROUP, LTD. (the “Company”) and __________________ (the “Participant”), pursuant to the G-III Apparel Group, Ltd. 2015 Long-</w:t>
      </w:r>
    </w:p>
    <w:p>
      <w:pPr>
        <w:spacing w:after="0" w:line="2" w:lineRule="exact"/>
        <w:rPr>
          <w:sz w:val="20"/>
          <w:szCs w:val="20"/>
          <w:color w:val="auto"/>
        </w:rPr>
      </w:pPr>
    </w:p>
    <w:p>
      <w:pPr>
        <w:ind w:left="200" w:right="219"/>
        <w:spacing w:after="0" w:line="260" w:lineRule="auto"/>
        <w:rPr>
          <w:sz w:val="20"/>
          <w:szCs w:val="20"/>
          <w:color w:val="auto"/>
        </w:rPr>
      </w:pPr>
      <w:r>
        <w:rPr>
          <w:rFonts w:ascii="Arial" w:cs="Arial" w:eastAsia="Arial" w:hAnsi="Arial"/>
          <w:sz w:val="18"/>
          <w:szCs w:val="18"/>
          <w:color w:val="auto"/>
        </w:rPr>
        <w:t>Term Incentive Plan (the “Plan”). Capitalized terms that are used but not defined in this Agreement shall have the meanings given to them by the Plan.</w:t>
      </w:r>
    </w:p>
    <w:p>
      <w:pPr>
        <w:spacing w:after="0" w:line="185" w:lineRule="exact"/>
        <w:rPr>
          <w:sz w:val="20"/>
          <w:szCs w:val="20"/>
          <w:color w:val="auto"/>
        </w:rPr>
      </w:pPr>
    </w:p>
    <w:p>
      <w:pPr>
        <w:jc w:val="both"/>
        <w:ind w:left="200" w:right="219" w:firstLine="657"/>
        <w:spacing w:after="0" w:line="286" w:lineRule="auto"/>
        <w:tabs>
          <w:tab w:leader="none" w:pos="1496"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Restricted Stock Unit Award</w:t>
      </w:r>
      <w:r>
        <w:rPr>
          <w:rFonts w:ascii="Arial" w:cs="Arial" w:eastAsia="Arial" w:hAnsi="Arial"/>
          <w:sz w:val="17"/>
          <w:szCs w:val="17"/>
          <w:color w:val="auto"/>
        </w:rPr>
        <w:t>. In accordance with the Plan, the Company hereby grants to the Participant ______ restricted stock units (“RSUs”). Each RSU represents the right to receive one share of the Company’s common stock (a “Share”), subject to the terms and conditions of this Agreement and the Plan.</w:t>
      </w:r>
    </w:p>
    <w:p>
      <w:pPr>
        <w:spacing w:after="0" w:line="165" w:lineRule="exact"/>
        <w:rPr>
          <w:rFonts w:ascii="Arial" w:cs="Arial" w:eastAsia="Arial" w:hAnsi="Arial"/>
          <w:sz w:val="17"/>
          <w:szCs w:val="17"/>
          <w:color w:val="auto"/>
        </w:rPr>
      </w:pPr>
    </w:p>
    <w:p>
      <w:pPr>
        <w:jc w:val="both"/>
        <w:ind w:left="200" w:right="219" w:firstLine="657"/>
        <w:spacing w:after="0" w:line="263" w:lineRule="auto"/>
        <w:tabs>
          <w:tab w:leader="none" w:pos="149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Vesting Conditions</w:t>
      </w:r>
      <w:r>
        <w:rPr>
          <w:rFonts w:ascii="Arial" w:cs="Arial" w:eastAsia="Arial" w:hAnsi="Arial"/>
          <w:sz w:val="18"/>
          <w:szCs w:val="18"/>
          <w:color w:val="auto"/>
        </w:rPr>
        <w:t>. Participant’s right to receive the Shares covered by this Agreement shall become vested with respect to all of the Shares on April 1, 2024, subject to the Participant’s continuous employment or other service with the Company through the applicable vesting date.</w:t>
      </w:r>
    </w:p>
    <w:p>
      <w:pPr>
        <w:spacing w:after="0" w:line="183" w:lineRule="exact"/>
        <w:rPr>
          <w:rFonts w:ascii="Arial" w:cs="Arial" w:eastAsia="Arial" w:hAnsi="Arial"/>
          <w:sz w:val="18"/>
          <w:szCs w:val="18"/>
          <w:color w:val="auto"/>
        </w:rPr>
      </w:pPr>
    </w:p>
    <w:p>
      <w:pPr>
        <w:jc w:val="both"/>
        <w:ind w:left="200" w:right="219" w:firstLine="657"/>
        <w:spacing w:after="0" w:line="257" w:lineRule="auto"/>
        <w:tabs>
          <w:tab w:leader="none" w:pos="149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Settlement of RSUs</w:t>
      </w:r>
      <w:r>
        <w:rPr>
          <w:rFonts w:ascii="Arial" w:cs="Arial" w:eastAsia="Arial" w:hAnsi="Arial"/>
          <w:sz w:val="18"/>
          <w:szCs w:val="18"/>
          <w:color w:val="auto"/>
        </w:rPr>
        <w:t xml:space="preserve"> If and when RSUs become vested, the Participant will have the right to receive a corresponding number of whole Shares from the Company in full settlement of such vested RSUs. Such Shares will be issued and delivered in certificated or electronic form as soon as practicable (but not more than 90 days) after the applicable RSU vesting date, subject to any applicable tax withholding and other conditions set forth in the Plan, this Agreement and/or applicable law.</w:t>
      </w:r>
    </w:p>
    <w:p>
      <w:pPr>
        <w:spacing w:after="0" w:line="187" w:lineRule="exact"/>
        <w:rPr>
          <w:rFonts w:ascii="Arial" w:cs="Arial" w:eastAsia="Arial" w:hAnsi="Arial"/>
          <w:sz w:val="18"/>
          <w:szCs w:val="18"/>
          <w:color w:val="auto"/>
        </w:rPr>
      </w:pPr>
    </w:p>
    <w:p>
      <w:pPr>
        <w:jc w:val="both"/>
        <w:ind w:left="200" w:right="239" w:firstLine="657"/>
        <w:spacing w:after="0" w:line="263" w:lineRule="auto"/>
        <w:tabs>
          <w:tab w:leader="none" w:pos="149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Upon the termination of the Participant’s employment or other service with the Company, any unvested RSUs then covered by this Agreement shall be canceled and the Participant shall have no further rights with respect thereto.</w:t>
      </w:r>
    </w:p>
    <w:p>
      <w:pPr>
        <w:spacing w:after="0" w:line="183" w:lineRule="exact"/>
        <w:rPr>
          <w:rFonts w:ascii="Arial" w:cs="Arial" w:eastAsia="Arial" w:hAnsi="Arial"/>
          <w:sz w:val="18"/>
          <w:szCs w:val="18"/>
          <w:color w:val="auto"/>
        </w:rPr>
      </w:pPr>
    </w:p>
    <w:p>
      <w:pPr>
        <w:jc w:val="both"/>
        <w:ind w:left="200" w:right="219" w:firstLine="657"/>
        <w:spacing w:after="0" w:line="263" w:lineRule="auto"/>
        <w:tabs>
          <w:tab w:leader="none" w:pos="149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 Rights as a Shareholder</w:t>
      </w:r>
      <w:r>
        <w:rPr>
          <w:rFonts w:ascii="Arial" w:cs="Arial" w:eastAsia="Arial" w:hAnsi="Arial"/>
          <w:sz w:val="18"/>
          <w:szCs w:val="18"/>
          <w:color w:val="auto"/>
        </w:rPr>
        <w:t>. The Participant shall have no ownership or other rights of a stockholder with respect to Shares underlying the RSUs (including any right to receive dividends or to vote such Shares) unless and until such Shares are issued to the Participant in settlement of vested RSUs.</w:t>
      </w:r>
    </w:p>
    <w:p>
      <w:pPr>
        <w:spacing w:after="0" w:line="183" w:lineRule="exact"/>
        <w:rPr>
          <w:rFonts w:ascii="Arial" w:cs="Arial" w:eastAsia="Arial" w:hAnsi="Arial"/>
          <w:sz w:val="18"/>
          <w:szCs w:val="18"/>
          <w:color w:val="auto"/>
        </w:rPr>
      </w:pPr>
    </w:p>
    <w:p>
      <w:pPr>
        <w:jc w:val="both"/>
        <w:ind w:left="200" w:right="219" w:firstLine="657"/>
        <w:spacing w:after="0" w:line="270" w:lineRule="auto"/>
        <w:tabs>
          <w:tab w:leader="none" w:pos="1496"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Prior to any settlement of vested RSUs, the Participant shall be required to pay or make adequate arrangements satisfactory to the Company for the payment of all applicable tax withholding obligations. The Participant hereby authorizes the Company to satisfy all or part of the amount of such tax withholding obligations by deducting such amount from cash compensation or other payments that would otherwise be owed to the Participant. The Committee, acting in its sole discretion and pursuant to applicable law, may permit the Participant to satisfy any such tax withholding obligations with Shares that would otherwise be issued to the Participant in settlement of vested RSUs, and/or with previously-owned Shares held by the Participant. The amount of the Participant’s tax withholding obligation that is satisfied in Shares, if any, shall be based upon the Fair Market Value of the Shares on the date such Shares are delivered or withheld.</w:t>
      </w:r>
    </w:p>
    <w:p>
      <w:pPr>
        <w:spacing w:after="0" w:line="180" w:lineRule="exact"/>
        <w:rPr>
          <w:rFonts w:ascii="Arial" w:cs="Arial" w:eastAsia="Arial" w:hAnsi="Arial"/>
          <w:sz w:val="17"/>
          <w:szCs w:val="17"/>
          <w:color w:val="auto"/>
        </w:rPr>
      </w:pPr>
    </w:p>
    <w:p>
      <w:pPr>
        <w:jc w:val="both"/>
        <w:ind w:left="200" w:right="219" w:firstLine="657"/>
        <w:spacing w:after="0" w:line="257" w:lineRule="auto"/>
        <w:tabs>
          <w:tab w:leader="none" w:pos="149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Except as otherwise permitted by the Committee acting in its discretion under the Plan, the RSUs and the Participant’s right to receive Shares in settlement of vested RSUs may not be sold, assigned, transferred, pledged or otherwise alienated or disposed of (except by will or the laws of descent and distribution), and may not become subject to attachment, garnishment, execution or other legal or equitable process, and any attempt to do so shall be null and void.</w:t>
      </w:r>
    </w:p>
    <w:p>
      <w:pPr>
        <w:spacing w:after="0" w:line="187" w:lineRule="exact"/>
        <w:rPr>
          <w:rFonts w:ascii="Arial" w:cs="Arial" w:eastAsia="Arial" w:hAnsi="Arial"/>
          <w:sz w:val="18"/>
          <w:szCs w:val="18"/>
          <w:color w:val="auto"/>
        </w:rPr>
      </w:pPr>
    </w:p>
    <w:p>
      <w:pPr>
        <w:jc w:val="both"/>
        <w:ind w:left="200" w:right="219" w:firstLine="657"/>
        <w:spacing w:after="0" w:line="311" w:lineRule="auto"/>
        <w:tabs>
          <w:tab w:leader="none" w:pos="1496"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No Other Rights Conferred</w:t>
      </w:r>
      <w:r>
        <w:rPr>
          <w:rFonts w:ascii="Arial" w:cs="Arial" w:eastAsia="Arial" w:hAnsi="Arial"/>
          <w:sz w:val="16"/>
          <w:szCs w:val="16"/>
          <w:color w:val="auto"/>
        </w:rPr>
        <w:t>. Nothing contained herein shall be deemed to give the Participant a right to be retained in the employ or other service of the Company or any affiliate or affect the right of the Company and its affiliates to terminate or amend the terms and conditions of the Participant’s employment or other service.</w:t>
      </w:r>
    </w:p>
    <w:p>
      <w:pPr>
        <w:spacing w:after="0" w:line="148" w:lineRule="exact"/>
        <w:rPr>
          <w:rFonts w:ascii="Arial" w:cs="Arial" w:eastAsia="Arial" w:hAnsi="Arial"/>
          <w:sz w:val="16"/>
          <w:szCs w:val="16"/>
          <w:color w:val="auto"/>
        </w:rPr>
      </w:pPr>
    </w:p>
    <w:p>
      <w:pPr>
        <w:jc w:val="both"/>
        <w:ind w:left="200" w:right="219" w:firstLine="657"/>
        <w:spacing w:after="0" w:line="263" w:lineRule="auto"/>
        <w:tabs>
          <w:tab w:leader="none" w:pos="149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Provisions of the Plan Control</w:t>
      </w:r>
      <w:r>
        <w:rPr>
          <w:rFonts w:ascii="Arial" w:cs="Arial" w:eastAsia="Arial" w:hAnsi="Arial"/>
          <w:sz w:val="18"/>
          <w:szCs w:val="18"/>
          <w:color w:val="auto"/>
        </w:rPr>
        <w:t>. The provisions of the Plan, the terms of which are incorporated in this Agreement, shall govern if and to the extent that there are inconsistencies between those provisions and the provisions hereof.</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32" w:name="page33"/>
    <w:bookmarkEnd w:id="32"/>
    <w:p>
      <w:pPr>
        <w:ind w:left="200" w:right="219" w:firstLine="657"/>
        <w:spacing w:after="0" w:line="277" w:lineRule="auto"/>
        <w:tabs>
          <w:tab w:leader="none" w:pos="149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shall be binding upon and shall inure to the benefit of the parties hereto and their respective successors and permitted assigns.</w:t>
      </w:r>
    </w:p>
    <w:p>
      <w:pPr>
        <w:spacing w:after="0" w:line="170" w:lineRule="exact"/>
        <w:rPr>
          <w:rFonts w:ascii="Arial" w:cs="Arial" w:eastAsia="Arial" w:hAnsi="Arial"/>
          <w:sz w:val="18"/>
          <w:szCs w:val="18"/>
          <w:color w:val="auto"/>
        </w:rPr>
      </w:pPr>
    </w:p>
    <w:p>
      <w:pPr>
        <w:ind w:left="200" w:right="219" w:firstLine="657"/>
        <w:spacing w:after="0" w:line="308" w:lineRule="auto"/>
        <w:tabs>
          <w:tab w:leader="none" w:pos="1496"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agreement between the parties with respect to the subject matter hereof and may not be modified except by written instrument executed by the parties.</w:t>
      </w:r>
    </w:p>
    <w:p>
      <w:pPr>
        <w:spacing w:after="0" w:line="146" w:lineRule="exact"/>
        <w:rPr>
          <w:rFonts w:ascii="Arial" w:cs="Arial" w:eastAsia="Arial" w:hAnsi="Arial"/>
          <w:sz w:val="17"/>
          <w:szCs w:val="17"/>
          <w:color w:val="auto"/>
        </w:rPr>
      </w:pPr>
    </w:p>
    <w:p>
      <w:pPr>
        <w:ind w:left="200" w:right="239" w:firstLine="657"/>
        <w:spacing w:after="0" w:line="277" w:lineRule="auto"/>
        <w:tabs>
          <w:tab w:leader="none" w:pos="149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the laws of the State of Delaware, without regard to its principles of conflict of laws.</w:t>
      </w:r>
    </w:p>
    <w:p>
      <w:pPr>
        <w:spacing w:after="0" w:line="170" w:lineRule="exact"/>
        <w:rPr>
          <w:rFonts w:ascii="Arial" w:cs="Arial" w:eastAsia="Arial" w:hAnsi="Arial"/>
          <w:sz w:val="18"/>
          <w:szCs w:val="18"/>
          <w:color w:val="auto"/>
        </w:rPr>
      </w:pPr>
    </w:p>
    <w:p>
      <w:pPr>
        <w:ind w:left="200" w:right="219" w:firstLine="657"/>
        <w:spacing w:after="0" w:line="277" w:lineRule="auto"/>
        <w:tabs>
          <w:tab w:leader="none" w:pos="149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will be an original and all of which taken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G-III APPAREL GROUP, LTD.</w:t>
      </w:r>
    </w:p>
    <w:p>
      <w:pPr>
        <w:spacing w:after="0" w:line="200" w:lineRule="exact"/>
        <w:rPr>
          <w:sz w:val="20"/>
          <w:szCs w:val="20"/>
          <w:color w:val="auto"/>
        </w:rPr>
      </w:pPr>
    </w:p>
    <w:p>
      <w:pPr>
        <w:spacing w:after="0" w:line="24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By: _________________________</w:t>
      </w:r>
    </w:p>
    <w:p>
      <w:pPr>
        <w:spacing w:after="0" w:line="200" w:lineRule="exact"/>
        <w:rPr>
          <w:sz w:val="20"/>
          <w:szCs w:val="20"/>
          <w:color w:val="auto"/>
        </w:rPr>
      </w:pPr>
    </w:p>
    <w:p>
      <w:pPr>
        <w:spacing w:after="0" w:line="24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[Participant]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3" w:name="page34"/>
    <w:bookmarkEnd w:id="33"/>
    <w:p>
      <w:pPr>
        <w:jc w:val="right"/>
        <w:ind w:right="59"/>
        <w:spacing w:after="0"/>
        <w:rPr>
          <w:sz w:val="20"/>
          <w:szCs w:val="20"/>
          <w:color w:val="auto"/>
        </w:rPr>
      </w:pPr>
      <w:r>
        <w:rPr>
          <w:rFonts w:ascii="Arial" w:cs="Arial" w:eastAsia="Arial" w:hAnsi="Arial"/>
          <w:sz w:val="18"/>
          <w:szCs w:val="18"/>
          <w:b w:val="1"/>
          <w:bCs w:val="1"/>
          <w:color w:val="auto"/>
        </w:rPr>
        <w:t>Exhibit 18.1</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8, 2021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G-III Apparel Group, Ltd.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512 Seventh Avenue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NY 10018</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Note 1 of the Notes to Condensed Consolidated Financial Statements of G-III Apparel Group, Ltd. (“the Company”) included in its Form 10-Q for the three-month period ended April 30, 2021 describes a change in the method of accounting for retail inventories from the retail inventory method to the weighted average cost method. There are no authoritative criteria for determining a 'preferable' inventory valuation method based on the particular circumstances; however, we conclude that such change in the method of accounting is to an acceptable alternative method which, based on your business judgment to make this change and for the stated reason, is preferable in your circumstances. We have not conducted an audit in accordance with the standards of the Public Company Accounting Oversight Board (United States) of any financial statements of the Company as of any date or for any period subsequent to January 31, 2021, and therefore we do not express any opinion on any financial statements of the Company subsequent to that date.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34" w:name="page35"/>
    <w:bookmarkEnd w:id="34"/>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Morris Goldfarb, certify that:</w:t>
      </w:r>
    </w:p>
    <w:p>
      <w:pPr>
        <w:spacing w:after="0" w:line="158" w:lineRule="exact"/>
        <w:rPr>
          <w:sz w:val="20"/>
          <w:szCs w:val="20"/>
          <w:color w:val="auto"/>
        </w:rPr>
      </w:pPr>
    </w:p>
    <w:p>
      <w:pPr>
        <w:ind w:left="700" w:hanging="32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57"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jc w:val="both"/>
        <w:ind w:left="700" w:right="79" w:hanging="326"/>
        <w:spacing w:after="0" w:line="276"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7" w:lineRule="exact"/>
        <w:rPr>
          <w:rFonts w:ascii="Arial" w:cs="Arial" w:eastAsia="Arial" w:hAnsi="Arial"/>
          <w:sz w:val="16"/>
          <w:szCs w:val="16"/>
          <w:color w:val="auto"/>
        </w:rPr>
      </w:pPr>
    </w:p>
    <w:p>
      <w:pPr>
        <w:jc w:val="both"/>
        <w:ind w:left="1020" w:right="79" w:hanging="322"/>
        <w:spacing w:after="0" w:line="231"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left="1020" w:right="79" w:hanging="322"/>
        <w:spacing w:after="0" w:line="231"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jc w:val="both"/>
        <w:ind w:left="1020" w:right="79" w:hanging="322"/>
        <w:spacing w:after="0" w:line="235"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jc w:val="both"/>
        <w:ind w:left="1020" w:right="79" w:hanging="322"/>
        <w:spacing w:after="0" w:line="231"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jc w:val="both"/>
        <w:ind w:left="1020" w:right="79" w:hanging="322"/>
        <w:spacing w:after="0" w:line="235"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1020" w:right="79" w:hanging="322"/>
        <w:spacing w:after="0" w:line="246"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June 8, 2021</w:t>
      </w:r>
    </w:p>
    <w:p>
      <w:pPr>
        <w:spacing w:after="0" w:line="18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5" w:name="page36"/>
    <w:bookmarkEnd w:id="35"/>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Neal S. Nackman, certify that:</w:t>
      </w:r>
    </w:p>
    <w:p>
      <w:pPr>
        <w:spacing w:after="0" w:line="158" w:lineRule="exact"/>
        <w:rPr>
          <w:sz w:val="20"/>
          <w:szCs w:val="20"/>
          <w:color w:val="auto"/>
        </w:rPr>
      </w:pP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57"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jc w:val="both"/>
        <w:ind w:left="700" w:right="79" w:hanging="326"/>
        <w:spacing w:after="0" w:line="276"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7" w:lineRule="exact"/>
        <w:rPr>
          <w:rFonts w:ascii="Arial" w:cs="Arial" w:eastAsia="Arial" w:hAnsi="Arial"/>
          <w:sz w:val="16"/>
          <w:szCs w:val="16"/>
          <w:color w:val="auto"/>
        </w:rPr>
      </w:pPr>
    </w:p>
    <w:p>
      <w:pPr>
        <w:jc w:val="both"/>
        <w:ind w:left="1020" w:right="79" w:hanging="322"/>
        <w:spacing w:after="0" w:line="231"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left="1020" w:right="79" w:hanging="322"/>
        <w:spacing w:after="0" w:line="231"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jc w:val="both"/>
        <w:ind w:left="1020" w:right="79" w:hanging="322"/>
        <w:spacing w:after="0" w:line="235"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jc w:val="both"/>
        <w:ind w:left="1020" w:right="79" w:hanging="322"/>
        <w:spacing w:after="0" w:line="231"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jc w:val="both"/>
        <w:ind w:left="1020" w:right="79" w:hanging="322"/>
        <w:spacing w:after="0" w:line="235"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1020" w:right="79" w:hanging="322"/>
        <w:spacing w:after="0" w:line="246"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June 8, 2021</w:t>
      </w:r>
    </w:p>
    <w:p>
      <w:pPr>
        <w:spacing w:after="0" w:line="18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6" w:name="page37"/>
    <w:bookmarkEnd w:id="36"/>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left="60" w:right="59" w:firstLine="415"/>
        <w:spacing w:after="0" w:line="296" w:lineRule="auto"/>
        <w:rPr>
          <w:sz w:val="20"/>
          <w:szCs w:val="20"/>
          <w:color w:val="auto"/>
        </w:rPr>
      </w:pPr>
      <w:r>
        <w:rPr>
          <w:rFonts w:ascii="Arial" w:cs="Arial" w:eastAsia="Arial" w:hAnsi="Arial"/>
          <w:sz w:val="16"/>
          <w:szCs w:val="16"/>
          <w:color w:val="auto"/>
        </w:rPr>
        <w:t>In connection with the Quarterly Report of G-III Apparel Group, Ltd. (the “Company”) on Form 10-Q for the quarterly period ended April 30, 2021,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June 8, 2021</w:t>
      </w:r>
    </w:p>
    <w:p>
      <w:pPr>
        <w:spacing w:after="0" w:line="225"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307975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7" w:name="page38"/>
    <w:bookmarkEnd w:id="37"/>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left="60" w:right="59" w:firstLine="415"/>
        <w:spacing w:after="0" w:line="296" w:lineRule="auto"/>
        <w:rPr>
          <w:sz w:val="20"/>
          <w:szCs w:val="20"/>
          <w:color w:val="auto"/>
        </w:rPr>
      </w:pPr>
      <w:r>
        <w:rPr>
          <w:rFonts w:ascii="Arial" w:cs="Arial" w:eastAsia="Arial" w:hAnsi="Arial"/>
          <w:sz w:val="16"/>
          <w:szCs w:val="16"/>
          <w:color w:val="auto"/>
        </w:rPr>
        <w:t>In connection with the Quarterly Report of G-III Apparel Group, Ltd. (the “Company”) on Form 10-Q for the quarterly period ended April 30, 2021,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June 8, 2021</w:t>
      </w:r>
    </w:p>
    <w:p>
      <w:pPr>
        <w:spacing w:after="0" w:line="225"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307975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upperLetter"/>
      <w:start w:val="6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04"/>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0"/>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2021-06-08T16:05:36Z</dcterms:created>
  <dcterms:modified xsi:type="dcterms:W3CDTF">2021-06-08T16:05:36Z</dcterms:modified>
</cp:coreProperties>
</file>