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165100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40" w:lineRule="exact"/>
        <w:rPr>
          <w:sz w:val="24"/>
          <w:szCs w:val="24"/>
          <w:color w:val="auto"/>
        </w:rPr>
      </w:pPr>
    </w:p>
    <w:p>
      <w:pPr>
        <w:ind w:left="410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4105275</wp:posOffset>
            </wp:positionH>
            <wp:positionV relativeFrom="paragraph">
              <wp:posOffset>-5080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-5080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157480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G-III APPAREL GROUP,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180" w:type="dxa"/>
        <w:tblCellMar>
          <w:top w:w="0" w:type="dxa"/>
          <w:left w:w="0" w:type="dxa"/>
          <w:bottom w:w="0" w:type="dxa"/>
          <w:right w:w="0" w:type="dxa"/>
        </w:tblCellMar>
      </w:tblPr>
      <w:tr>
        <w:trPr>
          <w:trHeight w:val="214"/>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41-1590959</w:t>
            </w:r>
          </w:p>
        </w:tc>
      </w:tr>
      <w:tr>
        <w:trPr>
          <w:trHeight w:val="149"/>
        </w:trPr>
        <w:tc>
          <w:tcPr>
            <w:tcW w:w="6520" w:type="dxa"/>
            <w:vAlign w:val="bottom"/>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512 Seventh Avenue, New York, New York</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190"/>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520" w:type="dxa"/>
            <w:vAlign w:val="bottom"/>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(212) 403-0500</w:t>
            </w:r>
          </w:p>
        </w:tc>
        <w:tc>
          <w:tcPr>
            <w:tcW w:w="1480" w:type="dxa"/>
            <w:vAlign w:val="bottom"/>
          </w:tcPr>
          <w:p>
            <w:pPr>
              <w:spacing w:after="0"/>
              <w:rPr>
                <w:sz w:val="24"/>
                <w:szCs w:val="24"/>
                <w:color w:val="auto"/>
              </w:rPr>
            </w:pPr>
          </w:p>
        </w:tc>
      </w:tr>
      <w:tr>
        <w:trPr>
          <w:trHeight w:val="190"/>
        </w:trPr>
        <w:tc>
          <w:tcPr>
            <w:tcW w:w="6520" w:type="dxa"/>
            <w:vAlign w:val="bottom"/>
          </w:tcPr>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5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 2017, there were 48,758,185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1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8380" w:type="dxa"/>
            <w:vAlign w:val="bottom"/>
            <w:gridSpan w:val="15"/>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July 31, 2017, July 31, 2016 and January 31, 2017</w:t>
              </w:r>
            </w:hyperlink>
          </w:p>
        </w:tc>
        <w:tc>
          <w:tcPr>
            <w:tcW w:w="1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38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 For the Three Months Ended July 31,</w:t>
              </w:r>
            </w:hyperlink>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38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2017 and 2016</w:t>
              </w:r>
            </w:hyperlink>
          </w:p>
        </w:tc>
        <w:tc>
          <w:tcPr>
            <w:tcW w:w="1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Income (Loss) - For the Six Months Ended</w:t>
              </w:r>
            </w:hyperlink>
          </w:p>
        </w:tc>
        <w:tc>
          <w:tcPr>
            <w:tcW w:w="1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2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July 31, 2017 and 2016</w:t>
              </w:r>
            </w:hyperlink>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380" w:type="dxa"/>
            <w:vAlign w:val="bottom"/>
            <w:gridSpan w:val="15"/>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For the Six Months Ended July 31, 2017 and 2016</w:t>
              </w:r>
            </w:hyperlink>
          </w:p>
        </w:tc>
        <w:tc>
          <w:tcPr>
            <w:tcW w:w="1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4380" w:type="dxa"/>
            <w:vAlign w:val="bottom"/>
            <w:tcBorders>
              <w:bottom w:val="single" w:sz="8" w:color="CCEEFF"/>
            </w:tcBorders>
            <w:gridSpan w:val="6"/>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2.</w:t>
              </w:r>
            </w:hyperlink>
          </w:p>
        </w:tc>
        <w:tc>
          <w:tcPr>
            <w:tcW w:w="8380" w:type="dxa"/>
            <w:vAlign w:val="bottom"/>
            <w:gridSpan w:val="15"/>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w:t>
              </w:r>
            </w:hyperlink>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1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w:t>
              </w:r>
            </w:hyperlink>
          </w:p>
        </w:tc>
        <w:tc>
          <w:tcPr>
            <w:tcW w:w="8380" w:type="dxa"/>
            <w:vAlign w:val="bottom"/>
            <w:gridSpan w:val="15"/>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1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Part II</w:t>
              </w:r>
            </w:hyperlink>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1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w:t>
              </w:r>
            </w:hyperlink>
          </w:p>
        </w:tc>
        <w:tc>
          <w:tcPr>
            <w:tcW w:w="8380" w:type="dxa"/>
            <w:vAlign w:val="bottom"/>
            <w:gridSpan w:val="15"/>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1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6.</w:t>
              </w:r>
            </w:hyperlink>
          </w:p>
        </w:tc>
        <w:tc>
          <w:tcPr>
            <w:tcW w:w="83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1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60" w:type="dxa"/>
            <w:vAlign w:val="bottom"/>
            <w:tcBorders>
              <w:top w:val="single" w:sz="8" w:color="CCEEFF"/>
            </w:tcBorders>
            <w:gridSpan w:val="9"/>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40" w:type="dxa"/>
            <w:vAlign w:val="bottom"/>
            <w:gridSpan w:val="9"/>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doubtful accounts and sales discounts of $79,395,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$64,016 and $95,686,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243,108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263,881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569,996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312,191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244,904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82,387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60,423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95,275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net of note discount and unamortized issuance costs of $50,123, $0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$54,365,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568,834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461,756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1,000 shares authorized; No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 $.01 par value; 120,000 shares authorized; 49,051, 46,407 and 49,016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issued,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360,947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561,970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held in treasury, at cost – 343, 650 and 376 shares, respectively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900,105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2,042,051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1,259,520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1,851,944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20"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ind w:left="53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gridSpan w:val="5"/>
          </w:tcPr>
          <w:p>
            <w:pPr>
              <w:jc w:val="center"/>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538,006</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335,115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195,849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10,736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2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Basic:</w:t>
            </w: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48,689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45,667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Diluted:</w:t>
            </w: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48,689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45,667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2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(8,568)</w:t>
            </w: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20"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ind w:left="53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gridSpan w:val="5"/>
          </w:tcPr>
          <w:p>
            <w:pPr>
              <w:jc w:val="center"/>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1,067,048</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662,301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393,260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20,574</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profit (loss)</w:t>
            </w:r>
          </w:p>
        </w:tc>
        <w:tc>
          <w:tcPr>
            <w:tcW w:w="2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in unconsolidated affiliates</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Basic:</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40" w:type="dxa"/>
            <w:vAlign w:val="bottom"/>
            <w:tcBorders>
              <w:bottom w:val="single" w:sz="8" w:color="CCEEFF"/>
            </w:tcBorders>
            <w:gridSpan w:val="3"/>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45,601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Diluted:</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40" w:type="dxa"/>
            <w:vAlign w:val="bottom"/>
            <w:tcBorders>
              <w:bottom w:val="single" w:sz="8" w:color="CCEEFF"/>
            </w:tcBorders>
            <w:gridSpan w:val="3"/>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46,967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(18,959)</w:t>
            </w: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20"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(loss)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Equity loss (income) in unconsolidated affiliate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Deferred financing charges and debt discount amortization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Income taxes, net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Other assets, net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borrowing – revolving credit facility,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Taxes paid for 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exercise of equity awards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center"/>
              <w:ind w:left="45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84"/>
        </w:trPr>
        <w:tc>
          <w:tcPr>
            <w:tcW w:w="300" w:type="dxa"/>
            <w:vAlign w:val="bottom"/>
          </w:tcPr>
          <w:p>
            <w:pPr>
              <w:spacing w:after="0"/>
              <w:rPr>
                <w:sz w:val="15"/>
                <w:szCs w:val="15"/>
                <w:color w:val="auto"/>
              </w:rPr>
            </w:pPr>
          </w:p>
        </w:tc>
        <w:tc>
          <w:tcPr>
            <w:tcW w:w="1600" w:type="dxa"/>
            <w:vAlign w:val="bottom"/>
            <w:gridSpan w:val="4"/>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6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6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10,262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(21,508)</w:t>
            </w: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(171,176)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(84,537)</w:t>
            </w: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16"/>
        </w:trPr>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30"/>
        </w:trPr>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82,174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60" w:type="dxa"/>
            <w:vAlign w:val="bottom"/>
          </w:tcPr>
          <w:p>
            <w:pPr>
              <w:spacing w:after="0"/>
              <w:rPr>
                <w:sz w:val="20"/>
                <w:szCs w:val="20"/>
                <w:color w:val="auto"/>
              </w:rPr>
            </w:pP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(114,360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23"/>
        </w:trPr>
        <w:tc>
          <w:tcPr>
            <w:tcW w:w="3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(35,432)</w:t>
            </w:r>
          </w:p>
        </w:tc>
      </w:tr>
      <w:tr>
        <w:trPr>
          <w:trHeight w:val="248"/>
        </w:trPr>
        <w:tc>
          <w:tcPr>
            <w:tcW w:w="3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(12,617)</w:t>
            </w: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0" w:lineRule="exact"/>
        <w:rPr>
          <w:sz w:val="20"/>
          <w:szCs w:val="20"/>
          <w:color w:val="auto"/>
        </w:rPr>
      </w:pPr>
    </w:p>
    <w:p>
      <w:pPr>
        <w:spacing w:after="0" w:line="214" w:lineRule="exact"/>
        <w:rPr>
          <w:sz w:val="20"/>
          <w:szCs w:val="20"/>
          <w:color w:val="auto"/>
        </w:rPr>
      </w:pPr>
    </w:p>
    <w:p>
      <w:pPr>
        <w:ind w:left="680"/>
        <w:spacing w:after="0"/>
        <w:tabs>
          <w:tab w:leader="none" w:pos="2540" w:val="left"/>
        </w:tabs>
        <w:rPr>
          <w:sz w:val="20"/>
          <w:szCs w:val="20"/>
          <w:color w:val="auto"/>
        </w:rPr>
      </w:pPr>
      <w:r>
        <w:rPr>
          <w:rFonts w:ascii="Times New Roman" w:cs="Times New Roman" w:eastAsia="Times New Roman" w:hAnsi="Times New Roman"/>
          <w:sz w:val="18"/>
          <w:szCs w:val="18"/>
          <w:color w:val="auto"/>
        </w:rPr>
        <w:t>102,834</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280" w:hanging="1156"/>
        <w:spacing w:after="0"/>
        <w:tabs>
          <w:tab w:leader="none" w:pos="2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(2,011)</w:t>
      </w:r>
    </w:p>
    <w:p>
      <w:pPr>
        <w:spacing w:after="0" w:line="20"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422256</w:t>
      </w:r>
    </w:p>
    <w:p>
      <w:pPr>
        <w:spacing w:after="0" w:line="23" w:lineRule="exact"/>
        <w:rPr>
          <w:sz w:val="20"/>
          <w:szCs w:val="20"/>
          <w:color w:val="auto"/>
        </w:rPr>
      </w:pPr>
    </w:p>
    <w:p>
      <w:pPr>
        <w:jc w:val="both"/>
        <w:ind w:left="680"/>
        <w:spacing w:after="0"/>
        <w:tabs>
          <w:tab w:leader="none" w:pos="2240" w:val="left"/>
        </w:tabs>
        <w:rPr>
          <w:sz w:val="20"/>
          <w:szCs w:val="20"/>
          <w:color w:val="auto"/>
        </w:rPr>
      </w:pPr>
      <w:r>
        <w:rPr>
          <w:rFonts w:ascii="Times New Roman" w:cs="Times New Roman" w:eastAsia="Times New Roman" w:hAnsi="Times New Roman"/>
          <w:sz w:val="18"/>
          <w:szCs w:val="18"/>
          <w:color w:val="auto"/>
        </w:rPr>
        <w:t>103,249</w:t>
      </w:r>
      <w:r>
        <w:rPr>
          <w:sz w:val="20"/>
          <w:szCs w:val="20"/>
          <w:color w:val="auto"/>
        </w:rPr>
        <w:tab/>
      </w:r>
      <w:r>
        <w:rPr>
          <w:rFonts w:ascii="Times New Roman" w:cs="Times New Roman" w:eastAsia="Times New Roman" w:hAnsi="Times New Roman"/>
          <w:sz w:val="18"/>
          <w:szCs w:val="18"/>
          <w:color w:val="auto"/>
        </w:rPr>
        <w:t>(1,755)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27" w:lineRule="exact"/>
        <w:rPr>
          <w:sz w:val="20"/>
          <w:szCs w:val="20"/>
          <w:color w:val="auto"/>
        </w:rPr>
      </w:pPr>
    </w:p>
    <w:p>
      <w:pPr>
        <w:ind w:left="2320" w:hanging="1317"/>
        <w:spacing w:after="0"/>
        <w:tabs>
          <w:tab w:leader="none" w:pos="2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1,186</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(21,175)(87,637)</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79,957132,587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-276860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 w:lineRule="exact"/>
        <w:rPr>
          <w:sz w:val="20"/>
          <w:szCs w:val="20"/>
          <w:color w:val="auto"/>
        </w:rPr>
      </w:pPr>
    </w:p>
    <w:p>
      <w:pPr>
        <w:spacing w:after="0"/>
        <w:tabs>
          <w:tab w:leader="none" w:pos="760" w:val="left"/>
          <w:tab w:leader="none" w:pos="146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58,782</w:t>
        <w:tab/>
        <w:t>$</w:t>
      </w:r>
      <w:r>
        <w:rPr>
          <w:sz w:val="20"/>
          <w:szCs w:val="20"/>
          <w:color w:val="auto"/>
        </w:rPr>
        <w:tab/>
      </w:r>
      <w:r>
        <w:rPr>
          <w:rFonts w:ascii="Times New Roman" w:cs="Times New Roman" w:eastAsia="Times New Roman" w:hAnsi="Times New Roman"/>
          <w:sz w:val="18"/>
          <w:szCs w:val="18"/>
          <w:color w:val="auto"/>
        </w:rPr>
        <w:t>44,950</w:t>
      </w:r>
    </w:p>
    <w:p>
      <w:pPr>
        <w:spacing w:after="0" w:line="27" w:lineRule="exact"/>
        <w:rPr>
          <w:sz w:val="20"/>
          <w:szCs w:val="20"/>
          <w:color w:val="auto"/>
        </w:rPr>
      </w:pPr>
    </w:p>
    <w:p>
      <w:pPr>
        <w:sectPr>
          <w:pgSz w:w="11900" w:h="16838" w:orient="portrait"/>
          <w:cols w:equalWidth="0" w:num="2">
            <w:col w:w="7860" w:space="720"/>
            <w:col w:w="284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160" w:type="dxa"/>
            <w:vAlign w:val="bottom"/>
            <w:tcBorders>
              <w:top w:val="single" w:sz="8" w:color="CCEEFF"/>
            </w:tcBorders>
            <w:shd w:val="clear" w:color="auto" w:fill="CCEEFF"/>
          </w:tcPr>
          <w:p>
            <w:pPr>
              <w:spacing w:after="0"/>
              <w:rPr>
                <w:sz w:val="20"/>
                <w:szCs w:val="20"/>
                <w:color w:val="auto"/>
              </w:rPr>
            </w:pPr>
          </w:p>
        </w:tc>
        <w:tc>
          <w:tcPr>
            <w:tcW w:w="24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2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net</w:t>
            </w:r>
          </w:p>
        </w:tc>
        <w:tc>
          <w:tcPr>
            <w:tcW w:w="2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w:t>
            </w:r>
          </w:p>
        </w:tc>
      </w:tr>
      <w:tr>
        <w:trPr>
          <w:trHeight w:val="216"/>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payments, net</w:t>
            </w:r>
          </w:p>
        </w:tc>
        <w:tc>
          <w:tcPr>
            <w:tcW w:w="2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3,875</w:t>
            </w:r>
          </w:p>
        </w:tc>
      </w:tr>
    </w:tbl>
    <w:p>
      <w:pPr>
        <w:spacing w:after="0" w:line="1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20" w:right="239" w:bottom="1440" w:gutter="0" w:footer="0" w:header="0"/>
          <w:type w:val="continuous"/>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1 – 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manufactures and markets an extensive range of apparel, including outerwear, dresses, sportswear, swimwear, women’s suits and women’s performance wear, as well as women’s handbags, footwear, small leather goods, cold weather accessories and luggage. The Company also operates retail stores.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consolidates the accounts of all its wholly-owned and majority-owned subsidiaries. KL North America BV (“KLNA”) is a Dutch limited liability company that is a joint venture that is 49% owned by the Company. Kingdom Holdings 1 B.V. (“KH1”) is a Dutch limited liability company that is 19% owned by the Company. These investments are accounted for using the equity method of accounting. All material intercompany balances and transactions have been eliminated. Vilebrequin International SA (“Vilebrequin”), a Swiss corporation that is wholly-owned by the Company, KH1 and KLNA report results on a calendar year basis rather than on the January 31 fiscal year basis used by the Company. The Company’s retail stores report results on a 52/53-week fiscal year.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for the three and six-month periods ended July 31, 2017 are not necessarily indicative of the results expected for the entire fiscal year, given the recent acquisition and integration of Donna Karan International and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2017 filed with the Securities and Exchange Commission (the “SEC”).</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international subsidiaries use different functional currencies, which are the local selling currency. In accordance with the authoritative guidance, operating assets and liabilities of the Company’s foreign operations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within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 Acquisition of Donna Karan International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 2016, G-III acquired all of the outstanding capital stock of Donna Karan International Inc. (“DKI”) from LVMH Moet Hennessy Louis Vuitton Inc. (“LVMH”) for a total purchase price of approximately $669.8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DKI owns Donna Karan and DKNY, two of the world’s most iconic and recognizable power brands. DKI sells its products through department stores, specialty and online retailers worldwide, as well as through company-operated retail stores, e-commerce sites and distribution agreements. The acquisition of DKI strengthens and diversifies the Company’s brand portfolio and offers additional opportunities to expand G-III’s business through the development of the DKNY and Donna Karan brands and product categories.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DKI have been included in the Company’s consolidated financial statements since the date of acquisition.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purchase price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recognized goodwill of approximately $220.6 million in connection with the acquisition of DKI.</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805 (Business Combinations), a company may adjust preliminary amounts recognized at the acquisition date to their subsequently determined final fair values during the measurement period. The measurement period is the period after the acquisition date during which the acquirer may adjust the balance sheet amounts recognized for a business combination (generally up to one year from the date of acquisition).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20" w:right="239" w:bottom="1440" w:gutter="0" w:footer="0" w:header="0"/>
        </w:sectPr>
      </w:pPr>
    </w:p>
    <w:bookmarkStart w:id="7" w:name="page8"/>
    <w:bookmarkEnd w:id="7"/>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date of acquisition, as adjuted: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5515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 expenses &amp; other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intangibles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5515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9551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5515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fair value of acquisition consideration (net of $40 million imputed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4"/>
          <w:szCs w:val="14"/>
          <w:b w:val="1"/>
          <w:bCs w:val="1"/>
          <w:color w:val="auto"/>
        </w:rPr>
        <w:t>Preliminary</w:t>
      </w:r>
    </w:p>
    <w:p>
      <w:pPr>
        <w:ind w:left="123"/>
        <w:spacing w:after="0" w:line="229" w:lineRule="auto"/>
        <w:rPr>
          <w:sz w:val="20"/>
          <w:szCs w:val="20"/>
          <w:color w:val="auto"/>
        </w:rPr>
      </w:pPr>
      <w:r>
        <w:rPr>
          <w:rFonts w:ascii="Times New Roman" w:cs="Times New Roman" w:eastAsia="Times New Roman" w:hAnsi="Times New Roman"/>
          <w:sz w:val="14"/>
          <w:szCs w:val="14"/>
          <w:b w:val="1"/>
          <w:bCs w:val="1"/>
          <w:color w:val="auto"/>
        </w:rPr>
        <w:t>Purchase Price</w:t>
      </w:r>
    </w:p>
    <w:p>
      <w:pPr>
        <w:ind w:left="263"/>
        <w:spacing w:after="0" w:line="222" w:lineRule="auto"/>
        <w:rPr>
          <w:sz w:val="20"/>
          <w:szCs w:val="20"/>
          <w:color w:val="auto"/>
        </w:rPr>
      </w:pPr>
      <w:r>
        <w:rPr>
          <w:rFonts w:ascii="Times New Roman" w:cs="Times New Roman" w:eastAsia="Times New Roman" w:hAnsi="Times New Roman"/>
          <w:sz w:val="14"/>
          <w:szCs w:val="14"/>
          <w:b w:val="1"/>
          <w:bCs w:val="1"/>
          <w:color w:val="auto"/>
        </w:rPr>
        <w:t>Allocation</w:t>
      </w:r>
    </w:p>
    <w:p>
      <w:pPr>
        <w:ind w:left="123"/>
        <w:spacing w:after="0" w:line="234" w:lineRule="auto"/>
        <w:rPr>
          <w:sz w:val="20"/>
          <w:szCs w:val="20"/>
          <w:color w:val="auto"/>
        </w:rPr>
      </w:pPr>
      <w:r>
        <w:rPr>
          <w:rFonts w:ascii="Times New Roman" w:cs="Times New Roman" w:eastAsia="Times New Roman" w:hAnsi="Times New Roman"/>
          <w:sz w:val="14"/>
          <w:szCs w:val="14"/>
          <w:b w:val="1"/>
          <w:bCs w:val="1"/>
          <w:color w:val="auto"/>
        </w:rPr>
        <w:t>at July 31, 2017</w:t>
      </w:r>
    </w:p>
    <w:p>
      <w:pPr>
        <w:ind w:left="703" w:hanging="703"/>
        <w:spacing w:after="0"/>
        <w:tabs>
          <w:tab w:leader="none" w:pos="7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44,375</w:t>
      </w:r>
    </w:p>
    <w:p>
      <w:pPr>
        <w:spacing w:after="0" w:line="7" w:lineRule="exact"/>
        <w:rPr>
          <w:rFonts w:ascii="Times New Roman" w:cs="Times New Roman" w:eastAsia="Times New Roman" w:hAnsi="Times New Roman"/>
          <w:sz w:val="18"/>
          <w:szCs w:val="18"/>
          <w:color w:val="auto"/>
        </w:rPr>
      </w:pPr>
    </w:p>
    <w:p>
      <w:pPr>
        <w:ind w:left="7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14,776*</w:t>
      </w:r>
    </w:p>
    <w:p>
      <w:pPr>
        <w:spacing w:after="0" w:line="9" w:lineRule="exact"/>
        <w:rPr>
          <w:rFonts w:ascii="Times New Roman" w:cs="Times New Roman" w:eastAsia="Times New Roman" w:hAnsi="Times New Roman"/>
          <w:sz w:val="18"/>
          <w:szCs w:val="18"/>
          <w:color w:val="auto"/>
        </w:rPr>
      </w:pPr>
    </w:p>
    <w:p>
      <w:pPr>
        <w:ind w:left="7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13,716*</w:t>
      </w:r>
    </w:p>
    <w:p>
      <w:pPr>
        <w:spacing w:after="0" w:line="9" w:lineRule="exact"/>
        <w:rPr>
          <w:rFonts w:ascii="Times New Roman" w:cs="Times New Roman" w:eastAsia="Times New Roman" w:hAnsi="Times New Roman"/>
          <w:sz w:val="18"/>
          <w:szCs w:val="18"/>
          <w:color w:val="auto"/>
        </w:rPr>
      </w:pPr>
    </w:p>
    <w:p>
      <w:pPr>
        <w:ind w:left="7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22,235*</w:t>
      </w:r>
    </w:p>
    <w:p>
      <w:pPr>
        <w:spacing w:after="0" w:line="9" w:lineRule="exact"/>
        <w:rPr>
          <w:rFonts w:ascii="Times New Roman" w:cs="Times New Roman" w:eastAsia="Times New Roman" w:hAnsi="Times New Roman"/>
          <w:sz w:val="18"/>
          <w:szCs w:val="18"/>
          <w:color w:val="auto"/>
        </w:rPr>
      </w:pPr>
    </w:p>
    <w:p>
      <w:pPr>
        <w:ind w:left="7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15,414*</w:t>
      </w:r>
    </w:p>
    <w:p>
      <w:pPr>
        <w:spacing w:after="0" w:line="9"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18"/>
          <w:szCs w:val="18"/>
          <w:color w:val="auto"/>
        </w:rPr>
        <w:t>214,156*</w:t>
      </w:r>
    </w:p>
    <w:p>
      <w:pPr>
        <w:spacing w:after="0" w:line="9"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18"/>
          <w:szCs w:val="18"/>
          <w:color w:val="auto"/>
        </w:rPr>
        <w:t>370,000</w:t>
      </w:r>
    </w:p>
    <w:p>
      <w:pPr>
        <w:spacing w:after="0" w:line="9" w:lineRule="exact"/>
        <w:rPr>
          <w:sz w:val="20"/>
          <w:szCs w:val="20"/>
          <w:color w:val="auto"/>
        </w:rPr>
      </w:pPr>
    </w:p>
    <w:p>
      <w:pPr>
        <w:ind w:left="703"/>
        <w:spacing w:after="0"/>
        <w:rPr>
          <w:sz w:val="20"/>
          <w:szCs w:val="20"/>
          <w:color w:val="auto"/>
        </w:rPr>
      </w:pPr>
      <w:r>
        <w:rPr>
          <w:rFonts w:ascii="Times New Roman" w:cs="Times New Roman" w:eastAsia="Times New Roman" w:hAnsi="Times New Roman"/>
          <w:sz w:val="18"/>
          <w:szCs w:val="18"/>
          <w:color w:val="auto"/>
        </w:rPr>
        <w:t>40,000</w:t>
      </w:r>
    </w:p>
    <w:p>
      <w:pPr>
        <w:spacing w:after="0" w:line="9" w:lineRule="exact"/>
        <w:rPr>
          <w:sz w:val="20"/>
          <w:szCs w:val="20"/>
          <w:color w:val="auto"/>
        </w:rPr>
      </w:pPr>
    </w:p>
    <w:p>
      <w:pPr>
        <w:ind w:left="803"/>
        <w:spacing w:after="0"/>
        <w:rPr>
          <w:sz w:val="20"/>
          <w:szCs w:val="20"/>
          <w:color w:val="auto"/>
        </w:rPr>
      </w:pPr>
      <w:r>
        <w:rPr>
          <w:rFonts w:ascii="Times New Roman" w:cs="Times New Roman" w:eastAsia="Times New Roman" w:hAnsi="Times New Roman"/>
          <w:sz w:val="18"/>
          <w:szCs w:val="18"/>
          <w:color w:val="auto"/>
        </w:rPr>
        <w:t>2,703</w:t>
      </w:r>
    </w:p>
    <w:p>
      <w:pPr>
        <w:spacing w:after="0" w:line="23"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18"/>
          <w:szCs w:val="18"/>
          <w:color w:val="auto"/>
        </w:rPr>
        <w:t>737,375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63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8"/>
          <w:szCs w:val="18"/>
          <w:color w:val="auto"/>
        </w:rPr>
        <w:t>(21,436)</w:t>
      </w:r>
    </w:p>
    <w:p>
      <w:pPr>
        <w:spacing w:after="0" w:line="23" w:lineRule="exact"/>
        <w:rPr>
          <w:sz w:val="20"/>
          <w:szCs w:val="20"/>
          <w:color w:val="auto"/>
        </w:rPr>
      </w:pPr>
    </w:p>
    <w:p>
      <w:pPr>
        <w:jc w:val="center"/>
        <w:ind w:right="-162"/>
        <w:spacing w:after="0"/>
        <w:rPr>
          <w:sz w:val="20"/>
          <w:szCs w:val="20"/>
          <w:color w:val="auto"/>
        </w:rPr>
      </w:pPr>
      <w:r>
        <w:rPr>
          <w:rFonts w:ascii="Times New Roman" w:cs="Times New Roman" w:eastAsia="Times New Roman" w:hAnsi="Times New Roman"/>
          <w:sz w:val="17"/>
          <w:szCs w:val="17"/>
          <w:color w:val="auto"/>
        </w:rPr>
        <w:t>(39,087)*</w:t>
      </w:r>
    </w:p>
    <w:p>
      <w:pPr>
        <w:spacing w:after="0" w:line="21" w:lineRule="exact"/>
        <w:rPr>
          <w:sz w:val="20"/>
          <w:szCs w:val="20"/>
          <w:color w:val="auto"/>
        </w:rPr>
      </w:pPr>
    </w:p>
    <w:p>
      <w:pPr>
        <w:jc w:val="center"/>
        <w:ind w:right="-162"/>
        <w:spacing w:after="0"/>
        <w:rPr>
          <w:sz w:val="20"/>
          <w:szCs w:val="20"/>
          <w:color w:val="auto"/>
        </w:rPr>
      </w:pPr>
      <w:r>
        <w:rPr>
          <w:rFonts w:ascii="Times New Roman" w:cs="Times New Roman" w:eastAsia="Times New Roman" w:hAnsi="Times New Roman"/>
          <w:sz w:val="18"/>
          <w:szCs w:val="18"/>
          <w:color w:val="auto"/>
        </w:rPr>
        <w:t>(3,443)</w:t>
      </w:r>
    </w:p>
    <w:p>
      <w:pPr>
        <w:spacing w:after="0" w:line="9"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color w:val="auto"/>
        </w:rPr>
        <w:t>(3,631)</w:t>
      </w:r>
    </w:p>
    <w:p>
      <w:pPr>
        <w:spacing w:after="0" w:line="23"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8"/>
          <w:szCs w:val="18"/>
          <w:color w:val="auto"/>
        </w:rPr>
        <w:t>(67,597)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63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 w:lineRule="exact"/>
        <w:rPr>
          <w:sz w:val="20"/>
          <w:szCs w:val="20"/>
          <w:color w:val="auto"/>
        </w:rPr>
      </w:pPr>
    </w:p>
    <w:p>
      <w:pPr>
        <w:ind w:left="623" w:hanging="623"/>
        <w:spacing w:after="0"/>
        <w:tabs>
          <w:tab w:leader="none" w:pos="6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669,778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63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63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237"/>
            <w:col w:w="1823"/>
          </w:cols>
          <w:pgMar w:left="240" w:top="220" w:right="239" w:bottom="1440" w:gutter="0" w:footer="0" w:header="0"/>
          <w:type w:val="continuous"/>
        </w:sectPr>
      </w:pPr>
    </w:p>
    <w:p>
      <w:pPr>
        <w:spacing w:after="0" w:line="201" w:lineRule="exact"/>
        <w:rPr>
          <w:sz w:val="20"/>
          <w:szCs w:val="20"/>
          <w:color w:val="auto"/>
        </w:rPr>
      </w:pPr>
    </w:p>
    <w:p>
      <w:pPr>
        <w:ind w:left="360" w:hanging="352"/>
        <w:spacing w:after="0" w:line="282"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and six months ended July 31, 2017, the Company reduced goodwill by $3.8 million and $6.5 million respectively due to certain adjustments related to an unrecorded indemnification obligations from LVMH to us, asset reserves and fixed assets.</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to the purchase price; however, the estimates of fair value of assets acquired and liabilities assumed are preliminary and subject to change based on finalizing the election under Internal Revenue Code Section 338(h)(10) which may have an impact on purchase price.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was assigned to the Company’s wholesale operations reporting unit as the wholesale operations reporting unit is expected to benefit from the synergies of the combination and from the future growth of DKI. Subsequent to the acquisition, DKI’s wholesale operations were integrated into G-III’s credit and collection operating system and both entities are expected to share several processes such as information technology, finance, logistics, human resources, sourcing and overseas quality control. The Company and the seller have made an election under Internal Revenue Code Section 338(h)(10). Accordingly, the book and tax basis of the acquired domestic assets and liabilities are the same as of the purchase date and the goodwill is deductible for tax purposes over a 15-year period.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these identifiable intangible assets were determined using the discounted cash flow method and the Company classifies these intangibles as Level 3 fair value measurements. The Company recorded other intangible assets of $410.0 million, which included customer relationships of $40.0 million (17-year life), as well as tradenames of $370.0 million, which have an indefinite life.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 Investment in Unconsolidated Affiliates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2016, the Company acquired a 19% minority interest in KH1, the parent company of the group that holds the worldwide rights to the Karl Lagerfeld brand. The Company paid 32.5€ million (approximately $35.4 million at the date of the transaction) for this interest. This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20" w:right="239" w:bottom="1440" w:gutter="0" w:footer="0" w:header="0"/>
          <w:type w:val="continuous"/>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investment is intended to expand the partnership between the Company and the Karl Lagerfeld brand and extend their business development opportunities on a global scale. The investment in KH1, which is being accounted for under the equity method of accounting, is reflected in Investment in Unconsolidated Affiliates on the Condensed Consolidated Balance Sheets at July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4 –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adoption of Accounting Standard Update 2015-11 (Inventory - Topic 330), wholesale inventories are stated at the lower of cost (determined by the first-in, first 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 Inventories consist of:</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July 31, 2017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2017</w:t>
            </w:r>
          </w:p>
        </w:tc>
      </w:tr>
      <w:tr>
        <w:trPr>
          <w:trHeight w:val="142"/>
        </w:trPr>
        <w:tc>
          <w:tcPr>
            <w:tcW w:w="4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654,516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567,864</w:t>
            </w:r>
          </w:p>
        </w:tc>
        <w:tc>
          <w:tcPr>
            <w:tcW w:w="5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483,085</w:t>
            </w:r>
          </w:p>
        </w:tc>
        <w:tc>
          <w:tcPr>
            <w:tcW w:w="120" w:type="dxa"/>
            <w:vAlign w:val="bottom"/>
            <w:shd w:val="clear" w:color="auto" w:fill="CCEEFF"/>
          </w:tcPr>
          <w:p>
            <w:pPr>
              <w:spacing w:after="0"/>
              <w:rPr>
                <w:sz w:val="18"/>
                <w:szCs w:val="18"/>
                <w:color w:val="auto"/>
              </w:rPr>
            </w:pPr>
          </w:p>
        </w:tc>
      </w:tr>
      <w:tr>
        <w:trPr>
          <w:trHeight w:val="230"/>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Raw materials and work-in-process</w:t>
            </w:r>
          </w:p>
        </w:tc>
        <w:tc>
          <w:tcPr>
            <w:tcW w:w="2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r>
      <w:tr>
        <w:trPr>
          <w:trHeight w:val="223"/>
        </w:trPr>
        <w:tc>
          <w:tcPr>
            <w:tcW w:w="464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655,272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483,269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5 – Net Income (Loss) per Common Share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awards and stock options outstanding during the period. In addition, all share based payments outstanding that vest based on the achievement of performance and/or market price conditions, and for which the respective performance and/or market price conditions have not been achieved, have been excluded from the diluted per share calculation. Approximately 1,246,000 shares of common stock have been excluded from the diluted net income per share calculation for the six months ended July 31, 2017. For the six months ended July 31, 2017, the Company issued 34,912 shares of common stock and utilized 32,830 shares of treasury stock in connection with the exercise or vesting of equity awards. For the six months ended July 31, 2016, the Company issued 195,156 shares of common stock and utilized 16,914 shares of treasury stock in connection with the exercise or vesting of equity awards.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(loss) per share: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7"/>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G-III</w:t>
            </w:r>
          </w:p>
        </w:tc>
        <w:tc>
          <w:tcPr>
            <w:tcW w:w="13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(8,568)</w:t>
            </w:r>
          </w:p>
        </w:tc>
        <w:tc>
          <w:tcPr>
            <w:tcW w:w="3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(18,959)</w:t>
            </w:r>
          </w:p>
        </w:tc>
        <w:tc>
          <w:tcPr>
            <w:tcW w:w="5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w:t>
            </w:r>
          </w:p>
        </w:tc>
        <w:tc>
          <w:tcPr>
            <w:tcW w:w="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80" w:type="dxa"/>
            <w:vAlign w:val="bottom"/>
          </w:tcPr>
          <w:p>
            <w:pPr>
              <w:spacing w:after="0"/>
              <w:rPr>
                <w:sz w:val="22"/>
                <w:szCs w:val="22"/>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Diluted restricted stock awards and stock options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common shares</w:t>
            </w: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9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6 –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July 31, 2017</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January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revolving credit facility</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issued to LVMH</w:t>
            </w:r>
          </w:p>
        </w:tc>
        <w:tc>
          <w:tcPr>
            <w:tcW w:w="2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2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618,955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Less: Net debt issuance costs and debt discount </w:t>
            </w:r>
            <w:r>
              <w:rPr>
                <w:rFonts w:ascii="Times New Roman" w:cs="Times New Roman" w:eastAsia="Times New Roman" w:hAnsi="Times New Roman"/>
                <w:sz w:val="28"/>
                <w:szCs w:val="28"/>
                <w:color w:val="auto"/>
                <w:vertAlign w:val="superscript"/>
              </w:rPr>
              <w:t>(2)</w:t>
            </w: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(50,121)</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0"/>
                <w:szCs w:val="30"/>
                <w:color w:val="auto"/>
                <w:vertAlign w:val="superscript"/>
              </w:rPr>
              <w:t>(1)</w:t>
            </w: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860" w:type="dxa"/>
            <w:vAlign w:val="bottom"/>
            <w:vMerge w:val="continue"/>
          </w:tcPr>
          <w:p>
            <w:pPr>
              <w:spacing w:after="0"/>
              <w:rPr>
                <w:sz w:val="22"/>
                <w:szCs w:val="22"/>
                <w:color w:val="auto"/>
              </w:rPr>
            </w:pPr>
          </w:p>
        </w:tc>
        <w:tc>
          <w:tcPr>
            <w:tcW w:w="2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568,834</w:t>
            </w:r>
          </w:p>
        </w:tc>
        <w:tc>
          <w:tcPr>
            <w:tcW w:w="220" w:type="dxa"/>
            <w:vAlign w:val="bottom"/>
          </w:tcPr>
          <w:p>
            <w:pPr>
              <w:spacing w:after="0"/>
              <w:rPr>
                <w:sz w:val="22"/>
                <w:szCs w:val="22"/>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hanging="32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borrowings outstanding as of July 31, 2016 under the Company’s prior revolving credit agreement.</w:t>
      </w:r>
    </w:p>
    <w:p>
      <w:pPr>
        <w:spacing w:after="0" w:line="27" w:lineRule="exact"/>
        <w:rPr>
          <w:rFonts w:ascii="Times New Roman" w:cs="Times New Roman" w:eastAsia="Times New Roman" w:hAnsi="Times New Roman"/>
          <w:sz w:val="18"/>
          <w:szCs w:val="18"/>
          <w:color w:val="auto"/>
        </w:rPr>
      </w:pPr>
    </w:p>
    <w:p>
      <w:pPr>
        <w:jc w:val="both"/>
        <w:ind w:left="1140" w:hanging="322"/>
        <w:spacing w:after="0" w:line="25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the debt issuance costs, net of amortization, totaling $10.8 million and $11.9 million as of July 31, 2017 and January 31, 2017, respectively, related to the new revolving credit facility. The debt issuance costs have been deferred and are classified in prepaid expense in the accompanying Balance Sheet as permitted under ASU 2015-15.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DKI, the Company borrowed $350.0 million under a senior secured term loan facility (the “Term Loan”). The Term Loan will mature in December 2022. The Term Loan was subject to amortization payments of 0.625% of the original aggregate principal amount of the Term Loan per quarter, with the balance due at maturity. On December 1, 2016, the Company prepaid $50.0 million in principal amount of the Term Loan. This prepayment relieved G-III of its obligation to make quarterly amortization payments for the remainder of the term.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outstanding principal amount of the Term Loan accrues at a rate equal to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 As of July 31, 2017, interest under the Term Loan was being paid at an average rate of 6.3% per annum.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secured by certain assets of the Company and certain of its subsidiaries. 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July 31, 2017, the Company was in compliance with these covenants.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closing of the acquisition of DKI, the Company’s prior credit agreement (the “prior revolving credit facility”) was refinanced and replaced by a $650 million amended and restated credit agreement (the “new revolving credit facility”). Amounts available under the new revolving credit facility are subject to borrowing base formulas and over advances as specified in the new revolving credit facility agreement. Borrowings bear interest, at the Company’s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new revolving credit facility agreement. As of July 31, 2017, interest under the new revolving credit agreement was being paid at the average rate of 2.41% per annum. The new revolving credit facility has a five-year term ending December 1, 2021. In addition to paying interest on any outstanding borrowings under the new revolving credit facility, the Company is required to pay a commitment fee to the lenders under the credit agreement with respect to the unutilized commitments. The commitment fee accrues at a rate equal to 0.25% per annum on the average daily amount of the unutilized available commitment.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2017, the Company had $194.0 million of borrowings outstanding under the new revolving credit facility all of which are classified as long-term liabilities. As of July 31, 2017, there were outstanding trade and standby letters of credit amounting to $13.3 million and $3.4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20"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ASC 820 - Fair Value Measurements requires the note to be recorded at fair value. As a result, the Company recorded debt discount in the amount of $40.0 million. This discount is being amortized as interest expense using the effective interest method over the term of the LVMH Note.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7 – Segments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brands licensed by the Company from third parties, as well as sales of products under the Company’s own brands and private label brands. Wholesale sales and revenues from license agreements related to the Donna Karan and DKNY business are included in the wholesale operations segment. The retail operations segment consists primarily of the Wilsons Leather, G.H. Bass and DKNY stores, as well as a limited number of Calvin Klein Performance and Karl Lagerfeld Paris stores.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in thousands, is presented for the three and six-month periods indicated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July 31, 2017</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Elimination </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335,115</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195,849</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July 31, 2016</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Elimination </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286,624</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153,168</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July 31, 2017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Elimination </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662,301</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134,616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393,260</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20,574</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July 31, 2016</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Elimination </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108,882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(38,995)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578,358</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306,273</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Represents intersegment sales to the Company’s retail operations.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220" w:right="239" w:bottom="1440" w:gutter="0" w:footer="0" w:header="0"/>
          <w:type w:val="continuous"/>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are as follows: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w:t>
      </w:r>
    </w:p>
    <w:p>
      <w:pPr>
        <w:spacing w:after="0" w:line="195" w:lineRule="auto"/>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Includes assets not allocated to either reportable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8 – 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Being Evaluated for Adoption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July 31, 2017</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January 31, 2017</w:t>
            </w:r>
          </w:p>
        </w:tc>
      </w:tr>
      <w:tr>
        <w:trPr>
          <w:trHeight w:val="124"/>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16"/>
        </w:trPr>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1,670,243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874,258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1,477,259</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220,668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212,296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228,352</w:t>
            </w:r>
          </w:p>
        </w:tc>
      </w:tr>
      <w:tr>
        <w:trPr>
          <w:trHeight w:val="270"/>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172,966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146,333</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1,851,944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34" w:lineRule="exact"/>
        <w:rPr>
          <w:sz w:val="20"/>
          <w:szCs w:val="20"/>
          <w:color w:val="auto"/>
        </w:rPr>
      </w:pPr>
    </w:p>
    <w:p>
      <w:pPr>
        <w:sectPr>
          <w:pgSz w:w="11900" w:h="16838" w:orient="portrait"/>
          <w:cols w:equalWidth="0" w:num="2">
            <w:col w:w="6380" w:space="720"/>
            <w:col w:w="4320"/>
          </w:cols>
          <w:pgMar w:left="240" w:top="220" w:right="239" w:bottom="1440" w:gutter="0" w:footer="0" w:header="0"/>
          <w:type w:val="continuous"/>
        </w:sectPr>
      </w:pP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2017, the FASB issued ASU 2017-11, “Earnings Per Share (Topic 260), Distinguishing Liabilities from Equity (Topic 480),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This standard is effective for fiscal years and interim periods beginning after December 15, 2018. Early adoption is permitted. The Company is currently evaluating the impact of adopting this guidance.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2017, the FASB issued ASU 2017-09, “Compensation—Stock Compensation (Topic 718): Scope of Modification Accounting.” ASU 2017-09 provides clarification on when modification accounting should be used for changes to the terms or conditions of a share-based payment award. This ASU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this ASU are effective for reporting periods beginning after December 15, 2017, with early adoption permitted. The adoption of ASU 2017-09 is not expected to have an impact on the Company’s consolidated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purpose of ASU 2017-04 is to simplify the subsequent measurement of goodwill by removing the second step of the two-step impairment test. The amendment should be applied on a prospective basis. ASU 2017-04 is effective for fiscal years beginning after December 15, 2019, including interim periods within that year. Early adoption is permitted for interim or annual goodwill impairment tests performed on testing dates after January 1, 2017. The Company does not expect ASU 2017-04 to have an impact on its consolidated financial statements.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Early adoption is permitted. The Company does not expect ASU 2017-01 to have an impact on its consolidated financial statements.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ASU 2016-16,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does not expect ASU 2016-16 to have an impact on its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the provision, entities must apply the guidance retrospectively to all periods presented but may apply it prospectively if retrospective application would be impracticable. The Company is currently evaluating the provisions of ASU 2016-15.</w:t>
      </w:r>
    </w:p>
    <w:p>
      <w:pPr>
        <w:sectPr>
          <w:pgSz w:w="11900" w:h="16838" w:orient="portrait"/>
          <w:cols w:equalWidth="0" w:num="1">
            <w:col w:w="11420"/>
          </w:cols>
          <w:pgMar w:left="240" w:top="220"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20" w:right="239" w:bottom="1440" w:gutter="0" w:footer="0" w:header="0"/>
          <w:type w:val="continuous"/>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2016, the FASB issued ASU 2016-10, “Revenue from Contracts with Customers (Topic 606): Identifying Performance Obligations and Licensing.” The guidance clarifies two aspects of Topic 606: (i) identifying performance obligations and (ii) providing licensing implementation guidance, while retaining the related principles for those areas. Topic 606 includes implementation guidance on (a) contracts with customers to transfer goods and services in exchange for consideration and (b) determining whether an entity’s promise to grant a license provides a customer with either a right to use the entity’s intellectual property (which is satisfied at a point in time) or a right to access the entity’s intellectual property (which is satisfied over time). The amendments in this update are intended to render more detailed implementation guidance with the expectation of reducing the degree of judgment necessary to comply with Topic 606. The FASB continues to clarify this guidance and most recently issued ASU 2016-08, “Principal versus Agent Considerations (Reporting Revenue Gross versus Net),” ASU 2016-12, “Narrow-Scope Improvements and Practical Expedients,” and ASU 2016-20, “Technical Corrections and Improvements to Topic 606, Revenue from Contracts with Customers.” These new standards have the same effective date as ASU 2014-09 and will be effective for public entities for fiscal years beginning after December 15, 2017, and interim periods within those fiscal years. 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The Company has decided to adopt the pronouncement using a modified retrospective approach. The Company currently believes that the adoption of Topic 606 will primarily impact its wholesale operations segment in the timing of recognition of certain adjustments that are currently recorded in net sales along with reclassifications of certain operating expenses such as cooperative advertising, which are currently recorded in selling, general and administrative expenses but will be recorded as an offset to net sales under the new guidance. The Company believes that the retail operations segment will not be materially impacted by the new guidance, as its retail stores do not currently offer significant loyalty programs to their customers.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primary difference between the current requirement under GAAP and ASU 2016-02 is the recognition of lease assets and lease liabilities by lessees for those leases classified as operating leases.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The Company is currently assessing the potential impact of ASU 2016-02 on its consolidated financial statements. Given the Company’s significant number of leases, the Company expects this standard will result in a significant increase to its long-term assets and liabilities but does not expect it to have a material impact on the Consolidated Statements of Income. The Company expects to adopt the new standard in the first quarter of fiscal 2020.</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(Subtopic 825-10):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 (iii) changes presentation and disclosure 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Early application is permitted. The Company does not expect that the adoption of this ASU will have a significant impact on its statement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9 – Subsequent events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2017, the Company entered into a joint venture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owns 49% of the joint venture, with Amlon owning the remaining 51%. The joint venture will be funded with $25 million of equity to be used to strengthen the DKNY and Donna Karan brands and accelerate the growth of the business in the region. Of this amount, G-III is required to contribute an aggregate of $10.0 million to the joint venture by August 2018. As of January 1, 2018, this joint venture will be the exclusive seller of women’s and men’s apparel, handbags, luggage and certain accessories under the DKNY and Donna Karan brands in the territory.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20"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 References to fiscal years refer to the year ended or ending on January 31 of that year. For example, our fiscal year ending January 31, 2018 is referred to as “fiscal 2018”. Vilebrequin, KH1 and KLNA report results on a calendar year basis rather than on the January 31 fiscal year basis used by G-III. Accordingly, the results of Vilebrequin, KH1 and KLNA are and will be included in our financial statements for the quarter ended or ending closest to G-III’s fiscal quarter. For example, in this Form 10-Q for the six-month period ended July 31, 2017, the results of Vilebrequin, KH1 and KLNA are included for the six-month period ended June 30, 2017. We account for our investment in KLNA and KH1 using the equity method of accounting. The Company’s retail stores report results on a 52/53-week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Donna Karan International Inc. have been included in our financial statements since December 1, 2016, the date of acquisition.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w:t>
      </w:r>
    </w:p>
    <w:p>
      <w:pPr>
        <w:spacing w:after="0" w:line="1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licensed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uncertainties with respect to expansion of our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products at retail and customer acceptance of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customer concentration;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or privacy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in the markets in which we operate, including from e-commerce retailers;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20"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retail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legislation and/or regulation in the United States or around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import products in a timely and cost effective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maintain our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common stock if actual results are worse than financial forecasts;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acquisition of Donna Karan International Inc., including:</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combine our business with the Donna Karan business successfully or in a timely and cost-efficient manner;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indebtedness as a result of the acquisition;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we incurred as a result of the acquisition;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increase in the amount of our goodwill and other intangibles;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business disruption relating to the acquisition.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2017. We undertake no obligation to publicly update or revise any forward-looking statements, whether as a result of new information, future events or otherwise,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G-III designs, manufactures and markets an extensive range of apparel, including outerwear, dresses, sportswear, swimwear, women’s suits and women’s performance wear, as well as women’s handbags, footwear, small leather goods, cold weather accessories and luggage. We sell our products under our own proprietary brands, which include DKNY, Donna Karan, Vilebrequin, Eliza J, Jessica Howard, G.H. Bass, Weejuns, Andrew Marc and Marc New York, as well as under licensed brands and private retail labels.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products under an extensive portfolio of well-known licensed brands, including Calvin Klein, Tommy Hilfiger, Karl Lagerfeld Paris, Levi’s, Docker’s, Ivanka Trump, Kenneth Cole, Cole Haan and Guess?. In our team sports business, we have licenses with the National Football League, National Basketball Association, Major League Baseball, National Hockey League, Hands High, Touch by Alyssa Milano and over 140 U.S. colleges and universities.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based on two reportable segments: wholesale operations and retail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wholesale operations segment includes sales of products under brands licensed by us from third parties, as well as sales of products under our own brands and private label brands. Wholesale sales and revenues from license agreements related to the Donna Karan International (“DKI”) business are included in the wholesale operations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operations segment consists primarily of our Wilsons Leather, G.H. Bass and DKNY retail stores, substantially all of which are operated as outlet stores. As of July 31, 2017, we operated 170 Wilsons Leather stores, 150 G.H. Bass stores, 50 DKNY stores, 4 Calvin Klein Performance stores and 4 Karl Lagerfeld Paris stores. We also operate online stores for Wilsons Leather, G.H. Bass and DKNY.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20"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expanded our portfolio of proprietary and licensed brands through acquisitions and by entering into license agreements for new brands or for additional products under previously licensed brands. Acquisitions are part of our strategy to expand our product offerings and increase the portfolio of proprietary and licensed brands that we offer through different tiers of retail distribution.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2017, we entered into a joint venture with Amlon Capital B.V., a private company incorporated in the Netherlands, to produce and market women’s and men’s apparel and accessories pursuant to a long-term license for DKNY and Donna Karan in the People’s Republic of China, including Macau, Hong Kong and Taiwan. We own 49% of the joint venture, with Amlon owning the remaining 51%. The joint venture will be funded with $25 million of equity that will be used to strengthen the DKNY and Donna Karan brands and accelerate the growth of the business in the region. Of this amount, we are required to contribute $10.0 million by August 2018. As of January 1, 2018, this joint venture will be the exclusive seller of women’s and men’s apparel, handbags, luggage and certain accessories under the DKNY and Donna Karan brands in the territory. We expect to start generating revenue from this joint venture in the beginning of fiscal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we entered into an agreement with Macy’s under which Macy’s will serve, beginning February 2018, as the exclusive U.S. department store for sales of DKNY women’s apparel and accessories. Under the agreement, Macy’s will have the exclusive rights to sell DKNY women’s apparel, including women’s sportswear, dresses, suit separates, sport, denim, swimwear and outerwear, as well as handbags and women’s shoes in all Macy’s locations and Macys.com. The agreement also plans for increased and enhanced DKNY shop-in-shops in many Macy’s stores. G-III and Macy’s are committed to making DKNY the premier fashion and lifestyle brand.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we acquired all of the outstanding capital stock of Donna Karan International Inc. (“DKI”) from LVMH Moet Hennessy Louis Vuitton Inc. for a total purchase price of approximately $669.8 million. DKI owns Donna Karan and DKNY, two of the world’s most iconic and recognizable power brands. The acquisition of Donna Karan fits squarely into our strategy to diversify and expand our business and to increase our ownership of brands. We intend to focus on the expansion of the DKNY brand, while also re-establishing DKNY Jeans, Donna Karan and other associated brands. We believe that we can also capitalize on significant, untapped global licensing potential in a number of men’s categories, as well as in home and jewelry. We believe that our strong track record of driving organic growth, identifying and integrating acquisitions and developing talent throughout the organization makes the potential of the DKNY and Donna Karan brands especially appealing.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agreement with Macy’s with respect to DKNY referred to above, we also intend to re-launch Donna Karan as an aspirational luxury brand that will be priced above DKNY and targeted to fine department stores nationwide. We will continue to operate the freestanding global DKNY stores and DKNY.com. We also will maintain DKNY’s agreements with international license partners and distributors outside of the United States. Products outside the exclusive categories and products distributed by DKNY’s various licensees under other categories in the DKNY family will continue to be sold to department stores, including Macy’s. Sales of DKNY and Donna Karan product in the first half of fiscal 2018 were primarily of product produced by the prior owner of DKI. We are building an order book for the fall and holiday season for sales of DKNY and Donna Karan product produced by us and expect to generate increasing sales of this product in the second half of fiscal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licensed products is a key element of our strategy and we have continually expanded our offerings of licensed products for more than 20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2016, we signed a three-year extension through March 2020 of our license agreement with the National Football League. This agreement includes men’s and women’s outerwear, Starter men’s and women’s outerwear, men’s and women’s lifestyle apparel, Hands High men’s and women’s lifestyle apparel and Touch by Alyssa Milano women’s lifestyle apparel.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we expanded our relationship with Tommy Hilfiger through a new license agreement for Tommy Hilfiger womenswear in the United States and Canada. This license for women’s sportswear, dresses, suit separates, performance and denim is in addition to our existing Tommy Hilfiger licenses for men’s and women’s outerwear and luggage. The new Tommy Hilfiger agreement has an initial term of five years and a renewal term of four years. Macy’s will continue to be the principal retailer of Tommy Hilfiger in the United States and women’s sportswear will continue to be a Macy’s exclusive offering. We believe Tommy Hilfiger is a classic American lifestyle brand. We intend to leverage our market expertise to help build sales of Tommy Hilfiger women’s apparel. We increased the distribution of our Tommy Hilfiger product in the first half of fiscal 2018 and expect to continue to expand sales of this product in the second half of fiscal 2018.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consumers prefer to buy brands they know.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ectPr>
          <w:pgSz w:w="11900" w:h="16838" w:orient="portrait"/>
          <w:cols w:equalWidth="0" w:num="1">
            <w:col w:w="11420"/>
          </w:cols>
          <w:pgMar w:left="240" w:top="220" w:right="23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20"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have increased our portfolio of proprietary brands, we have licensed these brands in categories outside our core competencies. We began licensing Andrew Marc, Vilebrequin and G.H. Bass in selected categories after acquiring these brands in 2008, 2012 and 2013, respectively. Our licensing program is expected to significantly increase as a result of owning the Donna Karan and DKNY brands.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DKNY brand is currently licensed for a broad array of products including fragrance, watches, hosiery, intimates, eyewear, children’s clothing, home furnishings and menswear. We recently licensed DKNY and Donna Karan men’s and women’s apparel and accessories in China pursuant to a long-term license agreement with a joint venture of which we are a 49% owner. We intend to focus on the expansion of licensing opportunities for the DKNY brand, while also re-establishing DKNY Jeans, Donna Karan and other associated brands. We believe that we can capitalize on significant, untapped global licensing potential in a number of categories.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G.H. Bass is licensed for the wholesale distribution of men’s and women’s footwear, men’s sportswear, men’s and boy’s tailored clothing, men’s socks, men’s accessories and women’s hosiery.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Vilebrequin has entered into licenses for watches and sunglasses, which commenced shipping in April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experienced substantial losses in our retail operations segment in fiscal 2017 and the first and second quarters of fiscal 2018. We are focusing on turning around our retail business by terminating or renegotiating long-term leases as they come up for renewal, implementing cost-cutting initiatives, revising our merchandising strategy and repurposing certain Wilsons and Bass stores for the Karl Lagerfeld Paris or DKNY brands. We intend to continue our program of door count reduction, as well as increasing the efficiency and productivity of our retail operations. We operated 353 Wilsons and Bass store at the beginning of the current fiscal year. At July 31, 2017, the store count for these two brands had decreased to 320 locations and we expect to further reduce the number of Wilsons and Bass stores to approximately 285 locations by the end of this fiscal year.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apparel over the Internet continue to increase. Our e-commerce business consists of our own web platforms at www.dkny.com, www.wilsonsleather.com, www.ghbass.com, www.vilebrequin.com and www.andrewmarc.com. We are building an e-commerce team to help us expand our online opportunities going forward. We also sell our Karl Lagerfeld Paris products on its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our web sites and social media to increase our e-commerce presence.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on expanding their e-commerce, the continued consolidation of retail chains and the desire on the part of retailers to consolidate vendors supplying them.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 on building strong images for their private label and exclusive merchandise.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retailers are experiencing financial difficulties, which in some cases has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apparel over the Internet continue to increase. We are addressing the increase in online shopping by developing additional marketing initiatives over the Internet, our web sites and social media.</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expanding distribution channels and developing the retail component of our business.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11420"/>
          </w:cols>
          <w:pgMar w:left="240" w:top="220" w:right="23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20" w:right="23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2017 compared to three months ended July 31, 2016</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three months ended July 31, 2017 increased to $538.0 million from $442.3 million in the same period last year. Net sales of our segments are reported before intercompany eliminations. Net sales of our wholesale operations segment increased to $467.8 million from $361.3 million in the comparable period last year. Net sales from our acquired DKNY and Donna Karan product lines accounted for $35.0 million of the increase. The increase in net sales was also a result of a $27.0 million increase in net sales of Tommy Hilfiger licensed products, primarily from our denim, men outerwear, dresses and women’s sportswear licensed products, a $27.4 million increase in net sales of Calvin Klein licensed products, primarily from women’s performance wear and dresses, and a $7.6 million increase in net sales of our Karl Lagerfeld Paris products. Net sales of our retail operations segment increased to $106.4 million for the three months ended July 31, 2017 from $100.0 million in the same period last year. The increase in net sales was the result of $14.9 million in net sales from our DKNY retail stores acquired in December 2016, offset, in part, by a decrease in net sales of $5.6 million in our G.H. Bass stores and $3.4 million in our Wilsons stores. We operated 34 fewer stores at the end of the period ended July 31, 2017 compared to the same period in the prior year. G.H. Bass same store sales decreased by 5.2% compared to the same period in the prior year and Wilsons same store sales decreased by 4.3% compared to the same period in the prior year. The decreases in same store sales are mainly due to a decline in consumer retail traffic, which also adversely affected total net sales in our stores.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to $202.9 million, or 37.7% of net sales, for the three months ended July 31, 2017, from $155.6 million, or 35.2% of net sales, in the same period last year. The gross profit percentage in our wholesale operations segment was 32.4% in the three months ended July 31, 2017 compared to 30.7% in the same period last year. The increase in gross profit percentage was in part the result of DKNY and Donna Karan licensing income for which there is no associated cost of goods sold. In addition, we had improved gross profit margins due to an increase in gross margins and net sales of our Calvin Klein dress line. The gross profit percentage in our retail operations segment was 48.4% for the three months ended July 31, 2017 compared to 44.8% for the same period last year. This increase in gross profit percentage is primarily due to our DKNY retail stores which had a higher gross profit percentage than our other retail stores.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$195.8 million in the three months ended July 31, 2017 from $153.2 million in the same period last year. Expenses related to our Donna Karan business represented $36.0 million of this increase. The remainder of the increase is primarily due to increased facility costs ($5.8 million) and personnel costs ($5.2 million). Facility costs increased because of increased shipping, storage and processing costs incurred at our third party warehouses. Personnel costs increased as a result of additional staffing for new product lines under our license agreements, offset, in part, by a decrease in personnel costs in our retail operations segment resulting from the reduction in the number of our retail stores. These increases were offset, in part, by a decrease in professional fees ($3.0 million) primarily related to the fees incurred in connection with the acquisition of DKI in the same period last year.</w:t>
      </w:r>
    </w:p>
    <w:p>
      <w:pPr>
        <w:spacing w:after="0" w:line="200" w:lineRule="exact"/>
        <w:rPr>
          <w:sz w:val="20"/>
          <w:szCs w:val="20"/>
          <w:color w:val="auto"/>
        </w:rPr>
      </w:pP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$10.7 million in the three months ended July 31, 2017 from $7.7 million in the same period last year. These expenses increased primarily because of additional depreciation and amortization expense incurred as a result of the acquisition of DKI.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July 31, 2017 were $9.6 million compared to $1.1 million for the same period last year. The increase in interest and financing charges is a result of the additional debt incurred in connection with the acquisition of DKI, as well as the amortization of capitalized debt issuance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benefit for the three months ended July 31, 2017 was $4.8 million compared to $4.6 million for the same period last year. Our effective tax rate remained the same for both periods at 37.0% before the effect of a discrete non-cash income tax charges of $168,000 in the three months ended July 31, 2017 and an income tax benefit of $2.4 million in the three months ended July 31, 2016 in connection with the vesting of equity awards in accordance with ASU 2016-09.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July 31, 2017 compared to six months ended July 31, 2016</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six months ended July 31, 2017 increased to $1.07 billion from $899.7 million in the same period last year. Net sales of our segments are reported before intercompany eliminations. Net sales of our wholesale operations segment increased to $921.1 million from $743.7 million in the comparable period last year. Net sales from our acquired DKNY and Donna Karan product lines accounted for $75.1 million of the increase. The increase in net sales was also a result of a $66.8 million increase in net sales of Tommy Hilfiger licensed products, primarily from our denim, sportswear, dresses and women’s performance wear, a $25.5 million increase in net sales of Calvin Klein licensed products, primarily from women’s performance wear and dresses, offset, in part, by a decrease in net sales of Calvin Klein women’s suits, and a $12.9 million increase in net sales of our Karl Lagerfeld Paris products. Net sales of our retail operations segment increased to $205.6 million for the six months ended July 31 2017 from $195.0 million in the same period last year. The increase in net sales was the result of $29.9 million in net sales from our DKNY retail stores offset, in part, by a decrease in net sales of $10.9 million in our G.H. Bass stores and $8.7 million in our Wilsons stores. We operated 34 fewer stores at the end of the period ended July 31, 2017 compared to the same period in the prior year. Wilsons same store sales decreased by 8.1% compared to the same period in the prior year and G.H. Bass same store sales decreased by 7.0% compared to the same period in the prior year. The decreases in same store sales are mainly due to a decline in consumer retail traffic, which also adversely affected total net sales in our stores.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to $404.7 million, or 37.9% of net sales, for the six months ended July 31, 2017, from $321.3 million, or 35.7% of net sales, in the same period last year. The gross profit percentage in our wholesale operations segment was 33.3% in the six months ended July 31, 2017 compared to 31.6% in the same period last year. The increase in gross profit percentage was the result of, in part, DKNY and Donna Karan licensing income for which there is no associated cost of goods sold, as well as favorable margins for our DKNY handbags and DKNY women’s sportswear product lines. In addition, we had improved gross profit margins due to an increase in gross margins and net sales of our Calvin Klein dress line. The gross profit percentage in our retail operations segment was 47.8% for the six months ended July 31, 2017 compared to 44.1% for the same period last year. This increase in gross profit percentage is primarily due to our DKNY retail stores which had a higher gross profit percentage than our other retail stores.</w:t>
      </w:r>
    </w:p>
    <w:p>
      <w:pPr>
        <w:sectPr>
          <w:pgSz w:w="11900" w:h="16838" w:orient="portrait"/>
          <w:cols w:equalWidth="0" w:num="1">
            <w:col w:w="11420"/>
          </w:cols>
          <w:pgMar w:left="240" w:top="220" w:right="239" w:bottom="468"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20" w:right="239" w:bottom="468" w:gutter="0" w:footer="0" w:header="0"/>
          <w:type w:val="continuous"/>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$393.3 million in the six months ended July 31, 2017 from $306.3 million in the same period last year. Expenses related to our Donna Karan business represented $75.1 million of this increase. The remainder of the increase is primarily due to increased facility costs ($12.1 million) and personnel costs ($4.2 million). Facility costs increased because of increased shipping, storage and processing costs incurred at our third party warehouses. Personnel costs increased as a result additional staffing for new product lines under new license agreements, offset, in part, by a decrease in personnel costs in our retail operations segment resulting from the reduction in the number of our retail stores. These increases were offset, in part, by a decrease in professional fees ($3.0 million) related to the fees incurred in connection with the acquisition of DKI in the same period last year.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$20.6 million in the six months ended July 31, 2017 from $14.9 million in the same period last year. These expenses increased primarily because of additional depreciation and amortization expense incurred as a result of the acquisition of DKI.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financing charges, net, for the six months ended July 31, 2017 were $19.6 million compared to $2.3 million for the same period last year. The increase in interest and financing charges is a result of the additional debt incurred in connection with the acquisition of DKI, as well as the amortization of capitalized debt issuance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for the six months ended July 31, 2017 was $10.9 million compared to $3.0 million for the same period last year. Our effective tax rate remained the same for both periods at 37.0% before the effect of a discrete non-cash income tax charges of $90,000 in the six months ended July 31, 2017 and an income tax benefit of $2.4 million in the six months ended July 31, 2016 in connection with the vesting of equity awards in accordance with ASU 2016-09.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2016, we entered into a credit agreement with the lenders party thereto and Barclays Bank PLC, as administrative and collateral agent (the “Term Loan Credit Agreement”). The Term Loan Credit Agreement provided for term loans in the aggregate amount of $350.0 million (the “Term Loans”) that we used to fund a portion of the purchase price with respect to the acquisition of DKI. The Term Loans were subject to amortization payments of 0.625% of the original aggregate principal amount of the Term Loans per quarter, with the balance due at maturity. On December 1, 2016, we refinanced $50 million in principal amount of the Term Loans, reducing the principal balance of the Term Loans to $300 million. This prepayment relieved us of our obligation to make quarterly amortization payments for the remainder of the term.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will mature in December 2022. Interest on the outstanding principal amount of the Term Loans accrues at a rate equal to LIBOR, subject to 1% floor, plus an applicable margin of 5.25% or an alternate base rate (defined as the greatest of (i) the “prime rate” as published by the Wall Street Journal from time to time, (ii) the federal funds rate plus 0.5% and (iii) the LIBOR rate for a borrowing with an interest period of one month) plus 4.25%, per annum, payable in cash. As of July 31, 2017, interest under the Term Loans was being paid at an average rate of 6.3% per annum.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Loans are secured (i) on a first-priority basis by a lien on our real estate assets, equipment and fixtures, equity interests and intellectual property and certain related rights owned us and by certain of our subsidiaries and (ii) by a second-priority security interest in other of our assets and certain of our subsidiaries, which secure on a first-priority basis our asset-based loan facility described below under the caption “Amended and Restated Credit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Loans are required to be prepaid with the proceeds of certain asset sales if such proceeds are not applied as required by the Term Loan Credit Agreement within certain specified deadlines. 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Credit Agreement contains covenants that restrict our ability to, among other things, incur additional debt, sell or dispose certain assets, make certain investments, incur liens and enter into acquisitions. This Agreement also includes a mandatory prepayment provision from Excess Cash Flow as defined in the Agreement. A first lien leverage covenant requires us to maintain a level of debt to EBITDA at a ratio as defined over the term of the Term Loan Credit Agreement. As of July 31, 2017, we were in compliance with these covenants.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20"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2016, we entered into an amended and restated credit agreement (the “ABL Credit Agreement”) with JPMorgan Chase Bank, N.A., as Administrative Agent. The ABL Credit Agreement is a five-year senior secured revolving credit facility providing for borrowings in the aggregate principal amount of up to $650 million. The ABL Credit Agreement replaced our prior credit agreement that provided for borrowings of up to $450 million and was due to expire in August 2017.</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 advances as specified in the ABL Credit Agreement. Borrowings bear interest, at the Borrowers’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Borrowers’ availability under the ABL Credit Agreement. As of July 31, 2017, interest under the ABL Credit Agreement was being paid at the average rate of 2.41% per annum. The ABL Credit Agreement is secured by specified assets of us and certain of our subsidiaries.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any outstanding borrowings under the ABL Credit Agreement, we are required to pay a commitment fee to the lenders under the ABL Credit Agreement with respect to the unutilized commitments. The commitment fee accrues at a rate equal to 0.25% per annum on the average daily amount of the available commitment.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Agreement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credit agreement also requires us to maintain a minimum fixed charge coverage ratio, as defined, that may not exceed 1.00 to 1.00 for each period of twelve consecutive fiscal months of holdings. As of July 31, 2017, we were in compliance with these covenants.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2016, as a portion of the consideration for the acquisition of DKI, we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with Barclays Bank PLC, as administrative agent for the lender parties to the Term Loans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the Term Loans, and (ii) a pledge and security agreement with us and our subsidiary, G-III Leather Fashions, Inc., pursuant to which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 Fair Value Measurements requires the note to be recorded at Fair Value. As a result, we recorded a debt discount in the amount of $40.0 million in connection with the issuance of the LVMH Note. This discount is being amortized as interest expense using the effective interest rate method over the term of the LVMH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our credit facility, cash generated from operations and the sale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significant additional debt in connection with our acquisition of DKI. At July 31, 2017, we had $194.0 million in borrowings outstanding under the ABL Credit Agreement and $300 million in borrowings outstanding under the Term Loans. In addition to the amounts outstanding under these two loan agreements, at July 31, 2017, we had $125.0 million of principal amount outstanding under the LVMH Note. At July 31, 2016, we had no borrowings outstanding under our prior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contingent liability under open letters of credit was approximately $16.7 million at July 31, 2017 compared to $11.9 million at July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cash and cash equivalents of $58.8 million on July 31, 2017 and $45.0 million on July 31,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w:t>
      </w:r>
    </w:p>
    <w:p>
      <w:pPr>
        <w:sectPr>
          <w:pgSz w:w="11900" w:h="16838" w:orient="portrait"/>
          <w:cols w:equalWidth="0" w:num="1">
            <w:col w:w="11420"/>
          </w:cols>
          <w:pgMar w:left="240" w:top="220" w:right="239" w:bottom="1117"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20" w:right="239" w:bottom="1117" w:gutter="0" w:footer="0" w:header="0"/>
          <w:type w:val="continuous"/>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means, and would be made in accordance with applicable securities laws. No shares were purchased under the program during the six months ended July 31, 2017. As of July 31, 2017, we had approximately 48,708,000 million shares of common stock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used $114.4 million of cash in operating activities during the six months ended July 31, 2017 primarily as a result of our net loss of $19.0 million, an increase of $171.2 million in inventory, $23.2 million in accounts receivable and $11.5 million in prepaid expenses, offset, in part, by an increase in accounts payable and accrued expenses of $82.2 million, $20.6 million in non-cash depreciation and amortization expenses and $10.3 million in non-cash equity based compensation charges.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these operating cash flow items are generally consistent with our seasonal pattern of building up inventory for the fall shipping season resulting in the increases in inventory and accounts payable. The fall shipping season begins during the latter half of our second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$10.6 million of cash in investing activities in the six months ended July 31, 2017. The cash used in investing activities consisted of capital expenditures related to additional fixturing costs at department stores, as well as renovating, repurposing and relocating G.H. Bass and Wilsons stores.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that capital expenditures for fiscal 2018 will be approximately $35 million. Capital expenditures in fiscal 2018 will primarily be used for the addition of in-store fixtures at department stores, as well as the renovation and relocation of some of our G.H. Bass, Wilsons and DKNY stores. We also anticipate expending $10.0 million by August 2018 to fund our portion of the equity for the joint venture with Amlon to produce and market DKNY and Donna Karan products in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from financing activities of $103.2 million in the six months ended July 31, 2017 was primarily provided by the net proceeds from borrowings under our revolving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Needs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on hand and cash generated from operations for the year as a whole,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2017 are those that depend most heavily on these judgments and estimates. As of July 31 2017, there have been no material changes to our critical accounting policies.</w:t>
      </w:r>
    </w:p>
    <w:p>
      <w:pPr>
        <w:spacing w:after="0" w:line="158"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2017.</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w:t>
      </w:r>
    </w:p>
    <w:p>
      <w:pPr>
        <w:sectPr>
          <w:pgSz w:w="11900" w:h="16838" w:orient="portrait"/>
          <w:cols w:equalWidth="0" w:num="1">
            <w:col w:w="11420"/>
          </w:cols>
          <w:pgMar w:left="240" w:top="220" w:right="23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20" w:right="23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20"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“Item 1A. Risk Factors” in our Annual Report on Form 10-K for the fiscal year ended January 31, 2017, which could materially affect our business, financial condition or future results. There have been no material changes to these risk factors as of July 31, 2017.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0" w:type="dxa"/>
            <w:vAlign w:val="bottom"/>
          </w:tcPr>
          <w:p>
            <w:pPr>
              <w:spacing w:after="0"/>
              <w:rPr>
                <w:sz w:val="24"/>
                <w:szCs w:val="24"/>
                <w:color w:val="auto"/>
              </w:rPr>
            </w:pPr>
          </w:p>
        </w:tc>
        <w:tc>
          <w:tcPr>
            <w:tcW w:w="9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Certification by Morris Goldfarb, Chief Executive Officer of G-III Apparel Group, Ltd., pursuant to Rule 13a - 14(a) or Rule 15d -</w:t>
              </w:r>
            </w:hyperlink>
          </w:p>
        </w:tc>
        <w:tc>
          <w:tcPr>
            <w:tcW w:w="38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14(a) of the Securities Exchange Act of 1934, as amended, in connection with G-III Apparel Group, Ltd.’s Quarterly Report on Form</w:t>
              </w:r>
            </w:hyperlink>
          </w:p>
        </w:tc>
        <w:tc>
          <w:tcPr>
            <w:tcW w:w="2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10-Q for the fiscal quarter ended July 31, 2017.</w:t>
              </w:r>
            </w:hyperlink>
          </w:p>
        </w:tc>
        <w:tc>
          <w:tcPr>
            <w:tcW w:w="6380" w:type="dxa"/>
            <w:vAlign w:val="bottom"/>
            <w:gridSpan w:val="8"/>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tcPr>
          <w:p>
            <w:pPr>
              <w:spacing w:after="0"/>
              <w:rPr>
                <w:sz w:val="24"/>
                <w:szCs w:val="24"/>
                <w:color w:val="auto"/>
              </w:rPr>
            </w:pPr>
          </w:p>
        </w:tc>
        <w:tc>
          <w:tcPr>
            <w:tcW w:w="9800" w:type="dxa"/>
            <w:vAlign w:val="bottom"/>
            <w:gridSpan w:val="9"/>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Certification by Neal S. Nackman, Chief Financial Officer of G-III Apparel Group, Ltd., pursuant to Rule 13a - 14(a) or Rule 15d -</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14(a) of the Securities Exchange Act of 1934, as amended, in connection with G-III Apparel Group, Ltd.’s Quarterly Report on Form</w:t>
              </w:r>
            </w:hyperlink>
          </w:p>
        </w:tc>
        <w:tc>
          <w:tcPr>
            <w:tcW w:w="2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10-Q for the fiscal quarter ended July 31, 2017.</w:t>
              </w:r>
            </w:hyperlink>
          </w:p>
        </w:tc>
        <w:tc>
          <w:tcPr>
            <w:tcW w:w="6380" w:type="dxa"/>
            <w:vAlign w:val="bottom"/>
            <w:gridSpan w:val="8"/>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6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Certification by Morris Goldfarb, Chief Executive Officer of G-III Apparel Group, Ltd., pursuant to 18 U.S.C. Section 1350, as adopted</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0" w:type="dxa"/>
            <w:vAlign w:val="bottom"/>
            <w:gridSpan w:val="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pursuant to Section 906 of the Sarbanes-Oxley Act of 2002, in connection with G-III Apparel Group, Ltd.’s Quarterly Report on Form</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10-Q for the fiscal quarter ended July 31, 2017.</w:t>
              </w:r>
            </w:hyperlink>
          </w:p>
        </w:tc>
        <w:tc>
          <w:tcPr>
            <w:tcW w:w="624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tcPr>
          <w:p>
            <w:pPr>
              <w:spacing w:after="0"/>
              <w:rPr>
                <w:sz w:val="24"/>
                <w:szCs w:val="24"/>
                <w:color w:val="auto"/>
              </w:rPr>
            </w:pPr>
          </w:p>
        </w:tc>
        <w:tc>
          <w:tcPr>
            <w:tcW w:w="9800" w:type="dxa"/>
            <w:vAlign w:val="bottom"/>
            <w:gridSpan w:val="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Certification by Neal S. Nackman, Chief Financial Officer of G-III Apparel Group, Ltd., pursuant to 18 U.S.C. Section 1350, as</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0" w:type="dxa"/>
            <w:vAlign w:val="bottom"/>
            <w:gridSpan w:val="9"/>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adopted pursuant to Section 906 of the Sarbanes-Oxley Act of 2002, in connection with G-III Apparel Group, Ltd.’s Quarterly Report</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on Form 10-Q for the fiscal quarter ended July 31, 2017.</w:t>
              </w:r>
            </w:hyperlink>
          </w:p>
        </w:tc>
        <w:tc>
          <w:tcPr>
            <w:tcW w:w="554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5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Extension Definition.</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648"/>
        </w:trPr>
        <w:tc>
          <w:tcPr>
            <w:tcW w:w="860" w:type="dxa"/>
            <w:vAlign w:val="bottom"/>
          </w:tcPr>
          <w:p>
            <w:pPr>
              <w:spacing w:after="0"/>
              <w:rPr>
                <w:sz w:val="24"/>
                <w:szCs w:val="24"/>
                <w:color w:val="auto"/>
              </w:rPr>
            </w:pPr>
          </w:p>
        </w:tc>
        <w:tc>
          <w:tcPr>
            <w:tcW w:w="9960" w:type="dxa"/>
            <w:vAlign w:val="bottom"/>
            <w:gridSpan w:val="4"/>
          </w:tcPr>
          <w:p>
            <w:pPr>
              <w:jc w:val="right"/>
              <w:ind w:right="50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G-III APPAREL GROUP,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2017</w:t>
            </w:r>
          </w:p>
        </w:tc>
        <w:tc>
          <w:tcPr>
            <w:tcW w:w="2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Morris Goldfarb</w:t>
            </w:r>
          </w:p>
        </w:tc>
      </w:tr>
      <w:tr>
        <w:trPr>
          <w:trHeight w:val="191"/>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2017</w:t>
            </w:r>
          </w:p>
        </w:tc>
        <w:tc>
          <w:tcPr>
            <w:tcW w:w="2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Neal S. Nackman</w:t>
            </w:r>
          </w:p>
        </w:tc>
      </w:tr>
      <w:tr>
        <w:trPr>
          <w:trHeight w:val="191"/>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220"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76" w:lineRule="exact"/>
        <w:rPr>
          <w:sz w:val="20"/>
          <w:szCs w:val="20"/>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76" w:lineRule="exact"/>
        <w:rPr>
          <w:sz w:val="20"/>
          <w:szCs w:val="20"/>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July 31, 2017,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2017</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July 31, 2017,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2017</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7"/>
    </w:lvl>
  </w:abstractNum>
  <w:abstractNum w:abstractNumId="3">
    <w:nsid w:val="1F16E9E8"/>
    <w:multiLevelType w:val="hybridMultilevel"/>
    <w:lvl w:ilvl="0">
      <w:lvlJc w:val="left"/>
      <w:lvlText w:val="%1"/>
      <w:numFmt w:val="decimal"/>
      <w:start w:val="547"/>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2019-12-29T04:25:18Z</dcterms:created>
  <dcterms:modified xsi:type="dcterms:W3CDTF">2019-12-29T04:25:18Z</dcterms:modified>
</cp:coreProperties>
</file>