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48"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9" w:lineRule="exact"/>
        <w:rPr>
          <w:sz w:val="24"/>
          <w:szCs w:val="24"/>
          <w:color w:val="auto"/>
        </w:rPr>
      </w:pPr>
    </w:p>
    <w:p>
      <w:pPr>
        <w:ind w:left="970" w:hanging="970"/>
        <w:spacing w:after="0" w:line="247" w:lineRule="auto"/>
        <w:tabs>
          <w:tab w:leader="none" w:pos="97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22"/>
          <w:szCs w:val="22"/>
          <w:b w:val="1"/>
          <w:bCs w:val="1"/>
          <w:color w:val="auto"/>
        </w:rPr>
        <w:t>For the fiscal year ended January 31, 2022</w:t>
      </w:r>
    </w:p>
    <w:p>
      <w:pPr>
        <w:spacing w:after="0" w:line="37"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970" w:right="860" w:hanging="970"/>
        <w:spacing w:after="0" w:line="249" w:lineRule="auto"/>
        <w:tabs>
          <w:tab w:leader="none" w:pos="97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950" w:type="dxa"/>
        <w:tblCellMar>
          <w:top w:w="0" w:type="dxa"/>
          <w:left w:w="0" w:type="dxa"/>
          <w:bottom w:w="0" w:type="dxa"/>
          <w:right w:w="0" w:type="dxa"/>
        </w:tblCellMar>
      </w:tblPr>
      <w:tr>
        <w:trPr>
          <w:trHeight w:val="286"/>
        </w:trPr>
        <w:tc>
          <w:tcPr>
            <w:tcW w:w="6060" w:type="dxa"/>
            <w:vAlign w:val="bottom"/>
          </w:tcPr>
          <w:p>
            <w:pPr>
              <w:ind w:left="2060"/>
              <w:spacing w:after="0"/>
              <w:rPr>
                <w:sz w:val="20"/>
                <w:szCs w:val="20"/>
                <w:color w:val="auto"/>
              </w:rPr>
            </w:pPr>
            <w:r>
              <w:rPr>
                <w:rFonts w:ascii="Times New Roman" w:cs="Times New Roman" w:eastAsia="Times New Roman" w:hAnsi="Times New Roman"/>
                <w:sz w:val="22"/>
                <w:szCs w:val="22"/>
                <w:b w:val="1"/>
                <w:bCs w:val="1"/>
                <w:color w:val="auto"/>
              </w:rPr>
              <w:t>For the transition period from</w:t>
            </w: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to</w:t>
            </w:r>
          </w:p>
        </w:tc>
      </w:tr>
      <w:tr>
        <w:trPr>
          <w:trHeight w:val="231"/>
        </w:trPr>
        <w:tc>
          <w:tcPr>
            <w:tcW w:w="6060" w:type="dxa"/>
            <w:vAlign w:val="bottom"/>
          </w:tcPr>
          <w:p>
            <w:pPr>
              <w:jc w:val="center"/>
              <w:ind w:left="2174"/>
              <w:spacing w:after="0"/>
              <w:rPr>
                <w:sz w:val="20"/>
                <w:szCs w:val="20"/>
                <w:color w:val="auto"/>
              </w:rPr>
            </w:pPr>
            <w:r>
              <w:rPr>
                <w:rFonts w:ascii="Times New Roman" w:cs="Times New Roman" w:eastAsia="Times New Roman" w:hAnsi="Times New Roman"/>
                <w:sz w:val="18"/>
                <w:szCs w:val="18"/>
                <w:b w:val="1"/>
                <w:bCs w:val="1"/>
                <w:color w:val="auto"/>
              </w:rPr>
              <w:t>Commission file number 0-18183</w:t>
            </w:r>
          </w:p>
        </w:tc>
        <w:tc>
          <w:tcPr>
            <w:tcW w:w="1480" w:type="dxa"/>
            <w:vAlign w:val="bottom"/>
          </w:tcPr>
          <w:p>
            <w:pPr>
              <w:spacing w:after="0"/>
              <w:rPr>
                <w:sz w:val="20"/>
                <w:szCs w:val="20"/>
                <w:color w:val="auto"/>
              </w:rPr>
            </w:pPr>
          </w:p>
        </w:tc>
      </w:tr>
      <w:tr>
        <w:trPr>
          <w:trHeight w:val="531"/>
        </w:trPr>
        <w:tc>
          <w:tcPr>
            <w:tcW w:w="7540" w:type="dxa"/>
            <w:vAlign w:val="bottom"/>
            <w:gridSpan w:val="2"/>
          </w:tcPr>
          <w:p>
            <w:pPr>
              <w:jc w:val="center"/>
              <w:ind w:left="694"/>
              <w:spacing w:after="0"/>
              <w:rPr>
                <w:sz w:val="20"/>
                <w:szCs w:val="20"/>
                <w:color w:val="auto"/>
              </w:rPr>
            </w:pPr>
            <w:r>
              <w:rPr>
                <w:rFonts w:ascii="Times New Roman" w:cs="Times New Roman" w:eastAsia="Times New Roman" w:hAnsi="Times New Roman"/>
                <w:sz w:val="43"/>
                <w:szCs w:val="43"/>
                <w:b w:val="1"/>
                <w:bCs w:val="1"/>
                <w:color w:val="auto"/>
                <w:w w:val="98"/>
              </w:rPr>
              <w:t>G-III APPAREL GROUP, LTD.</w:t>
            </w:r>
          </w:p>
        </w:tc>
      </w:tr>
      <w:tr>
        <w:trPr>
          <w:trHeight w:val="236"/>
        </w:trPr>
        <w:tc>
          <w:tcPr>
            <w:tcW w:w="6060" w:type="dxa"/>
            <w:vAlign w:val="bottom"/>
          </w:tcPr>
          <w:p>
            <w:pPr>
              <w:jc w:val="center"/>
              <w:ind w:left="2154"/>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1480" w:type="dxa"/>
            <w:vAlign w:val="bottom"/>
          </w:tcPr>
          <w:p>
            <w:pPr>
              <w:spacing w:after="0"/>
              <w:rPr>
                <w:sz w:val="20"/>
                <w:szCs w:val="20"/>
                <w:color w:val="auto"/>
              </w:rPr>
            </w:pPr>
          </w:p>
        </w:tc>
      </w:tr>
      <w:tr>
        <w:trPr>
          <w:trHeight w:val="223"/>
        </w:trPr>
        <w:tc>
          <w:tcPr>
            <w:tcW w:w="6060" w:type="dxa"/>
            <w:vAlign w:val="bottom"/>
          </w:tcPr>
          <w:p>
            <w:pPr>
              <w:jc w:val="center"/>
              <w:ind w:right="273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187"/>
              <w:spacing w:after="0"/>
              <w:rPr>
                <w:sz w:val="20"/>
                <w:szCs w:val="20"/>
                <w:color w:val="auto"/>
              </w:rPr>
            </w:pPr>
            <w:r>
              <w:rPr>
                <w:rFonts w:ascii="Times New Roman" w:cs="Times New Roman" w:eastAsia="Times New Roman" w:hAnsi="Times New Roman"/>
                <w:sz w:val="18"/>
                <w:szCs w:val="18"/>
                <w:b w:val="1"/>
                <w:bCs w:val="1"/>
                <w:color w:val="auto"/>
              </w:rPr>
              <w:t>41-1590959</w:t>
            </w:r>
          </w:p>
        </w:tc>
      </w:tr>
      <w:tr>
        <w:trPr>
          <w:trHeight w:val="216"/>
        </w:trPr>
        <w:tc>
          <w:tcPr>
            <w:tcW w:w="6060" w:type="dxa"/>
            <w:vAlign w:val="bottom"/>
          </w:tcPr>
          <w:p>
            <w:pPr>
              <w:jc w:val="center"/>
              <w:ind w:right="2594"/>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480" w:type="dxa"/>
            <w:vAlign w:val="bottom"/>
          </w:tcPr>
          <w:p>
            <w:pPr>
              <w:jc w:val="center"/>
              <w:ind w:left="27"/>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6060" w:type="dxa"/>
            <w:vAlign w:val="bottom"/>
          </w:tcPr>
          <w:p>
            <w:pPr>
              <w:jc w:val="center"/>
              <w:ind w:right="2614"/>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80" w:type="dxa"/>
            <w:vAlign w:val="bottom"/>
          </w:tcPr>
          <w:p>
            <w:pPr>
              <w:jc w:val="center"/>
              <w:ind w:left="67"/>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250"/>
        </w:trPr>
        <w:tc>
          <w:tcPr>
            <w:tcW w:w="6060" w:type="dxa"/>
            <w:vAlign w:val="bottom"/>
          </w:tcPr>
          <w:p>
            <w:pPr>
              <w:jc w:val="center"/>
              <w:ind w:right="2714"/>
              <w:spacing w:after="0"/>
              <w:rPr>
                <w:sz w:val="20"/>
                <w:szCs w:val="20"/>
                <w:color w:val="auto"/>
              </w:rPr>
            </w:pPr>
            <w:r>
              <w:rPr>
                <w:rFonts w:ascii="Times New Roman" w:cs="Times New Roman" w:eastAsia="Times New Roman" w:hAnsi="Times New Roman"/>
                <w:sz w:val="18"/>
                <w:szCs w:val="18"/>
                <w:b w:val="1"/>
                <w:bCs w:val="1"/>
                <w:color w:val="auto"/>
                <w:w w:val="98"/>
              </w:rPr>
              <w:t>512 Seventh Avenue, New York, New York</w:t>
            </w:r>
          </w:p>
        </w:tc>
        <w:tc>
          <w:tcPr>
            <w:tcW w:w="1480" w:type="dxa"/>
            <w:vAlign w:val="bottom"/>
          </w:tcPr>
          <w:p>
            <w:pPr>
              <w:jc w:val="right"/>
              <w:ind w:right="427"/>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36"/>
        </w:trPr>
        <w:tc>
          <w:tcPr>
            <w:tcW w:w="6060" w:type="dxa"/>
            <w:vAlign w:val="bottom"/>
          </w:tcPr>
          <w:p>
            <w:pPr>
              <w:jc w:val="center"/>
              <w:ind w:right="2594"/>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80" w:type="dxa"/>
            <w:vAlign w:val="bottom"/>
          </w:tcPr>
          <w:p>
            <w:pPr>
              <w:jc w:val="center"/>
              <w:ind w:left="67"/>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140"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0"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(212) 403-0500</w:t>
      </w:r>
    </w:p>
    <w:p>
      <w:pPr>
        <w:spacing w:after="0" w:line="3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6"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GIII</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648906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214630"/>
                    </a:xfrm>
                    <a:prstGeom prst="rect">
                      <a:avLst/>
                    </a:prstGeom>
                    <a:noFill/>
                  </pic:spPr>
                </pic:pic>
              </a:graphicData>
            </a:graphic>
          </wp:anchor>
        </w:drawing>
      </w:r>
    </w:p>
    <w:p>
      <w:pPr>
        <w:spacing w:after="0" w:line="7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 w:lineRule="exact"/>
        <w:rPr>
          <w:sz w:val="24"/>
          <w:szCs w:val="24"/>
          <w:color w:val="auto"/>
        </w:rPr>
      </w:pPr>
    </w:p>
    <w:p>
      <w:pPr>
        <w:ind w:left="10" w:right="2540"/>
        <w:spacing w:after="0" w:line="22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10" w:right="2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907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left="10" w:right="5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left="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70"/>
          </w:cols>
          <w:pgMar w:left="830" w:top="840" w:right="899" w:bottom="1440" w:gutter="0" w:footer="0" w:header="0"/>
        </w:sectPr>
      </w:pPr>
    </w:p>
    <w:p>
      <w:pPr>
        <w:spacing w:after="0" w:line="5" w:lineRule="exact"/>
        <w:rPr>
          <w:sz w:val="24"/>
          <w:szCs w:val="24"/>
          <w:color w:val="auto"/>
        </w:rPr>
      </w:pPr>
    </w:p>
    <w:p>
      <w:pPr>
        <w:ind w:left="33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2">
            <w:col w:w="5030" w:space="720"/>
            <w:col w:w="4420"/>
          </w:cols>
          <w:pgMar w:left="830" w:top="840" w:right="899" w:bottom="1440" w:gutter="0" w:footer="0" w:header="0"/>
          <w:type w:val="continuous"/>
        </w:sectPr>
      </w:pPr>
    </w:p>
    <w:p>
      <w:pPr>
        <w:ind w:left="33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5030" w:space="720"/>
            <w:col w:w="4420"/>
          </w:cols>
          <w:pgMar w:left="830" w:top="840" w:right="899" w:bottom="1440" w:gutter="0" w:footer="0" w:header="0"/>
          <w:type w:val="continuous"/>
        </w:sectPr>
      </w:pPr>
    </w:p>
    <w:p>
      <w:pPr>
        <w:ind w:left="10" w:right="1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left="10" w:right="3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1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left="10" w:right="180"/>
        <w:spacing w:after="0" w:line="263" w:lineRule="auto"/>
        <w:rPr>
          <w:sz w:val="20"/>
          <w:szCs w:val="20"/>
          <w:color w:val="auto"/>
        </w:rPr>
      </w:pPr>
      <w:r>
        <w:rPr>
          <w:rFonts w:ascii="Times New Roman" w:cs="Times New Roman" w:eastAsia="Times New Roman" w:hAnsi="Times New Roman"/>
          <w:sz w:val="14"/>
          <w:szCs w:val="14"/>
          <w:b w:val="1"/>
          <w:bCs w:val="1"/>
          <w:color w:val="auto"/>
        </w:rPr>
        <w:t>As of July 31, 2021, the aggregate market value of the registrant’s voting stock held by non-affiliates of the registrant (based on the last sale price for such shares as quoted by the Nasdaq Global Select Market) was approximately $1,374,424,507.</w:t>
      </w:r>
    </w:p>
    <w:p>
      <w:pPr>
        <w:ind w:left="10"/>
        <w:spacing w:after="0"/>
        <w:rPr>
          <w:sz w:val="20"/>
          <w:szCs w:val="20"/>
          <w:color w:val="auto"/>
        </w:rPr>
      </w:pPr>
      <w:r>
        <w:rPr>
          <w:rFonts w:ascii="Times New Roman" w:cs="Times New Roman" w:eastAsia="Times New Roman" w:hAnsi="Times New Roman"/>
          <w:sz w:val="14"/>
          <w:szCs w:val="14"/>
          <w:color w:val="auto"/>
        </w:rPr>
        <w:t>The number of outstanding shares of the registrant’s Common Stock as of March 23, 2022 was 47,915,388.</w:t>
      </w:r>
    </w:p>
    <w:p>
      <w:pPr>
        <w:spacing w:after="0" w:line="42" w:lineRule="exact"/>
        <w:rPr>
          <w:sz w:val="24"/>
          <w:szCs w:val="24"/>
          <w:color w:val="auto"/>
        </w:rPr>
      </w:pPr>
    </w:p>
    <w:p>
      <w:pPr>
        <w:jc w:val="both"/>
        <w:ind w:left="10"/>
        <w:spacing w:after="0" w:line="241" w:lineRule="auto"/>
        <w:rPr>
          <w:sz w:val="20"/>
          <w:szCs w:val="20"/>
          <w:color w:val="auto"/>
        </w:rPr>
      </w:pPr>
      <w:r>
        <w:rPr>
          <w:rFonts w:ascii="Times New Roman" w:cs="Times New Roman" w:eastAsia="Times New Roman" w:hAnsi="Times New Roman"/>
          <w:sz w:val="14"/>
          <w:szCs w:val="14"/>
          <w:color w:val="auto"/>
        </w:rPr>
        <w:t>Documents incorporated by reference: Certain portions of the registrant’s definitive Proxy Statement relating to the registrant’s Annual Meeting of Stockholders to be held on or about June 9, 2022, to be filed pursuant to Regulation 14A of the Securities Exchange Act of 1934 with the Securities and Exchange Commission,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478155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66675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70"/>
          </w:cols>
          <w:pgMar w:left="830" w:top="840" w:right="899" w:bottom="1440" w:gutter="0" w:footer="0" w:header="0"/>
          <w:type w:val="continuous"/>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RISK FACTORS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Various statements contained in this Annual Report on Form 10-K or incorporated by reference into this Annual Report on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those described in Part I, “Item 1A. Risk Factors.”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more detail in the “Risk Factors” section contained in Item 1A of this Annual Report on Form 10-K which includes a more complete discussion of the risks summarized below as well as a discussion of other risks related to our business and an investment in our common stock.</w:t>
      </w:r>
    </w:p>
    <w:p>
      <w:pPr>
        <w:spacing w:after="0" w:line="168" w:lineRule="exact"/>
        <w:rPr>
          <w:sz w:val="20"/>
          <w:szCs w:val="20"/>
          <w:color w:val="auto"/>
        </w:rPr>
      </w:pPr>
    </w:p>
    <w:p>
      <w:pPr>
        <w:ind w:left="720" w:right="139" w:hanging="319"/>
        <w:spacing w:after="0" w:line="257"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health crisis caused by the COVID-19 pandemic has had, and the current and uncertain future outlook of the outbreak will likely continue to have, adverse effects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4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material license agreements could cause us to lose significant revenues and have a material adverse effect on our results of operations;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strategies and reputation of our licensors;</w:t>
      </w:r>
    </w:p>
    <w:p>
      <w:pPr>
        <w:spacing w:after="0" w:line="9"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our relationship with PVH and its Calvin Klein or Tommy Hilfiger brands would have a material adverse effect on our results of operations;</w:t>
      </w:r>
    </w:p>
    <w:p>
      <w:pPr>
        <w:ind w:left="720" w:right="1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wholesale operations including, among others, maintaining the image our proprietary brands, business practices of our customers that could adversely affect us and retail customer concentration;</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retail operations segment;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operating enhancements and cost reductions from our retail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existing management;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possible disruptions from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operating through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additional financing;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our business and effect of unseasonable or extreme weather on our business;</w:t>
      </w:r>
    </w:p>
    <w:p>
      <w:pPr>
        <w:spacing w:after="0" w:line="9" w:lineRule="exact"/>
        <w:rPr>
          <w:rFonts w:ascii="Times New Roman" w:cs="Times New Roman" w:eastAsia="Times New Roman" w:hAnsi="Times New Roman"/>
          <w:sz w:val="18"/>
          <w:szCs w:val="18"/>
          <w:color w:val="auto"/>
        </w:rPr>
      </w:pPr>
    </w:p>
    <w:p>
      <w:pPr>
        <w:ind w:left="720" w:right="6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 of problems with our logistics and distribution systems and with disruptions to the worldwide supply chain;</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availability and quality of materials used in our products;</w:t>
      </w:r>
    </w:p>
    <w:p>
      <w:pPr>
        <w:spacing w:after="0" w:line="9" w:lineRule="exact"/>
        <w:rPr>
          <w:rFonts w:ascii="Times New Roman" w:cs="Times New Roman" w:eastAsia="Times New Roman" w:hAnsi="Times New Roman"/>
          <w:sz w:val="18"/>
          <w:szCs w:val="18"/>
          <w:color w:val="auto"/>
        </w:rPr>
      </w:pPr>
    </w:p>
    <w:p>
      <w:pPr>
        <w:jc w:val="both"/>
        <w:ind w:left="720" w:right="2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of an increase in our cost of goods sold as a result of higher prices for raw materials and increased labor and freight costs and the adverse effect on our gross margins if we are unable to raise prices to offset any increase in our cost of goods sold;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trademarks and other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licensees may not generate expected sales or maintain the value of our brands;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economic and credit environment on us, our customers, suppliers and vendors;</w:t>
      </w:r>
    </w:p>
    <w:p>
      <w:pPr>
        <w:spacing w:after="0" w:line="9" w:lineRule="exact"/>
        <w:rPr>
          <w:rFonts w:ascii="Times New Roman" w:cs="Times New Roman" w:eastAsia="Times New Roman" w:hAnsi="Times New Roman"/>
          <w:sz w:val="18"/>
          <w:szCs w:val="18"/>
          <w:color w:val="auto"/>
        </w:rPr>
      </w:pPr>
    </w:p>
    <w:p>
      <w:pPr>
        <w:ind w:left="720" w:right="2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war, acts of terrorism, natural disasters or public health crises could adversely affect our business and results of operations;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foreign manufacturers;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expansion into foreign markets, conducting business internationally and exposures to foreign currencies;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adoption of a national security law in Hong Kong;</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upgrade, maintain and secure our information systems;</w:t>
      </w:r>
    </w:p>
    <w:p>
      <w:pPr>
        <w:spacing w:after="0" w:line="9" w:lineRule="exact"/>
        <w:rPr>
          <w:rFonts w:ascii="Times New Roman" w:cs="Times New Roman" w:eastAsia="Times New Roman" w:hAnsi="Times New Roman"/>
          <w:sz w:val="18"/>
          <w:szCs w:val="18"/>
          <w:color w:val="auto"/>
        </w:rPr>
      </w:pPr>
    </w:p>
    <w:p>
      <w:pPr>
        <w:ind w:left="720" w:right="3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of data security or privacy breaches;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examination by the Canadian Border Services Agency;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or exposure to additional tax liabilities could impact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regulations applicable to us as a U.S. public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corporate responsibility issues by stakeholders;</w:t>
      </w:r>
    </w:p>
    <w:p>
      <w:pPr>
        <w:spacing w:after="0" w:line="9" w:lineRule="exact"/>
        <w:rPr>
          <w:rFonts w:ascii="Times New Roman" w:cs="Times New Roman" w:eastAsia="Times New Roman" w:hAnsi="Times New Roman"/>
          <w:sz w:val="18"/>
          <w:szCs w:val="18"/>
          <w:color w:val="auto"/>
        </w:rPr>
      </w:pPr>
    </w:p>
    <w:p>
      <w:pPr>
        <w:ind w:left="720" w:right="2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9"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trademarks or other intangibles may require us to record charges against earnings; and</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20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“Risk Factors.” We undertake no obligation to publicly update or revise any forward-looking statements, whether as a result of new information, future events or otherwise, except as required by law.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WEBSITE ACCESS TO REPORTS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website is www.g-iii.com. We make available, free of charge, on our website (under the heading “Investors”) our Annual Reports on Form 10-K, Quarterly Reports on Form 10-Q, Current Reports on Form 8-K and amendments to those reports as soon as reasonably practicable after we electronically file such material with, or furnish it to, the SEC. No information contained on our website is intended to be included as part of, or incorporated by reference into, this Annual Report on Form 10-K. Information relating to our corporate governance, including copies of our Code of Ethics and Conduct, Audit, Compensation and Nominating and Corporate Governance Committee Charters, and other policies and guidelines, are available at our website under “Investors.” Paper copies of these filings and corporate governance documents are available to stockholders free of charge by written request to Investor Relations, G-III Apparel Group, Ltd., 512 Seventh Avenue, New York, New York 10018. The SEC maintains an Internet site that contains reports, proxy and information statements, and other information regarding issuers that file electronically with the SEC. The address of the SEC’s website is http://www.sec.gov.</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r>
        <w:rPr>
          <w:rFonts w:ascii="Times New Roman" w:cs="Times New Roman" w:eastAsia="Times New Roman" w:hAnsi="Times New Roman"/>
          <w:sz w:val="17"/>
          <w:szCs w:val="17"/>
          <w:b w:val="1"/>
          <w:bCs w:val="1"/>
          <w:color w:val="auto"/>
        </w:rPr>
        <w:t>.</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fiscal years refer to the year ended or ending on January 31 of that year. For example, our fiscal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2022 is referred to as “fiscal 2022.”</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G-III Apparel Group, Ltd. is a Delaware corporation that was formed in 1989. We and our predecessors have conducted our business since 1974.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design, source and market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channels.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own proprietary brands include DKNY, Donna Karan, Vilebrequin, G.H. Bass, Eliza J, Jessica Howard, Andrew Marc, Marc New York, Wilsons Leather and Sonia Rykiel. We sell products under an extensive portfolio of well-known licensed brands, including Calvin Klein, Tommy Hilfiger, Karl Lagerfeld Paris,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products are sold through a cross section of leading retailers such as Macy’s, Dillard’s, Hudson’s Bay Company, including their Saks Fifth Avenue division, Nordstrom, Kohl’s, TJX Companies, Ross Stores and Burlington. We also sell our products using digital channels through retail partners such as macys.com, nordstrom.com and dillards.com, each of which has a substantial online business. In addition, we sell to leading online retail partners such as Amazon, Fanatics, Zalando and Zappos and have made a minority investment in an e-commerce retailer.</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distribute apparel and other products directly to consumers through our own DKNY and Karl Lagerfeld Paris retail stores, as well as through our digital channels for the DKNY, Donna Karan, Karl Lagerfeld Paris, G.H. Bass, Andrew Marc, Wilsons Leather and Sonia Rykiel businesses. In fiscal 2021, we restructured our retail operations and completed the closing of our Wilsons Leather, G.H. Bass and Calvin Klein Performance stores. This restructuring enabled us to reduce our losses in our retail operations segment and re-position our retail operations with a goal of becoming a profitable contributor to our business.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retail operations segment consists of direct sales to consumers through our company-operated stores and through digital channels. Our retail operations segment consists of our DKNY and Karl Lagerfeld Paris stores, as well as the digital channels for DKNY, Donna Karan, Karl Lagerfeld Paris, G.H. Bass, Andrew Marc and Wilsons Leather.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COVID-19 pandemic has affected businesses around the world since the first quarter of fiscal 2021. Federal, state and local governments in the United States and around the world, as well as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negatively affected the global economy, disrupted global supply chains and created significant disruption of the financial and retail markets, including a disruption in consumer demand for apparel and accessories.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COVID-19 pandemic continues to impact the global economy. During fiscal 2022, consumer demand for apparel and accessories, as well as other consumer discretionary spending, increased as compared to fiscal 2021. While businesses reopened as stay at home orders were lifted and various restrictions on the operation of retail businesses were loosened, the continued economic impact of the COVID-19 pandemic remains uncertain. The spread of additional variants could result in the reimposition of restrictions on commercial and social activities that would adversely impact our business. We have experienced significant improvements in our results of operations for fiscal 2022 as compared to fiscal 2021. However, the COVID-19 pandemic could continue to adversely impact our business operations and results of operations.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continued impact of the COVID-19 pandemic on our business operations remains uncertain and cannot be predicted. The extent to which COVID-19 impacts our results will depend on continued developments in the public and private responses to the pandemic and the success and efficacy of efforts in the United States and around the world to vaccinate people against COVID-19. New information may emerge concerning the severity of the outbreak and the spread of variants of the COVID-19 virus in locations that are important to our business. Actions taken to contain COVID-19 or treat its impact may change or become more restrictive if additional waves of infections occur.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 Parfums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2021, we entered into a long-term global licensing agreement with Inter Parfums, Inc. for the creation, development and distribution of fragrances and fragrance-related products under the DKNY and Donna Karan brands. Inter Parfums, Inc. will become the exclusive licensee for these products effective July 1, 2022 with the initial term of the license extending through December 31, 2032. We believe the fragrance category enables our brands to connect more broadly with global consumers.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Sonia Rykiel</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October 2021, we purchased European luxury fashion brand Sonia Rykiel. Sonia Rykiel, who created this iconic brand, was one of the leading figures of Parisian fashion. We plan to accelerate the relaunch of the brand in France in the fall of 2022, and then expand into Europe and other areas. We believe this purchase further enables us to expand into the luxury space and that there is untapped potential for this brand.</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Sonia Rykiel is a wholly-owned operating subsidiary that reports results on a calendar year basis rather than the January 31 fiscal year basis used by the Company. Accordingly, the results of Sonia Rykiel are included in our consolidated financial statements beginning in the fourth quarter of fiscal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Initiatives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focused on the following strategic initiatives, which we believe are critical to our long-term success:</w:t>
      </w:r>
    </w:p>
    <w:p>
      <w:pPr>
        <w:spacing w:after="0" w:line="221" w:lineRule="exact"/>
        <w:rPr>
          <w:sz w:val="20"/>
          <w:szCs w:val="20"/>
          <w:color w:val="auto"/>
        </w:rPr>
      </w:pPr>
    </w:p>
    <w:p>
      <w:pPr>
        <w:jc w:val="both"/>
        <w:ind w:left="720" w:right="79" w:hanging="319"/>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Owning brands: </w:t>
      </w:r>
      <w:r>
        <w:rPr>
          <w:rFonts w:ascii="Times New Roman" w:cs="Times New Roman" w:eastAsia="Times New Roman" w:hAnsi="Times New Roman"/>
          <w:sz w:val="18"/>
          <w:szCs w:val="18"/>
          <w:color w:val="auto"/>
        </w:rPr>
        <w:t>We own a portfolio of proprietary brands including DKNY, Donna Karan, Vilebrequin, Eliza J,</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Jessica Howard, G.H. Bass, Andrew Marc and Sonia Rykiel. Owning our own brands is advantageous to us for several reasons:</w:t>
      </w:r>
    </w:p>
    <w:p>
      <w:pPr>
        <w:spacing w:after="0" w:line="174" w:lineRule="exact"/>
        <w:rPr>
          <w:rFonts w:ascii="Times New Roman" w:cs="Times New Roman" w:eastAsia="Times New Roman" w:hAnsi="Times New Roman"/>
          <w:sz w:val="18"/>
          <w:szCs w:val="18"/>
          <w:color w:val="auto"/>
        </w:rPr>
      </w:pPr>
    </w:p>
    <w:p>
      <w:pPr>
        <w:jc w:val="both"/>
        <w:ind w:left="1380" w:right="79" w:hanging="331"/>
        <w:spacing w:after="0" w:line="251" w:lineRule="auto"/>
        <w:tabs>
          <w:tab w:leader="none" w:pos="138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can realize significantly higher operating margins because we are not required to pay licensing fees on sales by us of our proprietary products and can also generate licensing revenues (which have no related cost of goods sold) for classes of products not manufactured by us.</w:t>
      </w:r>
    </w:p>
    <w:p>
      <w:pPr>
        <w:spacing w:after="0" w:line="1" w:lineRule="exact"/>
        <w:rPr>
          <w:rFonts w:ascii="Courier New" w:cs="Courier New" w:eastAsia="Courier New" w:hAnsi="Courier New"/>
          <w:sz w:val="18"/>
          <w:szCs w:val="18"/>
          <w:color w:val="auto"/>
        </w:rPr>
      </w:pPr>
    </w:p>
    <w:p>
      <w:pPr>
        <w:ind w:left="1380" w:right="79" w:hanging="331"/>
        <w:spacing w:after="0" w:line="241" w:lineRule="auto"/>
        <w:tabs>
          <w:tab w:leader="none" w:pos="138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There are no channel restrictions, permitting us to market our products internationally, and to utilize a variety of different distribution channels, including online and off-price channels.</w:t>
      </w:r>
    </w:p>
    <w:p>
      <w:pPr>
        <w:spacing w:after="0" w:line="1" w:lineRule="exact"/>
        <w:rPr>
          <w:rFonts w:ascii="Courier New" w:cs="Courier New" w:eastAsia="Courier New" w:hAnsi="Courier New"/>
          <w:sz w:val="18"/>
          <w:szCs w:val="18"/>
          <w:color w:val="auto"/>
        </w:rPr>
      </w:pPr>
    </w:p>
    <w:p>
      <w:pPr>
        <w:ind w:left="1380" w:right="79" w:hanging="331"/>
        <w:spacing w:after="0" w:line="241" w:lineRule="auto"/>
        <w:tabs>
          <w:tab w:leader="none" w:pos="138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are able to license our proprietary brands in new categories and geographies to carefully selected licensees.</w:t>
      </w:r>
    </w:p>
    <w:p>
      <w:pPr>
        <w:spacing w:after="0" w:line="1" w:lineRule="exact"/>
        <w:rPr>
          <w:rFonts w:ascii="Courier New" w:cs="Courier New" w:eastAsia="Courier New" w:hAnsi="Courier New"/>
          <w:sz w:val="18"/>
          <w:szCs w:val="18"/>
          <w:color w:val="auto"/>
        </w:rPr>
      </w:pPr>
    </w:p>
    <w:p>
      <w:pPr>
        <w:ind w:left="1380" w:hanging="331"/>
        <w:spacing w:after="0" w:line="233" w:lineRule="auto"/>
        <w:tabs>
          <w:tab w:leader="none" w:pos="138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are able to build equity in these brands to benefit the long-term interests of our stockholders.</w:t>
      </w:r>
    </w:p>
    <w:p>
      <w:pPr>
        <w:spacing w:after="0" w:line="194" w:lineRule="exact"/>
        <w:rPr>
          <w:rFonts w:ascii="Courier New" w:cs="Courier New" w:eastAsia="Courier New" w:hAnsi="Courier New"/>
          <w:sz w:val="18"/>
          <w:szCs w:val="18"/>
          <w:color w:val="auto"/>
        </w:rPr>
      </w:pPr>
    </w:p>
    <w:p>
      <w:pPr>
        <w:jc w:val="both"/>
        <w:ind w:left="720" w:right="79" w:hanging="319"/>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expand our DKNY and Donna Karan businesses: </w:t>
      </w:r>
      <w:r>
        <w:rPr>
          <w:rFonts w:ascii="Times New Roman" w:cs="Times New Roman" w:eastAsia="Times New Roman" w:hAnsi="Times New Roman"/>
          <w:sz w:val="18"/>
          <w:szCs w:val="18"/>
          <w:color w:val="auto"/>
        </w:rPr>
        <w:t>We believe that DKNY and Donna Karan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two of the most iconic and recognizable power brands and that we are well positioned to unlock their potential and expand the reach of these brands. We are leveraging our demonstrated ability to drive organic growth and develop talent within our Company to maximize the potential of the DKNY and Donna Karan brands. Our strategy is for DKNY and Donna Karan to be more accessible brands, both designed and priced to reach a wider range of customers. We have positioned Donna Karan as an aspirational luxury brand that is priced above DKNY and targeted to fine department stores globally. We launched our DKNY Jeans denim collection during fiscal 2021. We believe there is untapped global licensing and distribution potential for these brands and aim to grow royalty streams in the DKNY and Donna Karan businesses through expansion of additional categories with existing licensees, as well as new categories with new licensees. We are committed to making DKNY a fashion and lifestyle brand of choice.</w:t>
      </w:r>
    </w:p>
    <w:p>
      <w:pPr>
        <w:spacing w:after="0" w:line="18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Focusing on our five global power brands: </w:t>
      </w:r>
      <w:r>
        <w:rPr>
          <w:rFonts w:ascii="Times New Roman" w:cs="Times New Roman" w:eastAsia="Times New Roman" w:hAnsi="Times New Roman"/>
          <w:sz w:val="18"/>
          <w:szCs w:val="18"/>
          <w:color w:val="auto"/>
        </w:rPr>
        <w:t>While we sell products under more than 30 licensed and proprietary</w:t>
      </w:r>
    </w:p>
    <w:p>
      <w:pPr>
        <w:spacing w:after="0" w:line="31" w:lineRule="exact"/>
        <w:rPr>
          <w:rFonts w:ascii="Times New Roman" w:cs="Times New Roman" w:eastAsia="Times New Roman" w:hAnsi="Times New Roman"/>
          <w:sz w:val="18"/>
          <w:szCs w:val="18"/>
          <w:color w:val="auto"/>
        </w:rPr>
      </w:pPr>
    </w:p>
    <w:p>
      <w:pPr>
        <w:jc w:val="both"/>
        <w:ind w:left="720" w:right="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five global power brands anchor our business: DKNY, Donna Karan, Calvin Klein, Tommy Hilfiger and Karl Lagerfeld Paris. Each of these brands has substantial name recognition and is well-known in the marketplace. We believe each brand also provides us with significant growth opportunities. We have leveraged the strength of our power brands to become a supplier of choice in a diversified range of product categories.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international business: </w:t>
      </w:r>
      <w:r>
        <w:rPr>
          <w:rFonts w:ascii="Times New Roman" w:cs="Times New Roman" w:eastAsia="Times New Roman" w:hAnsi="Times New Roman"/>
          <w:sz w:val="18"/>
          <w:szCs w:val="18"/>
          <w:color w:val="auto"/>
        </w:rPr>
        <w:t>We continue to expand our international business and enter into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worldwide. We believe that the international sales and profit opportunity is quite significant for our DKNY and Donna Karan businesses. We are expanding our DKNY business globally. The key markets in which our DKNY merchandise is currently distributed include Europe, China, the Middle East, Southeast Asia and Korea. Continued growth, brand development and marketing in these key markets is critical to driving global brand recognition. In addition, during fiscal 2022, we purchased European luxury fashion brand Sonia Rykiel. Sonia Rykiel, who created this iconic brand, was one of the leading figures of Parisian fashion. We believe this purchase further enables us to expand into the international luxury space and that there is untapped potential for this brand.</w:t>
      </w:r>
    </w:p>
    <w:p>
      <w:pPr>
        <w:spacing w:after="0" w:line="188"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digital channel business opportunities: </w:t>
      </w:r>
      <w:r>
        <w:rPr>
          <w:rFonts w:ascii="Times New Roman" w:cs="Times New Roman" w:eastAsia="Times New Roman" w:hAnsi="Times New Roman"/>
          <w:sz w:val="18"/>
          <w:szCs w:val="18"/>
          <w:color w:val="auto"/>
        </w:rPr>
        <w:t>We are continuing to make changes to our business to address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additional challenges and opportunities created by the evolving role of the digital marketplace in the retail sector and expect to increase the sale of our products in an omni-channel environment. We are investing in digital personnel, marketing, logistics, planning, distribution and other strategic opportunities to expand our digital footprint. Consumers are increasingly engaging with brands through digital channels, and we believe that this trend will continue to grow in the coming years. The five global power brands that serve as the anchor of our business position us to be the direct beneficiaries of this trend, whether by continuing to leverage our partnerships with the digital channel businesses operated by our licensors and major retailers to facilitate customer engagement or by building out our own digital capabilities.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720" w:right="79" w:hanging="319"/>
        <w:spacing w:after="0" w:line="259"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Opportunity for long-term profitability in our retail operations: </w:t>
      </w:r>
      <w:r>
        <w:rPr>
          <w:rFonts w:ascii="Times New Roman" w:cs="Times New Roman" w:eastAsia="Times New Roman" w:hAnsi="Times New Roman"/>
          <w:sz w:val="18"/>
          <w:szCs w:val="18"/>
          <w:color w:val="auto"/>
        </w:rPr>
        <w:t>Our retail operations segment consists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DKNY and Karl Lagerfeld Paris stores, as well as the digital channels for DKNY, Donna Karan, Karl Lagerfeld Paris, G.H. Bass, Andrew Marc and Wilsons Leather. We continue to make changes to our DKNY and Karl Lagerfeld retail operations which has enabled us to greatly reduce our losses in our retail operations segment and is expected to ultimately position this segment to become profitable.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 portfolio of globally recognized brands. </w:t>
      </w:r>
      <w:r>
        <w:rPr>
          <w:rFonts w:ascii="Times New Roman" w:cs="Times New Roman" w:eastAsia="Times New Roman" w:hAnsi="Times New Roman"/>
          <w:sz w:val="18"/>
          <w:szCs w:val="18"/>
          <w:color w:val="auto"/>
        </w:rPr>
        <w:t>In an environment of rapidly changing consumer fashion trends,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from a balanced mix of more than 30 licensed and proprietary brands anchored by five global power brands: DKNY, Donna Karan, Calvin Klein, Tommy Hilfiger and Karl Lagerfeld Paris, which have strong brand equity and long-standing consumer appeal. We believe that these five globally recognized power brands have potential for future growth. Our overall brand portfolio includes other complementary brands that are diversified across product categories, price points, demographics, occasions, fits and sizes, and styles and genres. Our proprietary brands include DKNY, Donna Karan, Vilebrequin, G.H. Bass, Eliza J, Jessica Howard, Andrew Marc, Marc New York, Wilsons Leather and Sonia Rykiel. We believe we are a licensee of choice for well-known brands, consisting of fashion brands including Calvin Klein, Tommy Hilfiger, Karl Lagerfeld Paris, Levi’s, Guess?, Kenneth Cole, Cole Haan, Vince Camuto, and Dockers and team sports oriented brands, including the National Football League, National Basketball Association, Major League Baseball, National Hockey League and over 150 U.S. colleges and universities. We believe that our well-diversified brand portfolio with power brands and complementary brands is well positioned to satisfy ongoing consumer needs and preferences. Additionally, our experience in developing and acquiring licensed brands and proprietary labels, as well as our reputation for producing high quality, well-designed apparel, has led major customers to select us as a partner of choice for their own private label programs.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currently market apparel and other products under, among others, the following licensed and proprietary brand names: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Women's</w:t>
            </w: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Men's</w:t>
            </w:r>
          </w:p>
        </w:tc>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Team Sports</w:t>
            </w:r>
          </w:p>
        </w:tc>
      </w:tr>
      <w:tr>
        <w:trPr>
          <w:trHeight w:val="196"/>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Licensed Brands</w:t>
            </w:r>
          </w:p>
        </w:tc>
        <w:tc>
          <w:tcPr>
            <w:tcW w:w="22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Calvin Klein</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Calvin Klein</w:t>
            </w: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National Football League</w:t>
            </w:r>
          </w:p>
        </w:tc>
      </w:tr>
      <w:tr>
        <w:trPr>
          <w:trHeight w:val="202"/>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Calvin Klein Jeans</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Tommy Hilfiger</w:t>
            </w: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Major League Baseball</w:t>
            </w: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Tommy Hilfiger</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Karl Lagerfeld Paris</w:t>
            </w: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National Basketball Association</w:t>
            </w: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Karl Lagerfeld Paris</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Guess?</w:t>
            </w: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National Hockey League</w:t>
            </w: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Guess?</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Kenneth Cole</w:t>
            </w: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IMG Collegiate Licensing Company</w:t>
            </w: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Kenneth Cole</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Cole Haan</w:t>
            </w: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Starter</w:t>
            </w: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Cole Haan</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Levi's</w:t>
            </w: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Levi's</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Dockers</w:t>
            </w: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Vince Camuto</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Margaritaville</w:t>
            </w: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Margaritaville</w:t>
            </w: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Proprietary Brands</w:t>
            </w: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DKNY</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DKNY</w:t>
            </w: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G-III Sports by Carl Banks</w:t>
            </w: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Donna Karan</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Andrew Marc</w:t>
            </w: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G-III for Her</w:t>
            </w: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Andrew Marc</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 New York</w:t>
            </w: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 New York</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Vilebrequin</w:t>
            </w: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Vilebrequin</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 H. Bass</w:t>
            </w: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Sonia Rykiel</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Wilsons Leather</w:t>
            </w: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 H. Bass</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Eliza J</w:t>
            </w: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Jessica Howard</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2"/>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Black Rivet</w:t>
            </w: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2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Wilsons Leather</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Long-standing relationships forged with retailers and license partners through emphasis on design, sourcing and quality control. </w:t>
      </w:r>
      <w:r>
        <w:rPr>
          <w:rFonts w:ascii="Times New Roman" w:cs="Times New Roman" w:eastAsia="Times New Roman" w:hAnsi="Times New Roman"/>
          <w:sz w:val="18"/>
          <w:szCs w:val="18"/>
          <w:color w:val="auto"/>
        </w:rPr>
        <w:t>We believe our core strengths provide a foundation that drives our partnerships with retailers and licensors.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in-house design and merchandising teams design substantially all of our licensed, proprietary and private label products, and our designers work closely with our licensors and private label customers to create designs and styles that represent the look they seek to project. We believe that we have developed a significant customer following and positive reputation in the industry as a result of our design capabilities, sourcing expertise, on-time delivery and high standards of quality control. Our service, brand stewardship and industry expertise have allowed us to continue to deliver as a go-to preferred partner for many of our customers.</w:t>
      </w:r>
    </w:p>
    <w:p>
      <w:pPr>
        <w:spacing w:after="0" w:line="18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Well-developed supply chain infrastructure is a key core competency that leverages strong vendor relationships developed over the past 40 years. </w:t>
      </w:r>
      <w:r>
        <w:rPr>
          <w:rFonts w:ascii="Times New Roman" w:cs="Times New Roman" w:eastAsia="Times New Roman" w:hAnsi="Times New Roman"/>
          <w:sz w:val="18"/>
          <w:szCs w:val="18"/>
          <w:color w:val="auto"/>
        </w:rPr>
        <w:t>We have long-standing, trust-based relationships with our vendors that form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foundation of our global supply chain that has been built upon over the last 40 years. We have a network of worldwide suppliers that allows us to access the highest quality products, negotiate competitive terms without relying on any single vendor, access new technology and design insights, and enhance our market intelligence. We support and cultivate these relationships by continuously investing management time while also maintaining a physical presence in key jurisdictions. We employ a quality control team and a sourcing group to ensure the quality of our products, as well as local teams that operate on the ground with a hands-on approach and a deep-rooted knowledge base with respect to our manufacturers. By working closely with our global partners on all aspects of the supply chain, we aim to safeguard against potential disruptions. We believe that we have a long-standing competitive advantage with our current supply chain partners and we continue to focus on broadening the breadth and depth of our inventory sourcing capabilities. We continue to diversify our product portfolio and mix and we have proactively reduced the percentage of our inventory that is sourced from China. Inventory sourced by us from China represented 34.2% of inventory purchased in fiscal 2022 compared to 32.8% in fiscal 2021 and 49.5% in fiscal 2020. We continue to focus on methods aimed at bolstering production and devising and implementing strategies to further diversify our production base and expand sourcing capabilities across the globe while leveraging best practices and strong vendor relationships.</w:t>
      </w:r>
    </w:p>
    <w:p>
      <w:pPr>
        <w:spacing w:after="0" w:line="19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Diversified business mix across customers, price points, products, and distribution channels. </w:t>
      </w:r>
      <w:r>
        <w:rPr>
          <w:rFonts w:ascii="Times New Roman" w:cs="Times New Roman" w:eastAsia="Times New Roman" w:hAnsi="Times New Roman"/>
          <w:sz w:val="18"/>
          <w:szCs w:val="18"/>
          <w:color w:val="auto"/>
        </w:rPr>
        <w:t>We market our products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price points and across multiple channels of distribution, allowing us to provide products to a broad range of consumers. Our products are sold to approximately 1,200 customers, including a cross section of retailers such as Macy’s, Dillard’s, Hudson’s Bay Company, including their Saks Fifth Avenue division, Nordstrom, Kohl’s, TJX Companies, Ross Stores and Burlington, as well as membership clubs such as Costco and Sam’s Club. We also sell to leading online retail partners such as Amazon, Fanatics, Zalando and Zappos and have made a minority investment in an e-commerce retailer. Our strong relationships with retailers have been established through many years of personal customer service and our objective of meeting or exceeding retailer expectations. In addition, we continue to make changes to our business to address the additional challenges and opportunities created by the evolving role of the online marketplace in the retail sector and expect to expand the sale of our products in an omni-channel environment. As economic conditions waver and consumer trends change, we believe that our deep-rooted relationships across the retail landscape, diversified brands serving all types of consumers and our product portfolio mix that covers all price points allow us to operate on a flexible and advantageous basis.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Our executive management team has worked together for a significant period of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extensive experience in the apparel industry. Morris Goldfarb, our Chairman and Chief Executive Officer, has been with us for over 45 years. Sammy Aaron, our Vice Chairman and President, joined us in 2005 when we acquired Marvin Richards, Neal S. Nackman, our Chief Financial Officer, has been with us for over 15 years and Jeffrey Goldfarb, our Executive Vice President, has been with us for almost 20 years. Our leadership team has demonstrated experience in successfully acquiring, managing, integrating and positioning new businesses having completed nine acquisitions and several joint ventures over the last 15 years, while also adding numerous new licenses and licensed products to our portfolio.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Wholesale Operations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Licensed Products</w:t>
      </w:r>
    </w:p>
    <w:p>
      <w:pPr>
        <w:spacing w:after="0" w:line="16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sale of licensed products is a key element of our strategy and we have continually expanded our offerings of licensed products for the past 25 years. Sales of licensed products accounted for 67.2% of our net sales in fiscal 2022, 68.5% of our net sales in fiscal 2021 and 65.6% of our net sales in fiscal 2020.</w:t>
      </w:r>
    </w:p>
    <w:p>
      <w:pPr>
        <w:spacing w:after="0" w:line="108"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Our most significant licensor is Calvin Klein with whom we have license agreements for wholesale sales in the United States and Canada. We have also entered into distribution agreements with respect to Calvin Klein luggage in a number of foreign countries. In June 2019, we expanded our relationship with Calvin Klein by entering into a license agreement with an initial term of five years for the design, production and wholesale distribution of </w:t>
      </w:r>
      <w:r>
        <w:rPr>
          <w:rFonts w:ascii="Times New Roman" w:cs="Times New Roman" w:eastAsia="Times New Roman" w:hAnsi="Times New Roman"/>
          <w:sz w:val="18"/>
          <w:szCs w:val="18"/>
          <w:i w:val="1"/>
          <w:iCs w:val="1"/>
          <w:color w:val="auto"/>
        </w:rPr>
        <w:t>Calvin Klein Jeans</w:t>
      </w:r>
      <w:r>
        <w:rPr>
          <w:rFonts w:ascii="Times New Roman" w:cs="Times New Roman" w:eastAsia="Times New Roman" w:hAnsi="Times New Roman"/>
          <w:sz w:val="18"/>
          <w:szCs w:val="18"/>
          <w:color w:val="auto"/>
        </w:rPr>
        <w:t xml:space="preserve"> women’s jeanswear in the United States and Canada.</w:t>
      </w:r>
    </w:p>
    <w:p>
      <w:pPr>
        <w:spacing w:after="0" w:line="11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 significant relationship with Tommy Hilfiger, with whom we have a multi-category womenswear license in the United States and Canada. This license for women’s sportswear, dresses, suit separates, performance and denim is in addition to our Tommy Hilfiger men’s and women’s outerwear license and Tommy Hilfiger luggage license, both also in the United States and Canada. We recently extended the license agreement with Tommy Hilfiger for apparel, outerwear and luggage through 2025.</w:t>
      </w:r>
    </w:p>
    <w:p>
      <w:pPr>
        <w:spacing w:after="0" w:line="11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own a 49% interest in a joint venture that owns the trademarks for the Karl Lagerfeld brand in North America. As part of that relationship, we have a license agreement with the joint venture for the Karl Lagerfeld Paris brand in North America, pursuant to which we produce and distribute women’s apparel, women’s footwear, women’s handbags, men’s apparel, men’s footwear, cold weather accessories and luggage under the Karl Lagerfeld Paris brand. In fiscal 2022, we renewed our license agreement with the joint venture for Karl Lagerfeld Paris until 2026.</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Date Current</w:t>
            </w:r>
          </w:p>
        </w:tc>
        <w:tc>
          <w:tcPr>
            <w:tcW w:w="1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Date Potential Renewal</w:t>
            </w:r>
          </w:p>
        </w:tc>
      </w:tr>
      <w:tr>
        <w:trPr>
          <w:trHeight w:val="17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License</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Term Ends</w:t>
            </w:r>
          </w:p>
        </w:tc>
        <w:tc>
          <w:tcPr>
            <w:tcW w:w="15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Term Ends</w:t>
            </w:r>
          </w:p>
        </w:tc>
      </w:tr>
      <w:tr>
        <w:trPr>
          <w:trHeight w:val="196"/>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Fashion Licenses</w:t>
            </w:r>
          </w:p>
        </w:tc>
        <w:tc>
          <w:tcPr>
            <w:tcW w:w="2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2"/>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(Women's dresses)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suits)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(Women's performance 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better sportswear)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(Better luggage)</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handbags and small leather goods)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(Men's and women's swimwear)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Jeans (Women's jeanswear)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Cole Haan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Dockers (Men's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30, 2024</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Guess/Guess?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Guess/Guess? (Women's dresses)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18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Karl Lagerfeld Paris (Women's and men's apparel, women's handbags, women's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2031</w:t>
            </w:r>
          </w:p>
        </w:tc>
      </w:tr>
      <w:tr>
        <w:trPr>
          <w:trHeight w:val="216"/>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men's footwear and luggage)</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Kenneth Cole NY/Reaction Kenneth Cole (Men's and women's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2022</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Levi's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30, 2024</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Tommy Hilfiger (Men's and women's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Tommy Hilfiger (Luggage)</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Tommy Hilfiger (Women's apparel)</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2"/>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Tommy Hilfiger x Leagues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Vince Camuto (Women's dresses)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Margaritaville (Men's and women's apparel)</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2030</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Team Sports Licenses</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Collegiate Licensing Company</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2022</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Major League Baseball</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National Basketball Association</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National Football League</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National Hockey League</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2022</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0"/>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Starter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2029</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continually sought to increase our portfolio of name brands, product offerings and tiers of distribution because we believe that consumers prefer to buy brands they know and brand owners prefer to engage licensees who have a successful track record of developing brands.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our license agreements, we are generally required to achieve minimum net sales of licensed products, pay guaranteed minimum royalties, make specified royalty and advertising payments (usually based on a percentage of net sales of licensed products), and receive prior approval of the licensor as to all design and other elements of a product prior to production. License agreements may also restrict our ability to enter into other license agreements for competing products or acquire businesses that produce competing products without the consent of the licensor. If we do not satisfy any of these requirements or otherwise fail to meet our material obligations under a license agreement, a licensor usually will have the right to terminate our license. License agreements also typically restrict our ability to assign or transfer the agreement without the prior written consent of a licensor and generally provide that a change in control, including as a result of the acquisition of us by another company, is considered to be a transfer of the license agreement that would give a licensor the right to terminate the license unless it has approved the transaction. Our ability to renew a license agreement may be subject to the discretion of the licensor or to attaining minimum sales and/or royalty levels and to our compliance with the provisions of the agreement.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Proprietary Brands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Dating back to the beginning of our company, G-III has sold apparel under its own proprietary brands. Over the years, we developed or acquired brands such as G-III Sports by Carl Banks, Eliza J and Jessica Howard. We also acquired Andrew Marc, an aspirational luxury outerwear brand, G.H. Bass, a well-known heritage brand, and Vilebrequin, a premier swimwear and resort wear brand. In our most significant acquisition, we acquired Donna Karan International, which owns DKNY and Donna Karan, two of the world’s most iconic and recognizable power brands. In October 2021, we acquired European luxury fashion brand Sonia Rykiel. We currently design, manufacture, distribute and sell products under our own proprietary brands, as well as license our proprietary brands in a variety of categories. We continue to seek new licensing opportunities to broaden the reach of these brands.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DKNY and Donna Karan</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own two of the world’s most iconic fashion brands: DKNY and Donna Karan. First launched in 1984, DKNY and Donna Karan design, source, market, retail and distribute collections of women’s and men’s clothing, sportswear, handbags, accessories and shoes under the DKNY and Donna Karan brand names.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DKNY’s and Donna Karan’s significant brand equity, we believe there are opportunities to expand existing categories, launch new initiatives and develop an even stronger licensing and distribution base. We believe that both the DKNY and Donna Karan brands have the potential for significant growth. In addition, we expect increased revenues from licensing and from sales growth across many categories of the business.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DKNY products are designed to provide a total wardrobe for a woman’s active, modern lifestyle. Products developed reflect the DNA of the DKNY brand and emphasize a strong price-value relationship. We believe that DKNY is a premier fashion and lifestyle brand. DKNY products produced by us or by our various licensees are sold through department stores, specialty retailers and online retailers worldwide, as well as through company-operated retail stores, digital sites and international brand partners and distributors. We launched our first DKNY Jeans collection in fiscal 2021 and our DKNY swimwear collection in fiscal 2022.</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that the Donna Karan brand also offers significant growth potential. We re-launched Donna Karan as an aspirational luxury brand that is priced above DKNY and targeted to fine department stores located in the United States, such as Dillard’s, Saks Fifth Avenue, Nordstrom and Bloomingdales, as well as fine department stores internationally.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there are significant opportunities to enhance the digital business of DKNY and Donna Karan, prudently expand the retail store base for DKNY over the long term and capitalize on our industry relationships to ensure premium placement for DKNY and Donna Karan product categories in department and other retail stores nationwide.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Vilebrequin</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Vilebrequin is a premier provider of status swimwear, resort wear and related accessories. Vilebrequin products are sold in over 100 countries around the world. We believe that Vilebrequin has the potential to significantly develop its distribution network worldwide and expand its product offerings. A majority of Vilebrequin’s current revenues are derived from sales in Europe and the United States. As of January 31, 2022, Vilebrequin products were distributed through select wholesale distribution, 96 company-operated stores and 79 licensed stores, located internationally and in the United States, as well as digitally on our websites.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Vilebrequin’s iconic designs and reputation are linked to its French Riviera heritage arising from its founding in St. Tropez over forty years ago. Vilebrequin’s men’s swimwear, which accounts for the majority of its sales, is known for its exclusive prints, wide range of colors, attention to detail, fabric quality and well-designed cuts. In addition to men’s swimwear, Vilebrequin sells a collection of women’s swimwear, children’s swimwear, men’s resort wear, women’s resort wear, children’s resort wear and related accessories including hats, beach bags, beach towels, shoes, sunglasses, watches and pool floats. We believe that Vilebrequin is a powerful brand. We plan to continue adding more company operated and franchised retail locations and increase our wholesale distribution of Vilebrequin products throughout the world.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Sonia Rykiel</w:t>
      </w:r>
    </w:p>
    <w:p>
      <w:pPr>
        <w:spacing w:after="0" w:line="225"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October 2021, we purchased European luxury fashion brand Sonia Rykiel. Sonia Rykiel, who created this iconic brand, was one of the leading figures of Parisian fashion. We plan to accelerate the relaunch of the brand in France in the fall of 2022, and then expand into Europe and other areas. We believe this purchase further enables us to expand into the luxury space and that there is untapped potential for this brand.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Licensing of Proprietary Brands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our portfolio of propriety brands has grown, we have licensed these brands in new categories. We began licensing Andrew Marc, Vilebrequin and G.H. Bass in selected categories after acquiring these brands. Our licensing program has significantly increased as a result of owning the DKNY and Donna Karan brands. We currently license our proprietary brands in a variety of categories and continue to seek new licensing opportunities to broaden the reach of these brands.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strong relationships with category leading license partners, including, but not limited to, Fossil, Marchon, Komar and Inter Parfums. The DKNY and Donna Karan brands have worldwide license agreements for a broad array of products including fragrance, intimates, eyewear, bedding and bath products and women’s sleepwear and loungewear. Additionally, we license the DKNY brand in the United States and internationally for children’s clothing, children’s footwear, men’s and women’s watches, jewelry, men’s tailored clothing, men’s sportswear, men’s dress shirts, men’s underwear, men’s loungewear, men’s swimwear, men’s and women’s golfwear, men’s and women’s socks, furniture and digital clothing (skins).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2021, we entered into a long-term global licensing agreement with Inter Parfums, Inc. for the creation, development and distribution of fragrances and fragrance-related products under the DKNY and Donna Karan brands. Inter Parfums, Inc. will become the exclusive licensee for these products effective July 1, 2022 with the initial term of the license extending through December 31, 2032. We believe the fragrance category enables our brands to connect more broadly with global consumers.</w:t>
      </w:r>
    </w:p>
    <w:p>
      <w:pPr>
        <w:spacing w:after="0" w:line="1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intend to continue to focus on expanding licensing opportunities for the DKNY and Donna Karan brands. We believe that we can capitalize on significant, untapped global licensing potential for these brands in a number of categories and we intend to grow royalty streams by expanding existing licenses, as well as through new categories with new licensees.</w:t>
      </w:r>
    </w:p>
    <w:p>
      <w:pPr>
        <w:spacing w:after="0" w:line="9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license the G.H. Bass brand in the United States and internationally for men’s, women’s and children’s footwear, children’s clothing, men’s and women’s graphic t-shirts, men’s denim, men’s underwear and loungewear, and bedding and bath products.</w:t>
      </w:r>
    </w:p>
    <w:p>
      <w:pPr>
        <w:spacing w:after="0" w:line="9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license the Vilebrequin brand internationally for a denim line and the Andrew Marc brand in North America for men’s and boy’s tailored clothing and men’s and women’s denim.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Retail Operations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2022, our retail operations segment consisted of 60 stores operated under our DKNY and Karl Lagerfeld Paris brands, as well as digital channels for the DKNY, Donna Karan, Karl Lagerfeld Paris, G.H. Bass, Andrew Marc and Wilsons Leather businesses.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June 2020, we commenced a restructuring of our retail operations segment, including the closing of the Wilsons Leather, G.H. Bass and Calvin Klein Performance stores. The closure of these stores was completed during fiscal 2021.</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Part of our restructuring plan includes making significant changes to our DKNY and Karl Lagerfeld retail operations. Our ongoing plan focuses on the operations and growth of our DKNY and Karl Lagerfeld Paris stores, as well as operating our digital business. Our plan is based on the continued strength of the DKNY and Karl Lagerfeld brands, changes in planning and allocation and improvements in gross margin. We expect to reduce administrative costs, while expanding our store base. We need to successfully implement this strategy in order to continue to reduce the losses in our retail operations segment with the goal of ultimately attaining profitability in this segment.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DKNY stores offer a large range of products including sportswear, dresses, suit separates, outerwear, handbags, footwear, intimates, sleepwear, hosiery, watches and eyewear. Our Karl Lagerfeld Paris stores offer a range of products including sportswear, dresses, suit separates, outerwear, handbags and footwear.</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digital sales of apparel continue to increase, we are developing additional digital marketing initiatives on our websites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www.andrewmarc.com, www.wilsonsleather.com and www.soniarykiel.com. We also sell our Karl Lagerfeld Paris products on our website, www.karllagerfeldparis.com. We sell our products over the web through retail partners such as macys.com, nordstrom.com and dillards.com, each of which has a substantial online business. In addition, we sell to leading online retail partners such as Amazon, Fanatics, Zalando and Zappos and have made a minority investment in an e-commerce retailer.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Products — Development and Design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G-III designs, sources and markets women’s and men’s apparel at a wide range of retail price points. Our product offerings primarily include outerwear, dresses, sportswear, swimwear, women’s suits and women’s performance wear. We also market footwear and accessories including women’s handbags, small leather goods, cold weather accessories, and luggage.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G-III’s licensed apparel consists of both women’s and men’s products in a broad range of categories. See “Wholesale Operations — Licensed Products” above. Our strategy is to seek licenses that will enable us to offer a range of products targeting different price points and different distribution channels. We also offer a wide range of products under our own proprietary brands.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work with a diversified group of retail chains, such as Costco, Kohl’s, Ross Stores and Nordstrom in developing product lines that are sold under their private label programs. Our design teams collaborate with our customers to produce custom-made products for department and specialty chain stores. Store buyers may provide samples to us or may select styles already available in our showrooms. We believe we have established a reputation among these buyers for our ability to produce high quality product on a reliable, expeditious and cost-effective basis.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in-house designers are responsible for the design and look of our licensed, proprietary and private label products. We work closely with our licensors to create designs and styles for each of our licensed brands. Licensors generally must approve products to be sold under their brand names prior to production. We maintain a global pulse on styles, using trend services and color services to enable us to quickly respond to style changes in the apparel industry. Our experienced design personnel and our focused use of outside services enable us to incorporate current trends and consumer preferences in designing new products and styles.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design personnel meet regularly with our sales and merchandising departments, as well as with the design and merchandising staffs of our licensors, to review market trends, sales results and the popularity of our latest products. In addition, our representatives regularly attend trade and fashion shows and shop at fashion forward stores in the United States, Europe and the Far East for inspiration. Our designers present their evaluation of the styles expected to be in demand in the United States. We also seek input from selected customers with respect to product design. We believe that our sensitivity to the needs of retailers, coupled with the flexibility of our production capabilities and our continual monitoring of the retail market, enables us to modify designs and order specifications in a timely fashion.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and Sourcing</w:t>
      </w:r>
    </w:p>
    <w:p>
      <w:pPr>
        <w:spacing w:after="0" w:line="229"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G-III’s wholesale operations and retail operations segments arrange for the production of products from independent manufacturers located primarily in Vietnam, China, Indonesia and, to a lesser extent, Jordan, India, Cambodia, Bangladesh, Egypt, Sri Lanka, and Central and South America. Vilebrequin’s products are manufactured primarily in Bulgaria, Morocco, Tunisia, Turkey, Italy and China. A small portion of our garments are manufactured in the United States.</w:t>
      </w:r>
    </w:p>
    <w:p>
      <w:pPr>
        <w:spacing w:after="0" w:line="16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continue to diversify production and implement strategies to further diversify our production base. Inventory sourced by us from Vietnam represented 32.2% of inventory purchased in fiscal 2022 compared to 36.2% in fiscal 2021 and 24.6% in fiscal 2020. Inventory sourced by us from China represented 34.2% of inventory purchased in fiscal 2022 compared to 32.8% in fiscal 2021 and 49.5% in fiscal 2020. Our experienced production teams in Vietnam, China and the Middle East support our efforts to further develop quality production partners in South East Asia and Africa.</w:t>
      </w:r>
    </w:p>
    <w:p>
      <w:pPr>
        <w:spacing w:after="0" w:line="183"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We currently have representative offices in Hangzhou, Nanjing and Dongguan, China, as well as in Hong Kong, Vietnam, Indonesia, Bangladesh, and Jordan. These offices act as our liaison with manufacturers in the Far East. G-III’s headquarters provides these liaison offices with production orders stating the quantity, quality, delivery time and types of garments to be produced. The personnel in our liaison offices assist in the negotiation and placement of orders with manufacturers. In allocating production among independent suppliers, we consider a number of criteria, including, but not limited to, compliance, quality, availability of production capacity, pricing and ability to meet changing production requirements.</w:t>
      </w:r>
    </w:p>
    <w:p>
      <w:pPr>
        <w:spacing w:after="0" w:line="17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facilitate better service for our customers and accommodate the volume of manufacturing in the Far East, we also have a subsidiary in Hong Kong. Our Hong Kong subsidiary supports third party production of products on an agency fee basis and acts as an agent for substantially all of our production. Our China and Hong Kong offices monitor production at manufacturers’ facilities to ensure quality control, compliance with our specifications and timely delivery of finished garments to our distribution facilities and, in some cases, direct to our customers.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foreign manufacture of our products, manufacturers purchase raw materials including fabric, wool, leather and other submaterials (such as linings, zippers, buttons and trim) at our direction. Prior to commencing the manufacture of products, samples of raw materials or submaterials are sent to us for approval. We regularly inspect and supervise the manufacture of our products in order to ensure timely delivery, maintain quality control and monitor compliance with our manufacturing specifications. We also inspect finished products at the factory site.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casualty losses arising during shipping.</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is customary, we have not entered into any long-term contractual arrangements with any contractor or manufacturer.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(principally ship, truck or air) based upon a customer’s needs, cost and timing considerations.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Vendor Code of Conduct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committed to ethical and responsible conduct in all of our operations and respect for the rights of all individuals. We strive to ensure that human rights are upheld for all workers involved in our supply chain, and that individuals experience safe, fair and non-discriminatory working conditions. In addition, we are committed to compliance with applicable environmental requirements and are committed to seeing that all of our products are manufactured and distributed in compliance with applicable environmental laws and regulations. We expect that our business partners will share these commitments, which we enforce through our Vendor Code of Conduct. Our Vendor Code of Conduct specifically requires our manufacturers to not use child, forced or involuntary labor and to comply with applicable environmental laws and regulations. We provide training and guidance to the factories our contractors use related to our Vendor Code of Conduct and the applicable laws in the country in which the factory is located. The training provides the factories with a more in-depth explanation of our Vendor Code of Conduct. In addition to the contractual obligation, we evaluate our suppliers' compliance with our Vendor Code of Conduct through audits conducted both by our employees and third-party compliance auditing firms.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success in fiscal 2021 is due to the strong work ethic, flexibility and agility demonstrated by our high performing team in spite of the many challenges we faced. The pandemic forced us to rethink the way we work with one another, and our team adapted to the new work environment. We continue to support them in achieving their professional goals.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January 31, 2022, we employed approximately 2,900 persons on a full-time basis and approximately 700 on a part-time basis. Our need for seasonal associates was significantly reduced with the completion of the restructuring of our retail segment during the prior fiscal year. We employ both union and non-union personnel and believe that our relations with our employees are good. We have not experienced any interruption of our operations due to a labor disagreement with our employees.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an Equal Opportunity Employer with policies, procedures and practices that recognize the value and worth of each individual, covering matters such as safety, training, advancement, discrimination, harassment and retaliation. We provide training on important issues to our personnel. G-III ensures compliance with labor and employment law issues through a variety of processes and procedures, using both internal and external expertise and resources. We continue to work towards achieving a stronger, more engaging workplace and building a foundation for enhancing the employee experience by beginning to redefine our corporate branding to promote our passion for our product, pride in our partnerships, our accountability and our entrepreneurial spirit, which we began to roll out in fiscal 2022. As part of our corporate branding efforts, we launched an enhanced corporate website in March 2022.</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committed to the health and safety of our employees and customers and have taken extra care to protect them throughout the pandemic with continued workplace policies and procedures. As our team re-entered the office, we were thoughtful, yet flexible, in our approach, adjusting days in the office based on the fluctuating levels of COVID-19 cases and the needs of our employees.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 diverse workplace and know that, to succeed, we must become an even more diverse, equitable and inclusive organization. Currently, over 50% of our leadership team and 70% of our overall workforce self-identify as women, and 47% of our overall workforce identify as Black, Indigenous and People of Color (“BIPOC”). Of our twelve Board members, there are three women and two persons of diverse backgrounds, exceeding NASDAQ requirements for board diversity. We recognize that insights and ideas from a diverse range of backgrounds will better position us for the future and continue to work towards increasing Board diversity.</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commitment to Diversity, Equity and Inclusion also extends outside of our business. We are a founding member of the groundbreaking Social Justice Center at the Fashion Institute of Technology, a premier fashion university, whose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purpose is to help establish a program that is intended to increase opportunities and accelerate social equity for BIPOC persons entering our industry for years to come. Additionally, we continued our partnership with UNCF (“United Negro College Fund”) by fully funding ten scholarships worth $10,000 each. In fiscal 2023, we will begin our second year of funding this scholarship program. Both initiatives include opportunities for students to gain firsthand experience working at G-III.</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Diversity, Equity and Inclusion are at the heart of G-III’s values. We strive to create a workplace with opportunities for all.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made progress and intend to continue to do so in the coming years.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Talent Acquisition, Development and Retention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Having the right talent in the organization is one of the most critical aspects of our business. This year we grew our HR team to enhance opportunities focused on hiring, developing and retaining talent. We invested in new HR systems that have laid the foundation for a newly created talent development program and framework for compensation.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Through our aggressive recruiting, we have been able to bring in best-in-class talent. We had several key hires at the company, including a new head of digital, who is building a new team to accelerate the development of our digital function. Further, we hired a new HR executive who will be working on new employee engagement initiatives in the coming year and will focus on enacting our development programs.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Compensation, Benefits, Safety and Wellness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expanded our comprehensive health and retirement benefits to eligible employees this year, most notably, the inclusion of In Vitro Fertility medical treatment, which has already enriched the lives of some of our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spent significant time implementing our key initiatives, developing programs and furthering our Corporate Social Responsibility (“CSR”) agenda.</w:t>
      </w:r>
    </w:p>
    <w:p>
      <w:pPr>
        <w:spacing w:after="0" w:line="160" w:lineRule="exact"/>
        <w:rPr>
          <w:sz w:val="20"/>
          <w:szCs w:val="20"/>
          <w:color w:val="auto"/>
        </w:rPr>
      </w:pPr>
    </w:p>
    <w:p>
      <w:pPr>
        <w:jc w:val="both"/>
        <w:ind w:left="720" w:right="7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Engage Our People </w:t>
      </w:r>
      <w:r>
        <w:rPr>
          <w:rFonts w:ascii="Times New Roman" w:cs="Times New Roman" w:eastAsia="Times New Roman" w:hAnsi="Times New Roman"/>
          <w:sz w:val="18"/>
          <w:szCs w:val="18"/>
          <w:color w:val="auto"/>
        </w:rPr>
        <w:t>– Our teams are continuing to build upon the successes of last year as we ensured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was conducted despite the impact of the pandemic. As our teams re-entered the office, we were thoughtful, yet flexible, in our approach, adjusting days in the office based on the fluctuating levels of COVID-19 cases and the needs of our personnel.</w:t>
      </w:r>
    </w:p>
    <w:p>
      <w:pPr>
        <w:spacing w:after="0" w:line="182" w:lineRule="exact"/>
        <w:rPr>
          <w:sz w:val="20"/>
          <w:szCs w:val="20"/>
          <w:color w:val="auto"/>
        </w:rPr>
      </w:pPr>
    </w:p>
    <w:p>
      <w:pPr>
        <w:jc w:val="both"/>
        <w:ind w:left="700" w:right="59"/>
        <w:spacing w:after="0" w:line="255" w:lineRule="auto"/>
        <w:rPr>
          <w:sz w:val="20"/>
          <w:szCs w:val="20"/>
          <w:color w:val="auto"/>
        </w:rPr>
      </w:pPr>
      <w:r>
        <w:rPr>
          <w:rFonts w:ascii="Times New Roman" w:cs="Times New Roman" w:eastAsia="Times New Roman" w:hAnsi="Times New Roman"/>
          <w:sz w:val="18"/>
          <w:szCs w:val="18"/>
          <w:color w:val="auto"/>
        </w:rPr>
        <w:t>In our supply chain, we made progress on our social compliance programs, as we furthered our auditing of factories producing product for us throughout our global supply chain and rolled out the Social Labor Convergence Program (“SLCP”), after becoming members last year. This program allows companies to share verified audits across the industry, enabling factories to reduce redundancies and focus on making standardized improvements. This program enables G-III to better assist factories in dealing with their most pressing issues, while adding more protections and beneficial programs for workers. In working with our vendors, we tracked a 20% adoption rate which we intend to continue to grow.</w:t>
      </w:r>
    </w:p>
    <w:p>
      <w:pPr>
        <w:spacing w:after="0" w:line="189" w:lineRule="exact"/>
        <w:rPr>
          <w:sz w:val="20"/>
          <w:szCs w:val="20"/>
          <w:color w:val="auto"/>
        </w:rPr>
      </w:pPr>
    </w:p>
    <w:p>
      <w:pPr>
        <w:jc w:val="both"/>
        <w:ind w:left="700" w:right="59"/>
        <w:spacing w:after="0" w:line="231" w:lineRule="auto"/>
        <w:rPr>
          <w:sz w:val="20"/>
          <w:szCs w:val="20"/>
          <w:color w:val="auto"/>
        </w:rPr>
      </w:pPr>
      <w:r>
        <w:rPr>
          <w:rFonts w:ascii="Times New Roman" w:cs="Times New Roman" w:eastAsia="Times New Roman" w:hAnsi="Times New Roman"/>
          <w:sz w:val="18"/>
          <w:szCs w:val="18"/>
          <w:color w:val="auto"/>
        </w:rPr>
        <w:t>We have continued to focus on the forced labor issues facing our industry and have reviewed our relationships in an attempt to protect against the use of forced labor in our supply chain. We formalized an internal cotton traceability program to further mitigate the risk of forced labor being used to produce product for us. This program includes enhancements to management systems, training, and tracking tools across our supply chain. To further bolster our programs against this risk, we engaged ORITAIN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 third-party that uses forensic technology to trace materials back to their fiber origins. We routinely engage with counsel and industry organizations with respect to regulatory developments to ensure our practices and procedures are aligning with the continually developing regulatory landscape. Combined with ORITAIN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’s technology and our internal management systems, we are working to mitigate these global supply chain risks. Taken together, we believe we have developed a strong approach and intend to continue to refine our oversight of our supply chain.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720" w:right="79" w:hanging="319"/>
        <w:spacing w:after="0" w:line="271" w:lineRule="auto"/>
        <w:tabs>
          <w:tab w:leader="none" w:pos="7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Protect Our Environment </w:t>
      </w:r>
      <w:r>
        <w:rPr>
          <w:rFonts w:ascii="Times New Roman" w:cs="Times New Roman" w:eastAsia="Times New Roman" w:hAnsi="Times New Roman"/>
          <w:sz w:val="17"/>
          <w:szCs w:val="17"/>
          <w:color w:val="auto"/>
        </w:rPr>
        <w:t>- We continue to work towards reducing our environmental impact by enacting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sustainable fashion practices. As we work to understand and establish baseline metrics to measure our progress, we are also setting long-term goals. One of our first goals is to adopt the use of 100% recycled materials for all synthetic fibers by 2030. Additionally, we are increasing utilization of sustainable fabrics, which include recycled and organic fibers that are manufactured with less water, chemicals and energy, thus reducing their environmental impact. We began internal training on sourcing to increase use of these more sustainable materials to meet these goals. Additionally, our supply chain expertise is expected to enable us to reach these milestones while minimizing the impact to our bottom line. Our increased engagement with industry groups and the necessary tools we are providing for our teams will assist us in continuing to adapt to help make a better change in the world.</w:t>
      </w:r>
    </w:p>
    <w:p>
      <w:pPr>
        <w:spacing w:after="0" w:line="173" w:lineRule="exact"/>
        <w:rPr>
          <w:sz w:val="20"/>
          <w:szCs w:val="20"/>
          <w:color w:val="auto"/>
        </w:rPr>
      </w:pPr>
    </w:p>
    <w:p>
      <w:pPr>
        <w:jc w:val="both"/>
        <w:ind w:left="70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Invest in Our Communities </w:t>
      </w:r>
      <w:r>
        <w:rPr>
          <w:rFonts w:ascii="Times New Roman" w:cs="Times New Roman" w:eastAsia="Times New Roman" w:hAnsi="Times New Roman"/>
          <w:sz w:val="18"/>
          <w:szCs w:val="18"/>
          <w:color w:val="auto"/>
        </w:rPr>
        <w:t>– For years, G-III has been committed to global corporate citizenship by giving 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we live and serve. Throughout the pandemic, our support has not waivered, and we continue to maximize opportunities to give to and engage with our partners. We are involved with various charitable organizations including Ronald McDonald House, Women In Need (“WIN”), UNCF, Delivering Good, Hetrick Martin Institute and City Harvest. Additionally, G-III gave one of the founding gifts for the new Social Justice Center at the Fashion Institute of Technology. Further, support for our charitable partners included much-needed funds and in-kind products. G-III is committed to continuing its mission to help others in the community through corporate and employee donations and volunteerism.</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we emerge from the global pandemic, our teams are returning to the office and reestablishing the cohesion of a shared workspace and our commitment to our core CSR principles: Engage Our People, Protect Our Environment and Invest in Our Community. They represent a commitment to the greater good and our role in the global community.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Customs and Trade Issues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arrangements with textile manufacturers and suppliers are subject to requisite customs clearances for products and the imposition of export duties. Customs duties on our products presently range from duty free to 37.5%, depending upon the product, composition, construction, country of origin and country of import. A substantial majority of our product is imported into the United States and, to a lesser extent, into Canada and Europe. Countries in which our products are sold may, from time to time, impose new duties, tariffs, surcharges or other import controls or restrictions or adjust prevailing duty or tariff levels. Any action by the executive branch of the United States government to increase tariffs on imported goods, such as the imposition of tariffs on goods manufactured in China, could adversely affect our business.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provisions of the World Trade Organization (“WTO”) agreement governing international trade in textiles, known as the “WTO Agreement on Textiles and Clothing,” the United States and other WTO member countries have eliminated quotas on textiles and apparel-related products from WTO member countries. As a result, quota restrictions generally do not affect our business in most countries.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Apparel and other products sold by us are also subject to regulations that relate to product labeling, content and safety requirements, licensing requirements and flammability testing. We believe that we are in compliance with those regulations, as well as applicable federal, state, local, and foreign regulations relating to the discharge of materials hazardous to the environment.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G-III’s products are sold primarily to department, specialty and mass merchant retail stores in the United States. We sell to approximately 1,200 customers, ranging from national and regional chains to small specialty stores. We also distribute our products through our retail stores and through digital channels for the DKNY, Donna Karan, G.H. Bass, Vilebrequin, Andrew Marc, Karl Lagerfeld Paris, Wilsons Leather and Sonia Rykiel businesses, as well as the digital channels of our retail partners such as Macy’s, Nordstrom, Amazon, Fanatics, Zalando and Zappos.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to our ten largest customers accounted for 78.0% of our net sales in fiscal 2022, 73.3% of our net sales in fiscal 2021 and 72.4% of our net sales in fiscal 2020. Sales to Macy’s, which includes sales to its Macy’s and Bloomingdale’s store chains, as well as through macys.com, accounted for an aggregate of 23.9% of our net sales in fiscal 2022, 20.9% of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fiscal 2021 and 26.3% of our net sales in fiscal 2020. Sales to TJX Companies accounted for an aggregate of 14.8% of our net sales in fiscal 2022, 12.9% of our net sales in fiscal 2021 and 13.2% of our net sales in fiscal 2020. In addition, sales to Ross Stores accounted for an aggregate of 12.7% of our net sales in fiscal 2022, 9.4% of our net sales in fiscal 2021 and 7.0% of our net sales in fiscal 2020. The loss of any of these customers or a significant reduction in purchases by our largest customers could have a material adverse effect on our results of operations.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substantial majority of our sales are made in the United States. We also sell our products to customers in Canada, Central America, South America, Europe, the Middle East, the Far East and Australia, which, on a combined basis, accounted for approximately 14.5% of our net sales in fiscal 2022, 14.6% of our net sales in fiscal 2021 and 12.2% of our net sales in fiscal 2020.</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products are sold primarily through our direct sales force along with our principal executives who are also actively involved in the sale of our products. Some of our products are also sold by independent sales representatives located throughout the United States. The Canadian market is serviced by a sales and customer service team based both in the United States and in Canada. Vilebrequin products are sold through a direct sales force primarily located across Europe. Sales outside of the United States and Canada may be managed by our salespeople located in our sales offices in Europe or Asia depending on the customer.</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Brand name products sold by us pursuant to a license agreement are promoted by institutional and product advertisements placed by the licensor. Our license agreements generally require us to pay the licensor a fee, based on a percentage of net sales of licensed product, to pay for a portion of these advertising costs. We may also be required to spend a specified percentage of net sales of a licensed product on advertising placed by us.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marketing and press efforts on behalf of the DKNY and Donna Karan brands are highly focused around communicating brand DNA and visual identity for the new evolution of DKNY and Donna Karan. We are re-building the brand image through high impact ad campaigns that feature socially relevant talent. We are striving to create noteworthy marketing initiatives, collaborations and image programs to build brand awareness and bring in a new young customer. Donna Karan and DKNY will continue to support global licensees with brand campaigns and product images to tell the brand story. We expect to invest in digital media and storytelling for brand amplification and to establish comprehensive commercial marketing tools that will support our global wholesale and retail channels.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Vilebrequin’s marketing efforts have been based on continually offering new swimwear prints and expanding the range of its products to new categories such as women’s swimwear, ready-to-wear and accessories. Besides its traditional advertising networks (print and outdoor advertising), Vilebrequin is seeking to develop new marketing channels through the use of digital media, product placement and public relations. Through the growth of its network of stores, distributors and franchisees, Vilebrequin is seeking to reinforce its position in its traditional markets, such as the United States, Europe and the Middle East, and to develop new markets in Asia.</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we have developed awareness of our other owned labels primarily through our reputation, consumer acceptance and the fashion press. We primarily rely on our reputation and relationships to generate business in the private label portion of our wholesale operations segment. We believe we have developed a significant customer following and positive reputation in the industry as a result of, among other things, our standards of quality control, on-time delivery, competitive pricing and willingness and ability to assist customers in their merchandising of our products.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digital sales of apparel continue to increase, we are developing initiatives to increase our digital presence through our own websites and through the websites of our retail partners. We are working closely with our retail partners to provide consumers with a high quality viewing experience for our products. We are also working to increase our digital sales through marketing, social influencers and other online drivers of sales.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Retail sales of apparel have traditionally been seasonal in nature. Historically, our wholesale business has been dependent on our sales during our third and fourth fiscal quarters. Net sales during the third and fourth quarters accounted for approximately 64% of our net sales in fiscal 2022, 66% of our net sales in fiscal 2021 and 60% of our net sales in fiscal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2020. We are highly dependent on our results of operations during the second half of our fiscal year. The second half of the year is expected to continue to provide a larger amount of our net sales and a substantial majority of our net income for the foreseeable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own some of the trademarks used by us in connection with our wholesale operations segment, as well as almost all of the trademarks used in our retail operations segment. We act as licensee of certain trademarks owned by third parties that are used in connection with our business. The principal brands that we license are summarized under the heading “Wholesale Operations – Licensed Products” above. We also use the licensed Karl Lagerfeld Paris brand in our retail operations segment. We own a number of proprietary brands that we use in connection with our business and products including, among others, DKNY, Donna Karan, Vilebrequin, G.H. Bass, Andrew Marc, Marc New York, Eliza J, Jessica Howard, Wilsons Leather, Sonia Rykiel and G-III Sports by Carl Banks. We have registered, or applied for registration of, many of our trademarks in multiple jurisdictions for use on a variety of apparel and related other products.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markets outside of the United States, our rights to some of our trademarks may not be clearly established. In the course of our attempt to expand into foreign markets, we may experience conflicts with various third parties who have acquired ownership rights in certain trademarks that would impede our use and registration of some of our trademarks. Such conflicts may arise from time to time as we pursue international expansion. Although we have not in the past suffered any material restraints or restrictions on doing business in desirable markets or in new product categories, we cannot be sure that significant impediments will not arise in the future as we expand product offerings and introduce additional brands to new markets.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regard our trademarks and other proprietary rights as valuable assets and believe that they have value in the marketing of our products. We vigorously protect our trademarks and other intellectual property rights against infringement.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Morris Goldfarb</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 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Sammy Aaron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Chairman, President and Director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Neal S. Nackman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Goldfarb</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Director</w:t>
            </w:r>
          </w:p>
        </w:tc>
      </w:tr>
    </w:tbl>
    <w:p>
      <w:pPr>
        <w:spacing w:after="0" w:line="177"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Morris Goldfarb </w:t>
      </w:r>
      <w:r>
        <w:rPr>
          <w:rFonts w:ascii="Times New Roman" w:cs="Times New Roman" w:eastAsia="Times New Roman" w:hAnsi="Times New Roman"/>
          <w:sz w:val="18"/>
          <w:szCs w:val="18"/>
          <w:color w:val="auto"/>
        </w:rPr>
        <w:t>is our Chairman of the Board and Chief Executive Officer, as well as one of our directors. Mr. Goldfarb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an executive officer of G-III and our predecessors since our formation in 1974.</w:t>
      </w:r>
    </w:p>
    <w:p>
      <w:pPr>
        <w:spacing w:after="0" w:line="158"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Sammy Aaron </w:t>
      </w:r>
      <w:r>
        <w:rPr>
          <w:rFonts w:ascii="Times New Roman" w:cs="Times New Roman" w:eastAsia="Times New Roman" w:hAnsi="Times New Roman"/>
          <w:sz w:val="18"/>
          <w:szCs w:val="18"/>
          <w:color w:val="auto"/>
        </w:rPr>
        <w:t>is our Vice Chairman and President, as well as one of our directors. He has served as an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we acquired the Marvin Richards business in July 2005. Mr. Aaron is also the Chief Executive Officer of our Calvin Klein divisions.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Neal S. Nackman </w:t>
      </w:r>
      <w:r>
        <w:rPr>
          <w:rFonts w:ascii="Times New Roman" w:cs="Times New Roman" w:eastAsia="Times New Roman" w:hAnsi="Times New Roman"/>
          <w:sz w:val="18"/>
          <w:szCs w:val="18"/>
          <w:color w:val="auto"/>
        </w:rPr>
        <w:t>has been our Chief Financial Officer since September 2005 and was elected Treasurer in April 2006.</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Nackman served as Vice President — Finance from December 2003 until April 2006.</w:t>
      </w:r>
    </w:p>
    <w:p>
      <w:pPr>
        <w:spacing w:after="0" w:line="20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Jeffrey Goldfarb </w:t>
      </w:r>
      <w:r>
        <w:rPr>
          <w:rFonts w:ascii="Times New Roman" w:cs="Times New Roman" w:eastAsia="Times New Roman" w:hAnsi="Times New Roman"/>
          <w:sz w:val="18"/>
          <w:szCs w:val="18"/>
          <w:color w:val="auto"/>
        </w:rPr>
        <w:t>has been our Executive Vice President and Director of Strategic Planning since June 2016, and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our directors. He has been employed by G-III in a number of other capacities since 2002. Prior to becoming Executive Vice President, he served as our Director of Business Development for more than five years. Jeffrey Goldfarb is the son of Morris Goldfarb.</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following risk factors should be read carefully in connection with evaluating our business and the forward-looking statements contained in this Annual Report on Form 10-K.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 The risks discussed below also include forward-looking statements, and our actual results may differ substantially from those discussed in these forward-looking statements. Furthermore, the COVID-19 pandemic (including federal, state and local governmental responses, broad economic impacts and market disruptions) has heightened risks discussed in the risk factors described in this Annual Report on Form 10-K.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global health crisis caused by the COVID-19 pandemic has had, and the current and uncertain future outlook of the outbreak may continue to have, a significant adverse effect on our business, financial condition and results of operations.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 novel strain of coronavirus, commonly referred to as COVID-19, spread rapidly across the globe beginning in December 2019, including throughout all major geographies in which we operate (North America, Europe and Asia), resulting in adverse economic conditions and business and global supply chain disruptions, as well as significant volatility in global financial markets. Governments worldwide have imposed varying degrees of preventative and protective actions, such as temporary travel bans, forced business closures and stay-at-home orders, all in an effort to reduce the spread of the virus. Such actions, among others, resulted in a significant decline in retail traffic, tourism and consumer spending on discretionary items. Additionally, during this period of uncertainty, companies across a wide array of industries implemented various initiatives to reduce operating expenses and preserve cash balances, including work furloughs and reduced pay, which could lower consumers’ disposable income levels or willingness to purchase discretionary items such as apparel. Most operating restrictions on our stores were lifted during fiscal 2022, although customer traffic continued to be reduced compared to pre-pandemic levels. Additionally, during fiscal 2022, there were periodic incidents of a resurgence in the number of cases of COVID-19 and its variants in the U.S. and certain other parts of the world, which caused business disruptions for us and/or our wholesale customers, suppliers and vendors. Even as government restrictions and company initiatives have been lifted or significantly reduced, consumer behavior, spending levels and/or shopping preferences, such as willingness to congregate in shopping centers or other populated locations, could be adversely affected.</w:t>
      </w:r>
    </w:p>
    <w:p>
      <w:pPr>
        <w:spacing w:after="0" w:line="19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COVID-19 pandemic has had, and will likely continue to have, a significant adverse effect on our business, financial condition, and results of operations. The effects of COVID-19 could affect our ability to successfully operate in many ways, including, but not limited to, the following factors:</w:t>
      </w:r>
    </w:p>
    <w:p>
      <w:pPr>
        <w:spacing w:after="0" w:line="176" w:lineRule="exact"/>
        <w:rPr>
          <w:sz w:val="20"/>
          <w:szCs w:val="20"/>
          <w:color w:val="auto"/>
        </w:rPr>
      </w:pPr>
    </w:p>
    <w:p>
      <w:pPr>
        <w:jc w:val="both"/>
        <w:ind w:left="720" w:right="79" w:hanging="319"/>
        <w:spacing w:after="0" w:line="255"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the economies and financial markets of the countries and regions in which we operate, including a potential global recession, a decline in consumer confidence and spending, or an increase in unemployment levels, has resulted, and could continue to result, in consumers having less disposable income and, in turn, decreased sales of our products;</w:t>
      </w:r>
    </w:p>
    <w:p>
      <w:pPr>
        <w:spacing w:after="0" w:line="2"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online shopping and by other digital means, or other changes in consumer behavior, have been accelerated by COVID-19 and could adversely affect our sales;</w:t>
      </w:r>
    </w:p>
    <w:p>
      <w:pPr>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wholesale customers to whom we extend credit to pay amounts owed to us on time, or at all, particularly if such customers are significantly impacted by COVID-19;</w:t>
      </w:r>
    </w:p>
    <w:p>
      <w:pPr>
        <w:jc w:val="both"/>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promotional retail environment or our ability to move existing inventory, which may cause us to lower our prices, sell existing inventory at larger discounts than in the past, or write-down the value of inventory, and increase the costs and expenses of updating and replacing inventory, negatively impacting our margins;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social distancing measures and general consumer behaviors due to the COVID-19 pandemic may continue to impact mall and store traffic and that the re-occurrence of COVID-19 outbreaks or the fear of additional outbreaks could cause governments to impose additional restrictions and customers to avoid public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61" w:lineRule="auto"/>
        <w:rPr>
          <w:sz w:val="20"/>
          <w:szCs w:val="20"/>
          <w:color w:val="auto"/>
        </w:rPr>
      </w:pPr>
      <w:r>
        <w:rPr>
          <w:rFonts w:ascii="Times New Roman" w:cs="Times New Roman" w:eastAsia="Times New Roman" w:hAnsi="Times New Roman"/>
          <w:sz w:val="18"/>
          <w:szCs w:val="18"/>
          <w:color w:val="auto"/>
        </w:rPr>
        <w:t>places, such as malls and outlets, where the retail stores of our wholesale customers and our stores are located; and</w:t>
      </w:r>
    </w:p>
    <w:p>
      <w:pPr>
        <w:jc w:val="both"/>
        <w:ind w:left="720" w:right="7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number of personnel working offsite may make our business more vulnerable to cybersecurity breach attempts, and, this period of uncertainty could result in an increase in phishing and other scams, fraud, money laundering, theft and other criminal activity.</w:t>
      </w:r>
    </w:p>
    <w:p>
      <w:pPr>
        <w:spacing w:after="0" w:line="18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Restrictions on travel and group gatherings, the closing or reduced operation of restaurants, sports leagues and forms of communal entertainment and the fear of contracting COVID-19 have materially adversely affected store traffic and retail sales. Most retail store chains and shopping malls operated on a reduced basis during the second half of fiscal 2021 compared to pre-pandemic operations. The onset of additional COVID-19 waves threatens future periods of mandated store closures and additional restrictions on consumers that would limit commercial behavior. Certain states and cities reacted to the COVID-19 pandemic by instituting quarantines, restrictions on travel, “shelter in place” rules and phased reopenings. While the substantial majority of these restrictions have since expired, others have been reinstated in certain states or cities which saw a new spike in COVID-19 cases. Such restrictions could be reinstated in the same or other areas as COVID-19 cases increase which could result in additional retail store restrictions or closures. If the retail economy weakens and/or consumers reduce purchases in the near or long-term as a result of the negative effects of on the U.S. and worldwide economies caused by COVID-19, retailers may need to reduce or limit store operations, close additional stores and be more cautious with orders. A slowing or changing economy as a result of the COVID-19 outbreak, and any governmental restrictions imposed in the United States and around the world as a result thereof, would adversely affect the financial health of our retail, distributor and joint venture partners, which in turn could have an adverse effect on our business, results of operations and financial condition.</w:t>
      </w:r>
    </w:p>
    <w:p>
      <w:pPr>
        <w:spacing w:after="0" w:line="19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COVID-19 pandemic is ongoing, and its dynamic nature, including uncertainties relating to the geographic spread of the virus and its variants, the severity of the disease, the duration of any outbreak, the restrictive actions that are being taken by governmental authorities in the United States and around the world to contain an outbreak or to treat its impact, as well as the uncertainty associated with the timing and efficacy of efforts in the United States and around the world to vaccinate people against COVID-19, makes it difficult to forecast its effects on our fiscal 2023 results. Our results of operations for fiscal 2021 reflected the significant impacts of the COVID-19 pandemic. While our results improved in fiscal 2022, there could be adverse impacts in fiscal 2023. It is difficult, if not impossible, at this time to predict the magnitude of the effect of the COVID-19 outbreak on our business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Our Wholesale Operations</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maintain our material license agreements could cause us to lose significant revenues and have a material adverse effect on our results of operations.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dependent on sales of licensed products for a substantial portion of our revenues. In fiscal 2022, net sales of licensed product accounted for 67.2% of our net sales compared to 68.5% of our net sales in fiscal 2021 and 65.6% of our net sales in fiscal 2020.</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generally required to achieve specified minimum net sales, make specified royalty and advertising payments and receive prior approval from the licensor as to all design and other elements of each product prior to production. License agreements also may restrict our ability to enter into other license agreements for competing products or acquire businesses that produce competing products without the consent of the licensor. If we do not satisfy any of the material requirements of a license agreement or receive approval with respect to a restricted transaction, a licensor will usually have the right to terminate our license. Even if a licensor does not terminate our license, the failure to achieve net sales sufficient to cover our required minimum royalty payments could have a material adverse effect on our results of operations. If a license contains a renewal option, there are usually minimum net sales and other conditions that must be met in order to be able to renew. If a license does not contain a renewal option, and we desire to renew the license, we must negotiate renewal terms with the licensor. However, even if we comply with all of the terms of a license agreement, we cannot guarantee that we will be able to renew an agreement when it expires even if we desire to do so as a licensor may decide to manufacture the licensed products itself or engage a new licensee for the products. The failure to maintain or renew our material license agreements could cause us to lose significant revenue and have a material adverse effect on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adverse change in our relationship with PVH and its Calvin Klein or Tommy Hilfiger brands would have a material adverse effect on our results of operations.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January 31, 2022, we have license agreements relating to a variety of products sold under the Calvin Klein and Tommy Hilfiger brands, both of which are owned by PVH. Net sales of these two brands owned by PVH constituted approximately 50.7% of our net sales in fiscal 2022 and approximately 53.5% of our net sales in fiscal 2021. Any adverse change in our relationship with PVH or in the reputation of Calvin Klein or Tommy Hilfiger, or our inability to renew licenses for either the Calvin Klein or Tommy Hilfiger brands as their current terms end, would have a material adverse effect on our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the strategies and reputation of our licensors.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strive to offer our products on a multiple brand, multiple channel and multiple price point basis. As a part of this strategy, we license the names and brands of numerous recognized companies and designers. In entering into these license agreements, we plan our products to be targeted towards different market segments based on consumer demographics, design, suggested pricing and channel of distribution. In addition to granting us a license to produce and sell products, our licensors typically produce and sell their own products and may also grant licenses to third parties to produce and sell products. If any of our licensors decides to “reposition” its products under the brands we license from them, introduce similar products under similar brand names or otherwise change the parameters of design, pricing, distribution, target market or competitive set, we could experience a significant downturn in that brand’s business, adversely affecting our sales and profitability. Further, we are unable to control the quality of the products produced by our licensors and their other licensees. If they do not maintain the quality of their goods, the brand image may be adversely affected, which could also affect our sales and profitability. In addition, as licensed products may be personally associated with designers, our sales of those products could be materially and adversely affected if any of those individuals’ images, reputations or popularity were to be negatively impacted.</w:t>
      </w:r>
    </w:p>
    <w:p>
      <w:pPr>
        <w:spacing w:after="0" w:line="18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success of our products could be harmed if we are unable to maintain or enhance the images of our proprietary brands.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growth of our proprietary brands, their favorable images and our customers’ connection to our brands has contributed to our success. Our proprietary brands include the DKNY and Donna Karan brands, G.H. Bass, Vilebrequin, Andrew Marc and Wilsons Leather, among others, including the recently acquired Sonia Rykiel brand. In addition, brand value is based in part on consumer perceptions of a variety of qualities, including merchandise quality and corporate integrity. Negative claims or publicity regarding G-III, our brands, our products or the failure, on the part of G-III or our employees, to maintain the safety, integrity and ethics standards that we set for our operations, as well as those expected of members of our industry could adversely affect our reputation and sales regardless of whether such claims are accurate. Social media, which accelerates the dissemination of information, can increase the challenges of responding to negative claims. Social media influencers or other endorsers of our products could engage in behavior that reflects poorly on our brands and may be attributed to us or otherwise adversely affect us. Any harm to our brands or reputation could adversely affect our business, results of operations or financial condition.</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customers’ buying patterns, as well as the need to provide additional allowances to customers, could have a material adverse effect on our business, results of operations and financial condition. Strategic initiatives undertaken by our customers, including developing their own private labels brands, selling national brands on an exclusive basis or reducing the number of vendors they purchase from, could also impact our sales to these customers. There is a trend among major retailers to concentrate purchasing among a narrowing group of vendors. To the extent that any of our key customers reduces the number of its vendors and, as a result, reduces or eliminates purchases from us, there could be a material adverse effect on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customer concentration, and the loss of one of our large customers could adversely affect our business.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ten largest customers, all of which are department or discount store groups, accounted for approximately 78.0% of our net sales in fiscal 2022, 73.3% of our net sales in fiscal 2021 and 72.4% of our net sales in fiscal 2020, with the Macy’s Inc. group accounting for approximately 23.9% of our net sales in fiscal 2022, 20.9% of our net sales in fiscal 2021 and 26.3% of our net sales in fiscal 2020. TJX Companies accounted for approximately 14.8% of our net sales in fiscal 2022, 12.9% of our net sales in fiscal 2021 and 13.2% of our net sales in fiscal 2020. In addition, Ross Stores accounted for approximately 12.7% of our net sales in fiscal 2022, 9.4% of our net sales in fiscal 2021 and 7.0% of our net sales in fiscal 2020. We expect that these customers will continue to provide a significant percentage of our sales. Reductions in purchases by these customers or other large retailers could adversely affect our sales.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to customers generally occur on an order-by-order basis that may be subject to cancellation or rescheduling by the customer. A decision by our major customers to decrease the amount of merchandise purchased from us, increase the use of their own private label brands, sell a national brand on an exclusive basis or change the manner of doing business with us could reduce our revenues and materially adversely affect our results of operations. The loss of any of our large customers, the reduction in stores operated by a large customer or the bankruptcy or serious financial difficulty of any of our large customers, could have a material adverse effect on us.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Retail Operations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retail operations may continue to incur losses if the revisions to our retail operations do not significantly improve our results of operations.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retail operations segment reported an operating loss of $24.8 million in fiscal 2022, $126.8 million in fiscal 2021 and $74.6 million in fiscal 2020. This segment may continue to report operating losses for the near term even after the completion of the restructuring of our retail operations in fiscal 2021. Our ongoing plan focuses on the operations and growth of our DKNY and Karl Lagerfeld Paris stores, as well as operating our digital business. Our plan is based on the assumed continued strength of the DKNY and Karl Lagerfeld brands, changes in planning and allocation and improvements in gross margin. We expect to reduce administrative costs while expanding our store base. We need to successfully implement this strategy in order to continue to reduce the losses in our retail operations segment with the goal of ultimately attaining profitability in this segment. If we are not successful in implementing and managing our plans with respect to operating our retail business, we may not be able to achieve operating enhancements, sales growth and/or cost reductions, which could adversely impact our business, results of operations and financial condition.</w:t>
      </w:r>
    </w:p>
    <w:p>
      <w:pPr>
        <w:spacing w:after="0" w:line="190"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Restructuring of our retail operations resulted in our incurring charges for impairment of retail assets. We have recorded asset impairments in the past and may be required in the future to record impairments of fixed assets or right-of-use assets or incur other charges relating to our company-operated retail stores.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Impairment testing of our assets related to the operation of our retail stores requires us to make estimates about our future performance and cash flows that are inherently uncertain. These estimates can be affected by numerous factors, including changes in economic conditions, our results of operations, and competitive conditions in the industry. Due to the fixed-cost structure associated with our retail operations, negative cash flows or the closure of a store could result in an impairment of leasehold improvements, operating lease assets, right-of-use assets or other long-lived assets, write-downs of inventory, severance costs, lease termination costs or the loss of working capital, which could adversely impact our business and financial results. We recorded impairments related to our retail operations of $1.1 million, net of gain on lease modifications, in fiscal 2022, $16.8 million, net of gain on lease modifications, in fiscal 2021, and $19.8 million, net of gain on lease modifications, in fiscal 2020. We may be required to record additional impairments or other charges relating to restructuring our retail operations. The recording of additional impairments or other charges in the future may have a material adverse impact on our business, financial condition and/or future results.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Leasing of significant amounts of real estate exposes us to possible liabilities and losses.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of the stores operated by us are leased. Accordingly, we are subject to all of the risks associated with leasing real estate. Store leases generally require us to pay a fixed minimum rent and a variable amount based on a percentage of annual sales at that location. We generally cannot cancel our leases. If an existing or future store is not profitable, and we decide to close it, we may be committed to perform certain obligations under the applicable lease including, among other things, paying rent for the balance of the applicable lease term. As each of our leases expires, if we do not have a renewal option, we may be unable to negotiate a renewal on commercially acceptable terms, or at all, which could cause us to close stores in desirable locations. In addition, we may not be able to close an unprofitable store due to an existing operating covenant, which may cause us to operate the location at a loss and prevent us from finding a more desirable location.</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retail stores are heavily dependent on the ability and desire of consumers to travel and shop. A reduction in the volume of outlet mall traffic could adversely affect our retail sales.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Substantially all of the stores in our retail operations segment are operated as outlet stores and located in larger outlet centers, many of which are located in, or near, vacation destinations or away from large population centers where department stores and other traditional retailers are concentrated. Economic uncertainty, increased fuel prices, travel concerns and other circumstances, which would lead to decreased travel, could have a material adverse effect on sales at our outlet stores. Other factors that could affect the success of our outlet stores include:</w:t>
      </w:r>
    </w:p>
    <w:p>
      <w:pPr>
        <w:spacing w:after="0" w:line="183"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of the outlet mall or the location of a particular store within the mall;</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tenants occupying space at the outlet mall;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areas where the outlet malls are located;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economy generally or in a particular area where an outlet mall is located;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to online shopping;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foreign shoppers in the United States;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advertising and promotional dollars spent on attracting consumers to outlet malls.</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Sales at our outlet stores are derived, in part, from the volume of traffic at the malls where our stores are located. In fiscal 2021, traffic at all retail stores was significantly adversely affected by the COVID-19 pandemic. In fiscal 2022, retail store traffic continued to be adversely affected by the COVID-19 pandemic compared to pre-pandemic levels, particularly as a result of international travel restrictions. Although stores have re-opened, we cannot predict if stores will be forced to close again or have their operations restricted, how long store closures or new restrictions would be in effect as a result of additional outbreaks, whether additional outbreaks will affect purchases by consumers at retail stores or how large an effect additional outbreaks will have on retail sales volume.</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outlet stores benefit from the ability of a mall’s other tenants and other area attractions to generate consumer traffic in the vicinity of our stores and the continuing popularity of outlet malls as shopping destinations. Changes in areas around our existing retail locations, including the type and nature of the other retailers located near our stores, that result in reductions in customer foot traffic or otherwise render the locations unsuitable could cause our sales to be less than expected. A reduction in outlet mall traffic as a result of these or other factors could materially adversely affect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business faces distinct risks, and our failure to successfully manage this business could have a negative impact on our profitability.</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investing in our digital business and seeking to increase the amount of business derived from our digital operations. The successful operation and expansion of our digital business, as well as our ability to provide a positive shopping experience that will generate orders and drive subsequent visits, depends on operating an appealing digital platform and providing an efficient and uninterrupted operation of our order-taking and fulfillment operations. Risks associated with our digital business include:</w:t>
      </w:r>
    </w:p>
    <w:p>
      <w:pPr>
        <w:spacing w:after="0" w:line="183" w:lineRule="exact"/>
        <w:rPr>
          <w:sz w:val="20"/>
          <w:szCs w:val="20"/>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or failure of the computer systems, including those of third-party vendors, that operate our digital sites including, among others, inadequate system capacity, computer viruses, human error, changes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61" w:lineRule="auto"/>
        <w:rPr>
          <w:sz w:val="20"/>
          <w:szCs w:val="20"/>
          <w:color w:val="auto"/>
        </w:rPr>
      </w:pPr>
      <w:r>
        <w:rPr>
          <w:rFonts w:ascii="Times New Roman" w:cs="Times New Roman" w:eastAsia="Times New Roman" w:hAnsi="Times New Roman"/>
          <w:sz w:val="18"/>
          <w:szCs w:val="18"/>
          <w:color w:val="auto"/>
        </w:rPr>
        <w:t>programming, security breaches or other cybersecurity concerns, system upgrades or migration of these services to new systems;</w:t>
      </w: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Internet or telecom service or power outages;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computer hardware and software and merchandise deliveries;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technology changes;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deliver products to customers on-time, as ordered and without damage or to satisfy customer expectations;</w:t>
      </w: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or debit card fraud and other payment processing issues;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online content;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privacy concerns and regulations.</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Problems in any of these areas could result in a reduction in sales, increased costs and damage to our reputation and brands, which could adversely affect our business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the Operation of Our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lose the services of our key personnel, or are unable to attract key personnel, our business will be harmed.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success depends on Morris Goldfarb, our Chairman and Chief Executive Officer, and other key personnel. The loss of the services of Mr. Goldfarb and any negative market or industry perception arising from the loss of his services could have a material adverse effect on us and the market price of our common stock. Our other executive officers have substantial experience and expertise in our business and have made significant contributions to our success. The unexpected loss of services of one or more of these individuals or the inability to attract key personnel could also adversely affect us.</w:t>
      </w:r>
    </w:p>
    <w:p>
      <w:pPr>
        <w:spacing w:after="0" w:line="183" w:lineRule="exact"/>
        <w:rPr>
          <w:sz w:val="20"/>
          <w:szCs w:val="20"/>
          <w:color w:val="auto"/>
        </w:rPr>
      </w:pPr>
    </w:p>
    <w:p>
      <w:pPr>
        <w:jc w:val="both"/>
        <w:ind w:left="60" w:right="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expanded our business through acquisitions that could result in diversion of resources, an inability to integrate acquired operations and extra expenses. This could disrupt our business and adversely affect our financial condition.</w:t>
      </w:r>
    </w:p>
    <w:p>
      <w:pPr>
        <w:spacing w:after="0" w:line="13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Part of our growth strategy is to pursue acquisitions. The negotiation of potential acquisitions as well as the integration of acquired businesses could divert our management’s time and resources. Acquired businesses may not be successfully integrated with our operations. We may not realize the intended benefits of an acquisition or an acquisition may fail to generate expected financial results. We also might not be successful in identifying or negotiating suitable acquisitions, which could negatively impact our growth strategy. If acquisitions disrupt our operations, our business may suffer.</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of our operations through joint ventures. Joint ventures could fail to meet our expectations or cease to deliver anticipated benefits. There could also be disagreements with our joint venture partners that could adversely affect our interest a joint venture.</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own 49% of a joint venture that licenses to G-III the right to produce and sell Karl Lagerfeld Paris products in the United States, Mexico and Canada and 75% of a joint venture that licenses the right to produce and sell DKNY and Donna Karan products in China. We may enter into additional joint ventures in the future. Joint ventures involve numerous risks, and could fail to meet our initial or ongoing expectations. The anticipated synergies or other benefits of a joint venture may fail to materialize due to changing business conditions or changes in our business priorities or those of our joint venture partners. Our joint venture partners, as well as any future partners, may have interests that are different from our interests that may result in conflicting views as to the conduct of the business or future direction of the joint venture. In the event that we have a disagreement with a joint venture partner with respect to a particular issue to come before the joint venture, or as to the management or conduct of 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to continue to grow.</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continued growth of our business, including as a result of acquisitions, depends on our access to sufficient funds to support our growth. Our primary source of working capital to support the growth of our operations is our ABL Credit Agreement which extends to August 2025. Our growth is dependent on our ability to continue to be able to extend and, if necessary, increase this credit facility. We also issued Senior Secured Notes in fiscal 2021. While we were able to refinance our debt in fiscal 2021, we cannot be sure we will be able to continue to secure alternative financing on satisfactory terms or at all. The loss of the use of our credit facility or the inability to replace this facility or the Senior Secured Notes when each expires or matures would materially impair our ability to operate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seasonal.</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Retail sales of apparel have traditionally been seasonal in nature. Historically, our wholesale business has been dependent on our sales during the third and fourth quarters. Net sales during the third and fourth quarters accounted for approximately 64% of our net sales in fiscal 2022, 66% of our net sales in fiscal 2021 and 60% of our net sales in fiscal 2020. We are highly dependent on our results of operations during the second half of our fiscal year. Any difficulties we may encounter during this period as a result of weather or disruption of manufacturing or transportation of our products will have a magnified effect on our results of operations for the year. In addition, because of the large amount of outerwear we sell at both wholesale and retail, unusually warm weather conditions during the peak fall and winter outerwear selling season, including as a result of any change in historical climate patterns, could have a material adverse effect on our results of operations. Our quarterly results of operations for our retail business also may fluctuate based upon such factors as the timing of certain holiday seasons, the number and timing of new store openings, the acceptability of seasonal merchandise offerings, the timing and level of markdowns, store closings and remodels, competitive factors, weather and general economic conditions. The second half of the year is expected to continue to have a disproportionate effect on our annual results of operations for the foreseeable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Extreme or unseasonable weather conditions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deliver our products to the market could be disrupted if we encounter problems affecting our logistics and distribution systems.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12529"/>
        </w:rPr>
        <w:t xml:space="preserve">We rely on distribution facilities operated by us or by third parties to transport, warehouse and ship products to our customers. Our logistic and distribution systems include computer-controlled and automated equipment, which may be subject to a number of risks related to security or computer viruses, the proper operation of software and hardware, power interruptions or other system failures. Substantially all of our products are distributed from a few key locations. Therefore, our operations could be interrupted by travel restrictions, earthquakes, </w:t>
      </w:r>
      <w:r>
        <w:rPr>
          <w:rFonts w:ascii="Times New Roman" w:cs="Times New Roman" w:eastAsia="Times New Roman" w:hAnsi="Times New Roman"/>
          <w:sz w:val="18"/>
          <w:szCs w:val="18"/>
          <w:color w:val="000000"/>
        </w:rPr>
        <w:t>floods</w:t>
      </w:r>
      <w:r>
        <w:rPr>
          <w:rFonts w:ascii="Times New Roman" w:cs="Times New Roman" w:eastAsia="Times New Roman" w:hAnsi="Times New Roman"/>
          <w:sz w:val="18"/>
          <w:szCs w:val="18"/>
          <w:color w:val="212529"/>
        </w:rPr>
        <w:t>, fires or other natural disasters near our distribution centers. Our business interruption insurance may not adequately protect us from the adverse effects that could be caused by significant disruptions affecting our distribution facilities. In addition, our distribution capacity is dependent on the timely performance of services by third parties, including the transportation of products to and from our distribution facilities. If we encounter problems affecting our distribution system, our ability to meet customer expectations, manage inventory, complete sales and achieve operating efficiencies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have adversely affected, and could continue to adversely affect, our ability to import our products in a timely manner and our freight costs.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effects of the COVID-19 pandemic on the shipping industry have negatively impacted our ability to import our products in a manner that allows for timely delivery to our customers. Congestion at ports of loading and ports of entry have caused significant delays in deliveries and changes to the itineraries of our steamship carriers. Use of alternate routes or delivery methods would require additional trucking for us and our customers. Truck driver shortages, shortages of truck equipment and the inability of ports to provide reliable pick up times, have also negatively impacted our ability to timely receive goods. If we are unable to mitigate these supply chain disruptions, our ability to meet customer expectations, manage inventory and complete sales could be materially adversely affected.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Contractual shipping rates have increased as a result of increased demand for container space and the logistical delays experienced by the shipping industry. Our costs have increased as a result of higher contractual shipping rates and the need to purchase additional container space on the secondary market at higher spot rates. Terminals are also now imposing additional fees on importers not picking up containers on time, even when equipment and labor shortages negatively affect the ability of importers to pick up in a timely manner.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are unable to secure container space on a vessel due to limited availability, we may experience delays in shipping product from our overseas suppliers and ultimately to our customers. Furthermore, even when we are able to secure space, ports around the world are experiencing congestion, slowing transit times of product through ports of entry which negatively affects our ability to timely receive and deliver product to our retail partners and customers.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we are unable to mitigate these supply chain disruptions, our ability to meet customer expectations, manage inventory and complete sales could be materially adversely affected. In addition, if we are unable to offset higher freight and other costs through product price increases or other measures, our results of operations may be adversely affected.</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availability and quality of materials used in our products could have a material adverse effect on our cost of goods sold and our ability to meet our customers’ demands.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Fluctuations in the price, availability and quality of raw materials used in our products could have a material adverse effect on our cost of sales or our ability to meet the demands of our customers. We compete with numerous entities for supplies of materials and manufacturing capacity. Raw materials are vulnerable to adverse climate conditions, animal diseases and natural disasters that can affect the supply and price of raw materials. We may not be able to pass on all or any portion of higher raw material prices to our customers. Future increases in raw material prices could have an adverse effect on our results of operations.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Any raw material price increase or increase in costs related to the transport of our products could increase our cost of sales and potentially decrease our profitability unless we are able to pass higher prices on to our customers. In addition, if one or more of our competitors is able to reduce its production costs by taking greater advantage of any reductions in raw material prices, favorable sourcing agreements or new manufacturing technologies (which enable manufacturers to produce goods on a more cost-effective basis) we may face pricing pressures from those competitors and may be forced to reduce our prices or face a decline in net sales, either of which could have an adverse effect on our business, results of operations or financial condition.</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inadequately protect, maintain and enforce our trademark and other intellectual property rights, or infringe the intellectual property rights of third parties, our business could be harmed.</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that our trademarks and other proprietary rights are important to our success and our competitive position. We may, however, experience conflict with various third parties who acquire or claim ownership rights in certain trademarks. We cannot be sure that the actions we have taken to establish and protect our trademarks and other proprietary rights will be adequate to protect our rights, or that any of our intellectual property will not be challenged or held invalid or unenforceable, and we may not be able to prevent imitation of our products by others or to prevent others from seeking to block sales of our products as a violation of the trademarks and proprietary rights of others. Our failure to protect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trademarks could diminish the value of our brands, and could cause customer or consumer confusion, which could, in turn, adversely affect the validity of our trademarks and our business, results of operations and financial condition.</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course of our attempts to expand into foreign markets, we may experience conflicts with various third parties who have acquired ownership rights in certain trademarks, which would impede our use and registration of some of our trademarks. Such conflicts are common and may arise from time to time as we pursue international expansion, such as with the international expansion of our DKNY, Donna Karan, Vilebrequin, G.H. Bass, Andrew Marc, Wilsons Leather and Sonia Rykiel businesses. In addition, the laws of certain foreign countries may not protect proprietary rights to the same extent as the laws of the United States. Enforcing rights to our intellectual property may be difficult and expensive, and we may not be successful in combating counterfeit products and stopping infringement of our intellectual property rights, which could make it easier for competitors to capture market share. Counterfeit products may reduce our net sales and may also damage our brands due to their lower quality. If we are unable to protect, maintain or enforce our intellectual property rights against third parties, our business, financial condition and results of operations may be materially adversely affected.</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Furthermore, we cannot be certain that the conduct of our business does not and will not infringe, misappropriate or otherwise conflict with the intellectual property rights of others, and our efforts to enforce our trademark and other intellectual property rights may be met with defenses, counterclaims and countersuits attacking the validity and enforceability of our trademark and other intellectual property rights. Any action to prosecute, enforce or defend any intellectual property claim, regardless of merit or resolution, could be costly and may divert the efforts and attention of our management and technical personnel. We may not prevail in such proceedings given the complex technical issues and inherent uncertainties in intellectual property litigation. If we are found to have infringed, misappropriated or otherwise violated rights of third parties, we could be required to pay substantial damages, obtain licenses, cease the manufacture, use or sale of certain intellectual property, or cease making or selling certain products. There can be no assurance that licenses will be available on commercially reasonable terms, if at all. If we are unsuccessful in protecting and enforcing our intellectual property rights, our brands, business, financial condition and results of operations may be materially adversely affected.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that our licensees may not generate expected sales or maintain the value of our brands.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currently license, and expect to continue licensing, certain of our proprietary rights, such as trademarks, to third parties. If our licensees fail to successfully market and sell licensed products, or fail to obtain sufficient capital or effectively manage their business operations, customer relationships, labor relationships, supplier relationships or credit risks, this could adversely affect our revenues, both directly from reduced royalties received and indirectly from reduced sales of our other products.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also rely on our licensees to help preserve the value of our brand. Although we attempt to protect our brand through approval rights over the design, production processes, quality, packaging, merchandising, distribution, advertising and promotion of our licensed products, we cannot completely control the use of our licensed brand by our licensees. Although we make efforts to police the use of our trademarks by our licensees, we cannot be certain that these efforts will be sufficient to ensure that our licensees abide by the terms of their licenses. In the event that our licensees fail to do so, our trademark rights could be harmed. Moreover, the misuse of our brand by, or negative publicity involving, a licensee, could have a material adverse effect on our brand and on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the Economy and the Apparel Industry</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future economic conditions, including volatility in the financial and credit markets, may adversely affect our business.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Economic conditions have affected, and in the future may adversely affect, the apparel industry and our major customers. Economic conditions have, at times, led to a reduction in overall consumer spending, which could have an adverse impact on sales of our products. A disruption in the ability of our significant customers to access liquidity could cause serious disruptions or an overall deterioration of their businesses which could lead to a significant reduction in their orders of our products and the inability or failure on their part to meet their payment obligations to us, any of which could have a 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adverse effect on our results of operations and liquidity. A significant adverse change in a customer’s financial and/or credit position could also require us to sell fewer products to that customer, assume greater credit risk relating to that customer’s receivables or could limit our ability to collect receivables related to previous purchases by that customer. As a result, our reserves for doubtful accounts and write-offs of accounts receivable may increase.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cyclical nature of the apparel industry and uncertainty over future economic prospects and consumer spending could have a material adverse effect on our results of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apparel industry is cyclical. Purchases of outerwear, sportswear, swimwear, footwear and other apparel and accessories tend to decline during recessionary periods and may decline for a variety of other reasons, including changes in fashion trends and the introduction of new products or pricing changes by our competitors. Retailers have also responded to the shift in the types of apparel purchased by consumers based on their adjusted lifestyle needs resulting from changes to the work environment and leisure activities caused by the COVID-19 pandemic. Uncertainties regarding future economic prospects, including as a result of the COVID-19 pandemic, may affect consumer-spending habits and could have an adverse effect on our results of operations. Weak economic conditions have had a material adverse effect on our results of operations at times in the past and could have a material adverse effect on our results of operations in the future as well.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competitive nature of our industry may result in lower prices for our products and decreased gross profit margins.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apparel business is highly competitive. We have numerous competitors with respect to the sale of apparel, footwear and accessories, including digital websites, distributors that import products from abroad and domestic retailers with established foreign manufacturing capabilities. Many of our competitors have greater financial and marketing resources and greater manufacturing capacity than we do. The general availability of contract manufacturing capacity also allows ease of access by new market entrants. The competitive nature of the apparel industry may result in lower prices for our products and decreased gross profit margins, either of which may materially adversely affect our sales and profitability. Sales of our products are affected by a number of competitive factors including style, price, quality, brand recognition and reputation, product appeal and general fashion trends.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major department, mass merchant and specialty store chains consolidate, continue to close stores or cease to do business, our business could be negatively affected.</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sell our products to major department, mass merchant and specialty store chains. Continued consolidation in the retail industry, as well as store closing or retailers ceasing to do business, could negatively impact our business. Various customers of ours have encountered reductions in operations including Macy’s and Kohl’s, as well as other store chains, that have reduced the number of stores they operated, Lord &amp; Taylor, which closed all of its stores, and JC Penney and Christopher &amp; Banks, each of which filed for bankruptcy. Store closings could adversely 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 space allocated to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spacing w:after="0" w:line="19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war, acts of terrorism, natural disasters or public health crises could adversely affect our business and results of operations.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current war in Ukraine and the continued threat of terrorism, heightened security measures and military action in response to acts of terrorism or civil unrest has, at times, disrupted commerce and intensified concerns regarding the United States and world economies. Any further acts of terrorism or new or extended hostilities may disrupt commerce and undermine consumer confidence, which could negatively impact our sales and results of operations. Similarly,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occurrence of one or more natural disasters, such as hurricanes, fires, floods or earthquakes, or public health crises, such as the COVID-19 pandemic, could result in the closure of one or more of our distribution centers, our corporate headquarters or a significant number of stores or impact one or more of our key suppliers. The world economy has experienced increases in energy prices, as well as shortages, as a result of the impact of the pandemic and the war in Ukraine. These types of events could result in additional increases in energy prices or shortages, the temporary or long-term disruption in the supply of product, disruption in the transport of product from overseas, delay in the delivery of product to our factories, our customers or our stores and disruption in our information and communication systems. Accordingly, these types of events could have a material adverse effect on our business and our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foreign manufacturers.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do not own or operate any manufacturing facilities. We also do not have long-term written agreements with any of our manufacturers. As a result, any of these manufacturers may unilaterally terminate its relationship with us at any time. Almost all of our products are imported from independent foreign manufacturers. The failure of these manufacturers to meet required quality standards could damage our relationships with our customers. In addition, the failure by these manufacturers to ship products to us in a timely manner could cause us to miss the delivery date requirements of our customers. The failure to make timely deliveries could cause customers to cancel orders, refuse to accept delivery of products or demand reduced prices.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our arrangements with foreign manufacturers subject us to risks of engaging in business abroad, including currency fluctuations, political or labor instability and potential import restrictions, duties and tariffs. We do not maintain insurance for the potential lost profits due to disruptions of our overseas manufacturers. Because our products are produced abroad, most significantly in Vietnam and China, political or economic instability in Vietnam, China or elsewhere could cause substantial disruption in the business of our foreign manufacturers. Products sourced from Vietnam represented approximately 32.2% of our inventory purchased in fiscal 2022, 36.2% of our inventory purchased in fiscal 2021 and 24.6% of our inventory purchased in fiscal 2020. Products sourced from China represented approximately 34.2% of our inventory purchased in fiscal 2022, 32.8% of our inventory purchased in fiscal 2021 and 49.5% of our inventory purchased in fiscal 2020.</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While we source our products from many different manufacturers, we rely on a few manufacturers for a significant amount of our products. In fiscal 2022, we sourced 35.5% and 17.1% of our purchases from two different vendors in Vietnam and in fiscal 2021, we sourced 10.7% of our purchases from one vendor in Vietnam. In fiscal 2022, we sourced 19.4% of our purchases from one vendor in China. The loss of key vendors or a disruption in receipt of products from key vendors could adversely affect our ability to deliver goods to our customers on time and in the requested quantities.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also dependent on these manufacturers for compliance with our policies and the policies of our licensors and customers regarding labor practices employed by factories that manufacture product for us. Any failure by these manufacturers to comply with required labor standards or any other divergence in their labor or other practices from those generally considered ethical in the United States and the potential negative publicity relating to any of these events, could result in a violation by us of our license agreements, and harm us and our reputation. In addition, a manufacturer’s failure to comply with safety or content regulations and standards could result in substantial liability and harm to our reputation.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the European market exposes us to uncertain economic conditions in the Euro zone.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Demand for our products depends in part on the general economic conditions affecting the countries in which we do business. We are attempting to expand our presence in the European markets, including for our DKNY, Donna Karan and Vilebrequin businesses, as well as for our recently acquired Sonia Rykiel brand. The economy in Europe is uncertain and potentially affected by the war in Ukraine and the impacts of the COVID-19 pandemic. Financial instability in Europe could adversely affect our European operations and, in turn, could have a material adverse effect on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foreign currency exposures relating to buying and selling in currencies other than the U.S. dollar, our functional currency.</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foreign currency exposure related to foreign denominated revenues and costs, which must be translated into U.S. dollars. Fluctuations in foreign currency exchange rates may adversely affect our reported earnings and the comparability of period-to-period results of operations. In addition, while certain currencies (notably the Hong Kong dollar and Chinese Renminbi) are currently managed in value in relation to the U.S. dollar by foreign central banks or governmental entities, such conditions may change, thereby exposing us to various risks as a result.</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of our foreign operations purchase products from suppliers denominated in U.S. dollars and Euros, which may expose such operations to increases in cost of goods sold (thereby lowering profit margins) as a result of foreign currency fluctuations. Our exposures are primarily concentrated in the Euro. Changes in currency exchange rates may also affect the relative prices at which we and our foreign competitors purchase and sell products in the same market and the cost of certain items required in our operations. In addition, certain of our foreign operations have receivables or payables denominated in currencies other than their functional currencies, which exposes such operations to foreign exchange losses as a result of foreign currency fluctuations. Such fluctuations in foreign currency exchange rates could have an adverse effect on our business, results of operations and financial condition. We are not currently engaged in any hedging activities to protect against currency risks. If there is downward pressure on the value of the dollar, our purchase prices for our products could increase. We may not be able to offset an increase in product costs with a price increase to our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numerous risks associated with international operations.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ability to capitalize on the potential of our international operations, including to realize the benefits of our DKNY, Donna Karan and Vilebrequin businesses, or of our newly acquired Sonia Rykiel brand, and successfully expand into international markets, is subject to risks associated with international operations. These include:</w:t>
      </w:r>
    </w:p>
    <w:p>
      <w:pPr>
        <w:spacing w:after="0" w:line="176"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product requirements;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 relating to privacy and data protection, including with respect to the collection, use and processing of personal information, particularly in Europe;</w:t>
      </w:r>
    </w:p>
    <w:p>
      <w:pPr>
        <w:ind w:left="720" w:right="79" w:hanging="319"/>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 relating to privacy and data access to, or use of, commercial or personal information, particularly in Europe;</w:t>
      </w: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rigorous protection of intellectual property;</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and other country laws relating to foreign operations, including the Foreign Corrupt Practices Act, which prohibits U.S. companies from making improper payments to foreign officials for the purpose of obtaining or retaining business;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or other barriers in international markets.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also subject to general political and economic risks in connection with our international operations, including:</w:t>
      </w:r>
    </w:p>
    <w:p>
      <w:pPr>
        <w:spacing w:after="0" w:line="225"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terrorist attacks;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economic fluctuations in specific countries or markets.</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Changes in regulatory, geopolitical, social or economic policies and other factors may have a material adverse effect on our international business in the future or may require us to exit a particular market or significantly modify our current business practices.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national security law adopted in Hong Kong may result in disruptions to our business operations in Hong Kong and additional tariffs and trade restrictions.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2020, a new security law was put into effect that changes the way Hong Kong has been governed since the territory was handed over by England to China in 1997. This law increases the power of the central government in Beijing over Hong Kong, limits the civil liberties of residents of Hong Kong and could restrict their ability to conduct business in the same way as in the past on a go forward basis. The U.S. State Department has announced the U.S. would no longer consider Hong Kong to have significant autonomy from China which could end some or all of the U.S. government’s special trade and economic relations with Hong Kong. This may result in disruption to our offices and employees located in Hong Kong, as well as the shipment of our products from Hong Kong. The potential disruption to our business operations in Hong Kong and additional tariffs and trade restrictions could have an adverse impact on our results of operations. To date, no such disruptions have occurred.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Cybersecurity, Data Privacy and Information Technology</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on privacy continue to evolve, and place further limits on how we collect or use customer information could adversely affect our business.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collect, store and process customer information primarily for marketing purposes and to improve the services we provide. There are numerous laws and regulations regarding privacy and the storage, sharing, use, processing, transfer, disclosure and protection of personal data, the scope of which is changing, subject to differing interpretations, and may be inconsistent between states within a country or between countries. For example, the European Union General Data Protection Regulation (“GDPR”) has caused significantly greater compliance burdens and costs for companies with users and operations in the European Union (“EU”) and European Economic Area (“EEA”). Under GDPR, fines of up to 20 million Euros or 4% of a company’s annual global revenues, whichever is greater, can be imposed for violations.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California Consumer Privacy Act (“CCPA”) limits how we may collect, use, and process personal data of California residents. To comply with the CCPA, we made certain changes to our data processing practices and policies but it may require that we further modify our data processing practices and policies and incur substantial compliance-related costs and expenses. California also enacted the California Privacy Rights Act (“CPRA”), effective January 1, 2023, which creates additional obligations regarding consumer data and could increase compliance risks, costs and expenses. Other states may decide to adopt similar privacy laws. Non-compliance with these laws could result in penalties or significant legal liability. Although we make reasonable efforts to comply with all applicable laws and regulations, there can be no assurance that we will not be subject to regulatory action, including fines, in the event of non-compliance. If we fail to comply with these laws and regulations, we may additionally be subject to claims, or other obligations, as well as financial and reputational damage, which could impact our business, financial condition and results of operations.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limitations imposed on the use of customer information by federal, state, local or foreign governments, could have an adverse effect on our future marketing activities. Governmental focus on data security and/or privacy may lead to additional legislation or regulations. As a result, we may have to modify our business to further improve data security and privacy compliance, which would result in increased expenses and operating complexity, or in ways that negatively affect our or our third-party service providers’ business, results of operations or financial condition. To the extent our, or our business partners’, security procedures and protection of customer information prove to be insufficient or inadequate, we may become subject to litigation or other claims, fines, penalties or other obligations, which could expose us to liability and cause damage to our reputation, brand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rules relating to the processing of credit card payments. Failure to comply with these rules could result in an ability to process payments which would adversely affect our retail business.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Because we process and transmit payment card information, we are subject to the Payment Card Industry (“PCI”) Data Security Standard (the “Standard”), and card brand operating rules (“Card Rules”). The Standard is a comprehensive set of requirements for enhancing payment account data security that was developed by the PCI Security Standards Council to help facilitate the broad adoption of consistent data security measures. We are required by Card Rules to comply with the Standard, and our failure to do so may result in fines or restrictions on our ability to accept payment cards. Under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circumstances specified in the Card Rules, we may be required to submit to periodic audits, self-assessments or other assessments of our compliance with the Standard. Such activities may reveal that we have failed to comply with the Standard. If an audit, self-assessment or other test determines that we need to take steps to remediate any deficiencies, such remediation efforts may distract the management team of our retail business and require it to undertake disruptive, costly and time-consuming remediation efforts. In addition, even if we comply with the Standard, there is no assurance that we will be protected from a security breach, which may materially affect our reputation and our ability to conduct our business. Further, changes in technology and processing procedures may result in changes to the Card Rules. Such changes may require us to make significant investments in operating systems and technology that may impact our business. Failure to keep up with changes in technology could result in the loss of business. Failure to comply with the Standard or Card Rules could result in losing certification under the PCI standards and an inability to process payments.</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upgrade, maintain and secure our information systems to support the needs of our organization, this could have an adverse impact on the operation of our business.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rely heavily on information systems to manage operations, including a full range of financial, sourcing, retail and merchandising systems, and regularly make investments to upgrade, enhance or replace these systems. The reliability and capacity of our information systems is critical. The failure of our information technology systems to perform as we anticipate could disrupt our business and could result in transaction errors, processing inefficiencies and the loss of sales and customers, which may have a material adverse effect on our business, financial condition and results of operations to suffer. Despite our preventative efforts, our systems are vulnerable from time to time to damage or interruption from, among other things, security breaches, cyber-attacks, computer viruses, ransomware, power outages, fire, natural disasters, systems failures and other technical malfunctions. Increased cyber-security threats pose a potential risk to the security and viability of our information technology systems, as well as the confidentiality, integrity and availability of the data stored on those systems. If our information technology systems suffer severe damage, disruption or shutdown, by unintentional or malicious actions of employees and contractors or by cyber-attacks, and our business continuity plans do not effectively resolve the issues in a timely manner, we could experience business disruptions, reputational damage, transaction errors, processing inefficiencies, increased overhead costs, excess inventory, product shortages and a loss of important information, causing our business, financial condition and results of operations to be adversely affected. Any disruptions affecting our information systems, or any delays or difficulties in transitioning to new systems or in integrating them with current systems, could have a material adverse impact on the operation of our business. We could also be required to spend significant financial and other resources to remedy the damage caused by a security breach or to repair or replace networks and information systems. In addition, our ability to continue to operate our business without significant interruption in the event of a disaster or other disruption depends in part on the ability of our information systems to operate in accordance with our disaster recovery and business continuity plans.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While we devote significant resources to network security, backup and disaster recovery, enhanced training and other security measures to protect our systems and data, security measures cannot provide absolute security or guarantee that we will be successful in preventing or responding to every breach or disruption on a timely basis. In addition, due to the constantly evolving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 If any of these risks materialize, our reputation and our ability to conduct our business may be materially adversely affected.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collect, process, transmit and store personal, sensitive and confidential information, including our proprietary business information and that of consumers (including users of our websites) and our wholesale partners, distributors, employees, suppliers and business partners. The protection of customer, employee and company data is critical to us. Customers have a high expectation that we will adequately protect their personal information from cyberattack or other security breaches. A significant breach of customer, employee, or company data could damage our reputation and result in lost sales, fines, or lawsuits. The secure processing, maintenance and transmission of this information is critical to our operations and business strategy. Despite our security measures, our information technology and infrastructure may be vulnerable to attacks by hackers or breaches due to employee error, malfeasance or other disruptions. Any such breach or attack could compromise our networks and the information stored there could be accessed, publicly disclosed, lost or stolen.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Because the methods used to obtain unauthorized access change frequently and may not be immediately detected, we may be unable to anticipate these methods or promptly implement preventative measures. Any such access, disclosure or other loss of information could result in legal claims or proceedings, liability under laws that protect the privacy of personal information, disrupt our operations and the services we provide to customers and damage our reputation, which could adversely affect our business, revenues and competitive position. In addition to taking the necessary precautions ourselves, we require that third-party service providers implement reasonable security measures to protect our customers’ identity and privacy. We do not, however, control these third-party service providers and cannot guarantee that no electronic or physical computer break-ins and security breaches will occur in the future.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Tariffs that have been, and might be, imposed by the United States government or a resulting trade war could have a material adverse effect on our results of operations.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Legislation that would restrict the importation or increase the cost of textiles and apparel produced abroad has been periodically introduced in Congress. The enactment of new legislation or international trade regulation, or executive action affecting international textile or trade agreements, could adversely affect our business. International trade agreements that can provide for tariffs and/or quotas can increase the cost and limit the amount of product that can be imported.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cannot predict whether quotas, duties, taxes, or other similar restrictions will be imposed in the U.S., the European Union, Asia, or other countries upon the import or export of our products in the future, or what effect any of these actions would have, if any, on our business, results of operations, and financial condition. Changes in regulatory, geopolitical, social, economic, or monetary policies and other factors may have a material adverse effect on our business in the future, or may require us to exit a particular market or significantly modify our current business practices.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apparel and accessories industry has been impacted by Section 301 tariffs imposed by the United States government on goods imported from China. Tariffs on handbags and leather outerwear imported from China were effective beginning in September 2018. These tariffs initially increased existing duties by 10% of the merchandise cost to us. The level of tariffs on these product categories was later increased to 25% beginning May 10, 2019.</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August 1, 2019, the United States government announced new 10% tariffs that cover the remaining estimated $300 billion of inbound trade from China, including most of our apparel products. On August 23, 2019, the United States government announced that the new tariffs would increase from 10% to 15%. A portion of the new 15% tariffs went into effect on September 1, 2019. Some of the additional tariffs on certain categories of products were delayed until December 15, 2019, but have not yet gone into effect as the United States and China entered into a “phase one” trade agreement in January 2020.</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It is difficult to accurately estimate the impact on our business from these tariff actions or similar actions or when any additional tariffs may become effective. For fiscal 2022, approximately 34.2% of the products that we sold were manufactured in China. For fiscal 2021, approximately 32.8% of the products that we sold were manufactured in China.</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United States government continues to negotiate with China with respect to a “phase two” trade agreement, which could lead to the removal, lowering or postponement of the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reduced our reliance on China by moving production to other countries, including Vietnam and Indonesia. We will continue to explore alternative production partners to further diversify our sourcing network and to reduce our reliance on any one particular country. These efforts may not enable us to offset the adverse effects of any increases in tariffs.</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China’s accession agreement for membership in the World Trade Organization provides that member countries, including the United States, may impose safeguard quotas on specific products. We are unable to assess the potential for future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action by the United States government with respect to any product category in the event that the quantity of imported apparel significantly disrupts the apparel market in the United States. Future action by the United States in response to a disruption in its apparel markets could limit our ability to import apparel and increase our costs.</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audited by the Canadian Border Services Agency (“CBSA”) and are in the process of appealing the CBSA ruling. Loss of this appeal could have an adverse effect on our results of operations.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October 2017, the CBSA issued a final audit report to G-III’s Canadian subsidiary (“G-III Canada”) that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March 2018, G-III Canada provided a bond to guarantee payment to the CBSA for additional duties payable as a result of the reassessment required by the final audit report. We secured a bond in the amount of CAD$26.9 million ($20.9 million) representing customs duty and interest through December 31, 2017 that is claimed to be owed to the CBSA. In March 2018, we amended the duties filed for the month of January 2018 in accordance with the new valuation method. This amount was paid to the CBSA. Beginning February 1, 2018, we began paying duties based on the new valuation method. Cumulative amounts paid and deferred through January 31, 2022, related to the higher dutiable values, were CAD$14.7 million ($11.6 million).</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June 1, 2019, we commenced paying based on the dutiable value of G-III Canada’s imports in Canada based on pre-audit levels. G-III continued to defer the additional duty paid through the month of May 2019 pending the final outcome of the appeal.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CBSA issued its final decision denying the appeal filed by G-III Canada with the President’s Office of the CBSA. G-</w:t>
      </w:r>
    </w:p>
    <w:p>
      <w:pPr>
        <w:spacing w:after="0" w:line="27" w:lineRule="exact"/>
        <w:rPr>
          <w:sz w:val="20"/>
          <w:szCs w:val="20"/>
          <w:color w:val="auto"/>
        </w:rPr>
      </w:pPr>
    </w:p>
    <w:p>
      <w:pPr>
        <w:ind w:left="60" w:right="59" w:hanging="10"/>
        <w:spacing w:after="0" w:line="260" w:lineRule="auto"/>
        <w:tabs>
          <w:tab w:leader="none" w:pos="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filed a Notice of Appeal with the Canadian International Trade Tribunal (the “Tribunal”) further appealing the CBSA decision. A hearing on the appeal was held on December 7, 2021.</w:t>
      </w:r>
    </w:p>
    <w:p>
      <w:pPr>
        <w:spacing w:after="0" w:line="1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our appeal of the audit findings is not successful, we will have to pay the duties and interest that have been secured by the bond. This will result in a charge to our statement of operations for past duties, as well as for the additional duties we deferred or have not paid beginning on February 1, 2018 through the conclusion of the appeal process. In addition, our loss of the appeal could result in increased duties paid in Canada on products imported into Canada and could increase our cost of sales and decrease our profitability unless we are able to pass higher prices on to our customers. This could have an adverse effect on our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legislation or exposure to additional tax liabilities could impact our business.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change in the U.S. presidency and control of Congress last year could result in changes to U.S. tax laws that would have a negative impact on our results of operations. Although we believe our income tax estimates are reasonable, the ultimate outcomes may have a negative impact on our results of operations. Our domestic and international tax liabilities are dependent on the allocation of revenue and expenses in various jurisdictions. Significant judgment is required in determining our global provision for income taxes. Changes in the U.S. federal, state, and international tax legislations can have an adverse impact on our income tax liabilities and effective tax rate.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effective tax rate could be adversely affected by a variety of factors, including changes in our business operations, changes in tax laws or rulings, or developments in government tax examinations. A number of countries are actively pursuing fundamental changes to the tax laws applicable to multinational companies. Furthermore, tax authorities may choose to examine or investigate our tax reporting or tax liability, including an examination of our existing transfer pricing policies. Adverse outcomes from examinations may lead to adjustments to our income tax liabilities or provisions for uncertain tax position reserves.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an adverse impact on our results of operations.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corporate regulation as a public company and failure to comply with applicable regulations could subject us to liability or negatively affect the market price of our securities.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publicly traded company, we are subject to a significant body of regulation, including the reporting requirements of the Exchange Act, the listing requirements of the Nasdaq Global Select Market, the Sarbanes-Oxley Act of 2002 and the Dodd-Frank Wall Street Reform and Consumer Protection Act of 2010. The Securities and Exchange Commission and Nasdaq regularly propose and adopt new regulatory requirements.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internal control over financial reporting required by Section 404 of the Sarbanes-Oxley Act may not prevent or detect misstatements because of certain of its limitations, including the possibility of human error, the circumvention or overriding of controls, or fraud. As a result, even effective internal controls may not provide reasonable assurances with respect to the preparation and presentation of financial statements. We cannot provide assurance that, in the future, our management will not find a material weakness in connection with its annual review of our internal control over financial reporting pursuant to Section 404 of the Sarbanes-Oxley Act. We also cannot provide assurance that we could correct any such weakness to allow our management to assess the effectiveness of our internal control over financial reporting as of the end of our fiscal year in time to enable our independent registered public accounting firm to state that such assessment will have been fairly stated in our Annual Report on Form 10-K or state that we have maintained effective internal control over financial reporting as of the end of our fiscal year. Discovery and disclosure of a material weakness in our internal control over financial reporting could have a material impact on our financial statements and could cause the market price of our securities to decline.</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While we have developed and instituted corporate compliance programs and continue to update our programs in response to newly implemented or changing regulatory requirements, we cannot provide assurance that we are or will be in compliance with all potentially applicable corporate regulations. If we fail to comply with any of these regulations, we could be subject to a range of regulatory actions, fines or other sanctions or litigation.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Risks Relating to Ownership of Our Common Stock</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increased focus by stakeholders on corporate responsibility issues, including those associated with environmental, social and governance issues, could negatively affect our business and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business is susceptible to risks associated with climate change, including through disruption to our supply chain, potentially impacting the production and distribution of our products and availability and pricing of raw materials. There is also increased focus from our stakeholders, including consumers, employees and investors, on corporate responsibility matters associated with environmental, social and governance issues. Although we have announced our corporate responsibility strategy and increased focus on these issues, there can be no assurance that our stakeholders will agree with our strategy or that we will be successful in achieving our goals. Failure to implement our strategy or achieve our goals could damage our reputation, causing our investors or consumers to lose confidence in us and our brands, and negatively impact our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fluctuated significantly and could continue to fluctuate significantly.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Between February 1, 2019 and March 23, 2022, the market price of our common stock has ranged from a low of $2.96 to a high of $43.98 per share. The market price of our common stock may change significantly in response to various factors and events beyond our control, including:</w:t>
      </w:r>
    </w:p>
    <w:p>
      <w:pPr>
        <w:spacing w:after="0" w:line="54"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revenues or those of our competitors as a result of seasonality or other factors;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shortfall in revenues or net income from that expected by securities analysts and investors;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3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the financial performance of our competitors or companies in our industry generally;</w:t>
      </w: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policies by our competitors or our customers;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and trade policies;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adverse effects from the coronavirus outbreak;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our industry;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securities markets.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actual financial results might vary from our publicly disclosed financial forecasts.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we have publicly disclosed financial forecasts. Our forecasts reflect numerous assumptions concerning our expected performance, as well as other factors that are beyond our control and that might not turn out to be correct. As a result, variations from our forecasts could be material. Our financial results are subject to numerous risks and uncertainties, including those identified throughout this “Risk Factors” section and elsewhere in this Annual Report on Form 10-K and in the documents incorporated by reference in this Annual Report. If our actual financial results are worse than our financial forecasts or forecasts provided by outside investment analysts, or others, the price of our common stock may decline. </w:t>
      </w:r>
      <w:r>
        <w:rPr>
          <w:rFonts w:ascii="Times New Roman" w:cs="Times New Roman" w:eastAsia="Times New Roman" w:hAnsi="Times New Roman"/>
          <w:sz w:val="18"/>
          <w:szCs w:val="18"/>
          <w:color w:val="212529"/>
        </w:rPr>
        <w:t>Investors who rely on these predictions when making investment decisions with respect to our securities do 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at their own risk. We take no responsibility for any losses suffered as a result of such changes in our stock price. Similar to many other companies in our industry, we did not provide financial forecasts for the full fiscal 2021 year or for the first three quarters of fiscal 2021 due to uncertainty surrounding the financial impact of the COVID-19 pandemic on our business. We do not have any responsibility to provide financial forecasts going forward or to update any of our forward-looking statements at such times or otherwise.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trademarks and other intangibles become impaired, we may be required to record charges to earnings.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of January 31, 2022, we had goodwill, trademarks and other intangibles in an aggregate amount of $747.2 million, or approximately 27% of our total assets and approximately 49% of our stockholders’ equity. Approximately $621.7 million of our goodwill, trademarks and other intangibles was recorded in connection with our acquisition of DKNY and Donna Karan. Under accounting principles generally accepted in the United States (“GAAP”), we review our goodwill and other indefinite life intangibles for impairment annually as of January 31 of each fiscal year and when events or changes in circumstances indicate the carrying value may not be recoverable due to factors such as reduced estimates of future cash flows and profitability, increased cost of debt, slower growth rates in our industry or a decline in our stock price and market capitalization. Estimates of future cash flows and profitability are based on an updated long-term financial outlook of our operations. However, actual performance in the near-term or long-term could be materially different from these forecasts, which could impact future estimates. A significant decline in our market capitalization or deterioration in our projected results could result in an impairment of our goodwill, trademarks and/or other intangibles. We may be required to record a significant charge to earnings in our financial statements during a period in which an impairment of our goodwill is determined to exist which would negatively impact our results of operations and could negatively the market price of our securities.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which could have a material adverse effect on our financial condition and our ability to obtain financing in the future and to react to changes in our business.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issued $400 million of Senior Secured Notes and are party to the ABL Credit Agreement that provides for borrowings of up to $650 million, subject to borrowing base availability. In addition, we also incurred $125.0 million of debt pursuant to the LVMH Note that constituted a portion of the purchase price for the acquisition of DKNY and Donna Karan.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significant amount of debt and our debt service obligations could limit our ability to satisfy our obligations, limit our ability to operate our business and impair our competitive position.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example, it could:</w:t>
      </w:r>
    </w:p>
    <w:p>
      <w:pPr>
        <w:spacing w:after="0" w:line="225" w:lineRule="exact"/>
        <w:rPr>
          <w:sz w:val="20"/>
          <w:szCs w:val="20"/>
          <w:color w:val="auto"/>
        </w:rPr>
      </w:pPr>
    </w:p>
    <w:p>
      <w:pPr>
        <w:ind w:left="720" w:right="7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under the Senior Secured Notes and the ABL Credit Agreement;</w:t>
      </w:r>
    </w:p>
    <w:p>
      <w:pPr>
        <w:ind w:left="720" w:right="7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general industry conditions, including interest rate fluctuations, because a portion of our borrowings are and will continue to be at variable rates of interest;</w:t>
      </w:r>
    </w:p>
    <w:p>
      <w:pPr>
        <w:jc w:val="both"/>
        <w:ind w:left="720" w:right="7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which would reduce the availability of our cash flow from operations to fund working capital, capital expenditures or other general corporate purposes;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industry;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competitors that may have proportionately less debt;</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debt or equity financing due to applicable financial and restrictive covenants in our debt agreements; and</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0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substantial indebtedness, we may still be able to incur significantly more debt. This could intensify the risks described above.</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and our subsidiaries may be able to incur substantial indebtedness in the future. Although the ABL Credit Agreement and the indenture that governs the Senior Secured Notes contain restrictions on our and our subsidiaries’ ability to incur additional indebtedness, these restrictions are subject to a number of important qualifications and exceptions, and the indebtedness incurred in compliance with these restrictions could be substantial.</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covenants under any future debt instruments could also allow us to incur a significant amount of additional indebtedness. In addition to any amounts that might be available to us for borrowing under the ABL Credit Agreement, subject to certain conditions, we will have the right to request an increase of aggregate commitments under the ABL Credit Agreement by an aggregate amount of up to $100.0 million by obtaining additional commitments either from one or more of the lenders under the ABL Credit Agreement or other lending institutions. The more leveraged we become, the more we will be exposed to certain risks described above under “—We have a substantial amount of indebtedness, which could have a material adverse effect on our financial condition and our ability to obtain financing in the future and to react to changes in our business.”</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ABL Credit Agreement and the indenture that governs the Senior Secured Notes impose significant operating and financial restrictions that may limit our current and future operating flexibility, particularly our ability to respond to changes in the economy or our industry or to take certain actions, which could harm our long term interests and may limit our ability to make payments under the Notes or the ABL Credit Agreement or satisfy our other obligations.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ABL Credit Agreement and the indenture that governs the Senior Secured Notes impose significant operating and financial restrictions on us. These restrictions limit our ability, among other things, to:</w:t>
      </w:r>
    </w:p>
    <w:p>
      <w:pPr>
        <w:spacing w:after="0" w:line="81"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(including guarantees thereof);</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certain other distributions on our capital stock or repurchase our capital stock or prepay subordinated indebtedness;</w:t>
      </w: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preferred stock or similar equity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on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investments or other restricted payments;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the ability of our restricted subsidiaries to pay dividends or make other payments to us;</w:t>
      </w: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 or merge or consolidate with or into other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a result of these restrictions, we may be:</w:t>
      </w:r>
    </w:p>
    <w:p>
      <w:pPr>
        <w:spacing w:after="0" w:line="225"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breach of the covenants under the indenture or the ABL Credit Agreement could result in an event of default under the applicable indebtedness. Such a default, if not cured or waived, may allow creditors to accelerate the related debt and may result in the acceleration of any other debt that is subject to an applicable cross-acceleration or cross-default provision. In addition, an event of default under the ABL Credit Agreement would permit the lenders thereunder to terminate all commitments to extend further credit under that Agreement. Furthermore, if we were unable to repay the amounts due and payable under the ABL Credit Agreement, those lenders could proceed against the collateral securing such indebtedness. In the event our lenders or holders of the Senior Secured Notes accelerate the repayment of our borrowings, we and our subsidiaries may not have sufficient assets to repay that indebtedness.</w:t>
      </w:r>
    </w:p>
    <w:p>
      <w:pPr>
        <w:spacing w:after="0" w:line="18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have the necessary liquidity to operate our business may be adversely impacted by a number of factors, including uncertain conditions in the credit and financial markets, which could limit the availability and increase the cost of financing. A deterioration of our results of operations and cash flow resulting from decreases in consumer spending, could, among other things, impact our ability to comply with financial covenants in the ABL Credit Agreement.</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historical sources of liquidity to fund ongoing cash requirements include cash flows from operations, cash and cash equivalents, borrowings through our credit facility and equity offerings. The sufficiency and availability of credit may be adversely affected by a variety of factors, including, without limitation, the tightening of the credit markets, including lending by financial institutions who are sources of credit for our borrowing and liquidity; an increase in the cost of capital; the reduced availability of credit; our ability to execute our strategy; the level of our cash flows, which will be impacted by retailer and consumer acceptance of our products and the level of consumer discretionary spending; maintenance of financial covenants included in our ABL Credit Agreement, interest rate fluctuations and the adverse impact of the COVID-19 pandemic on the U.S. and world-wide economies and on our business.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rates are expected to increase in fiscal 2023. We cannot predict the future level of interest rates or the effect of any increase in interest rates on the availability or aggregate cost of our borrowings. We cannot be certain that any additional required financing, whether debt or equity, will be available in amounts needed or on terms acceptable to us, if at all.</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January 31, 2022, we were in compliance with the financial covenants in our credit facility. Compliance with these financial covenants is dependent on the results of our operations, which are subject to a number of factors including current economic conditions. The economic environment has at times resulted in lower consumer confidence and lower retail sales. Adverse developments in the economy, including as a result of the COVID-19 outbreak, could lead to reduced consumer spending which could adversely impact our net sales and cash flow, which could affect our compliance with our financial covenants. A violation of our covenants could limit access to our credit facilities. Should such restrictions on our credit facilities and these factors occur, they could have a material adverse effect on our business and results of operations.</w:t>
      </w:r>
    </w:p>
    <w:p>
      <w:pPr>
        <w:spacing w:after="0" w:line="18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under the Senior Secured Notes or the ABL Credit Agreement, and may be forced to take other actions to satisfy our obligations under our indebtedness, which may not be successful.</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including under the Senior Secured Notes or the ABL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If our operating results and available cash are insufficient to meet our debt service obligations,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Any future refinancing of our indebtedness could be at higher interest rates and may require us to comply with more onerous covenants which could further restrict our business operations. Additionally, the ABL Credit Agreement and the indenture that will govern the Senior Secured Notes will limit the use of the proceeds from any disposition of our assets. As a result, the ABL Credit Agreement and the indenture may prevent us from using the proceeds from such dispositions to satisfy our debt service obligations.</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indebtedness service obligations to increase significantly.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borrowings under the ABL Credit Agreement will be at variable rates of interest and expose us to interest rate risk. If interest rates increase, our debt service obligations on the variable rate indebtedness would increase even though the amount borrowed remained the same, and our net income and cash flows, including cash available for servicing our indebtedness, would correspondingly decrease. Assuming all revolving loans were fully drawn under the ABL Credit Agreement, each one percentage point change in interest rates would result in a $6.5 million change in annual cash interest expense under the ABL Credit Agreement.</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Financing extended to us under the ABL Credit Agreement is made at variable rates that use LIBOR or an alternate base rate (as determined by that Agreement) as a benchmark for establishing the interest rate. LIBOR is the subject of recent proposals for reform. The financial authority that regulates LIBOR has announced that it intends to stop persuading or compelling banks to submit rates for the calculation of LIBOR after 2021. These reforms may cause LIBOR to cease to exist, new methods of calculating LIBOR to be established or the establishment of an alternative reference rate(s). These consequences cannot be entirely predicted and could have an adverse impact on the market value for or value of LIBOR-linked securities, loans, and other financial obligations or extensions of credit to us. Changes in market interest rates may influence our financing costs and could reduce our earnings and cash flows.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Senior Secured Notes upon a change of control or pursuant to an asset sale offer.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Upon the occurrence of a change of control, as defined in the indenture that governs the Senior Secured Notes, the holders of the Notes will have the right to require us to offer to purchase all of the Notes then outstanding at a price equal to 101% of their principal amount plus accrued and unpaid interest. In addition, our future indebtedness may require that such indebtedness be similarly repurchased upon a change of control. In order to obtain sufficient funds to pay the purchase price of the outstanding Notes, we expect that we would have to refinance the Notes. We may not be able to refinance the Notes on reasonable terms, if at all. Our failure to offer to purchase all outstanding Notes or to purchase all validly tendered Notes would be an event of default under the indenture. Such an event of default may cause the acceleration of our other debt. Our other debt also may contain restrictions on repayment requirements with respect to specified events or transactions that constitute a change of control under the indenture.</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in certain circumstances specified in the indenture, we will be required to commence an asset sale offer, as defined in the indenture, pursuant to which we will be obligated to purchase certain Notes at a price equal to 100% of their principal amount plus accrued and unpaid interest with the proceeds we receive from certain asset sales. Our other debt may contain restrictions that would limit or prohibit us from completing any such asset sale offer. In particular, the ABL Credit Agreement contains provisions that require us, upon the sale of certain assets, to apply all of the proceeds from such asset sale to the prepayment of amounts due under that Agreement. The mandatory prepayment obligations under the ABL Credit Agreement will be effectively senior to our obligations to make an asset sale offer with respect to the Notes under the terms of the indenture.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rating and ability to access well-functioning capital markets are important to our ability to secure future debt financing on acceptable terms. Our credit ratings may not reflect all risks associated with the Senior Secured Notes or our other indebtedness.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access to the debt markets and the terms of such access depend on multiple factors including the condition of the debt capital markets, our operating performance and our credit ratings. These ratings are based on a number of factors including their assessment of our financial strength and financial policies. Our borrowing costs will be dependent to some extent on the rating assigned to our debt. However, there can be no assurance that any particular rating assigned to us will remain in effect for any given period of time or that a rating will not be changed or withdrawn by a rating agency if, in that rating agency’s judgment, future circumstances relating to the basis of the rating so warrant. Incurrence of additional debt by us could adversely affect our credit rating. Any disruptions or turmoil in the capital markets or any downgrade of our credit rating could adversely affect our cost of funds, liquidity, competitive position and access to capital markets, which could materially and adversely affect our business operations, financial condition and results of operations. In addition, downgrading the credit rating of our debt securities or placing us on a watch list for possible future downgrading would likely have an adverse effect on the market price of our Common Stock.</w:t>
      </w:r>
    </w:p>
    <w:p>
      <w:pPr>
        <w:spacing w:after="0" w:line="18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offices, sales showrooms, distribution centers and warehouses that are material to us, all of which are leased, consist of:</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Property Type</w:t>
            </w: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 Expiration</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Renewal Option</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Square Footage</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 and 512 Seventh Avenue, New</w:t>
            </w:r>
          </w:p>
        </w:tc>
        <w:tc>
          <w:tcPr>
            <w:tcW w:w="180" w:type="dxa"/>
            <w:vAlign w:val="bottom"/>
            <w:shd w:val="clear" w:color="auto" w:fill="CCEEFF"/>
          </w:tcPr>
          <w:p>
            <w:pPr>
              <w:spacing w:after="0"/>
              <w:rPr>
                <w:sz w:val="16"/>
                <w:szCs w:val="16"/>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Corporate Office and</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2023 / March</w:t>
            </w:r>
          </w:p>
        </w:tc>
        <w:tc>
          <w:tcPr>
            <w:tcW w:w="16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5-year</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313,000</w:t>
            </w:r>
          </w:p>
        </w:tc>
        <w:tc>
          <w:tcPr>
            <w:tcW w:w="0" w:type="dxa"/>
            <w:vAlign w:val="bottom"/>
          </w:tcPr>
          <w:p>
            <w:pPr>
              <w:spacing w:after="0"/>
              <w:rPr>
                <w:sz w:val="1"/>
                <w:szCs w:val="1"/>
                <w:color w:val="auto"/>
              </w:rPr>
            </w:pPr>
          </w:p>
        </w:tc>
      </w:tr>
      <w:tr>
        <w:trPr>
          <w:trHeight w:val="102"/>
        </w:trPr>
        <w:tc>
          <w:tcPr>
            <w:tcW w:w="262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York City</w:t>
            </w:r>
          </w:p>
        </w:tc>
        <w:tc>
          <w:tcPr>
            <w:tcW w:w="212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showrooms</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6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620" w:type="dxa"/>
            <w:vAlign w:val="bottom"/>
            <w:gridSpan w:val="2"/>
            <w:vMerge w:val="continue"/>
            <w:shd w:val="clear" w:color="auto" w:fill="CCEEFF"/>
          </w:tcPr>
          <w:p>
            <w:pPr>
              <w:spacing w:after="0"/>
              <w:rPr>
                <w:sz w:val="9"/>
                <w:szCs w:val="9"/>
                <w:color w:val="auto"/>
              </w:rPr>
            </w:pPr>
          </w:p>
        </w:tc>
        <w:tc>
          <w:tcPr>
            <w:tcW w:w="2120" w:type="dxa"/>
            <w:vAlign w:val="bottom"/>
            <w:gridSpan w:val="2"/>
            <w:vMerge w:val="continue"/>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rPr>
              <w:t>231 West 39th Street, New York City</w:t>
            </w: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Corporate Office and</w:t>
            </w:r>
          </w:p>
        </w:tc>
        <w:tc>
          <w:tcPr>
            <w:tcW w:w="1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rPr>
              <w:t>June 2034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22,000</w:t>
            </w:r>
          </w:p>
        </w:tc>
        <w:tc>
          <w:tcPr>
            <w:tcW w:w="0" w:type="dxa"/>
            <w:vAlign w:val="bottom"/>
          </w:tcPr>
          <w:p>
            <w:pPr>
              <w:spacing w:after="0"/>
              <w:rPr>
                <w:sz w:val="1"/>
                <w:szCs w:val="1"/>
                <w:color w:val="auto"/>
              </w:rPr>
            </w:pPr>
          </w:p>
        </w:tc>
      </w:tr>
      <w:tr>
        <w:trPr>
          <w:trHeight w:val="102"/>
        </w:trPr>
        <w:tc>
          <w:tcPr>
            <w:tcW w:w="2620" w:type="dxa"/>
            <w:vAlign w:val="bottom"/>
            <w:gridSpan w:val="2"/>
            <w:vMerge w:val="continue"/>
          </w:tcPr>
          <w:p>
            <w:pPr>
              <w:spacing w:after="0"/>
              <w:rPr>
                <w:sz w:val="8"/>
                <w:szCs w:val="8"/>
                <w:color w:val="auto"/>
              </w:rPr>
            </w:pPr>
          </w:p>
        </w:tc>
        <w:tc>
          <w:tcPr>
            <w:tcW w:w="2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showrooms</w:t>
            </w:r>
          </w:p>
        </w:tc>
        <w:tc>
          <w:tcPr>
            <w:tcW w:w="17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Jamesburg, New Jersey</w:t>
            </w: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Distribution center</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December 2028</w:t>
            </w:r>
          </w:p>
        </w:tc>
        <w:tc>
          <w:tcPr>
            <w:tcW w:w="1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5-year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583,000</w:t>
            </w:r>
          </w:p>
        </w:tc>
        <w:tc>
          <w:tcPr>
            <w:tcW w:w="0" w:type="dxa"/>
            <w:vAlign w:val="bottom"/>
          </w:tcPr>
          <w:p>
            <w:pPr>
              <w:spacing w:after="0"/>
              <w:rPr>
                <w:sz w:val="1"/>
                <w:szCs w:val="1"/>
                <w:color w:val="auto"/>
              </w:rPr>
            </w:pPr>
          </w:p>
        </w:tc>
      </w:tr>
      <w:tr>
        <w:trPr>
          <w:trHeight w:val="203"/>
        </w:trPr>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South Brunswick, New Jersey</w:t>
            </w: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Distribution center</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January 2025</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305,000</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Carlstadt, New Jersey</w:t>
            </w: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Distribution center</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April 2024</w:t>
            </w:r>
          </w:p>
        </w:tc>
        <w:tc>
          <w:tcPr>
            <w:tcW w:w="1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8"/>
              </w:rPr>
              <w:t>10-year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197,000</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Retail operations office,</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Brooklyn Park, Minnesota</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warehouse and distribution</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April 2022</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301,000</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facility</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As a result of the restructuring of our retail operations segment, the lease at our Brooklyn Park, Minnesota warehouse and distribution facility is expiring in April 2022 and will not be renewed. Our inventory, shipping and logistics needs for our retail operations segment will be operated from our other distribution centers.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Retail Stores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January 31, 2022, we operated 96 Vilebrequin retail stores and 60 DKNY and Karl Lagerfeld Paris stores. In addition, we operated 26 DKNY stores in China that are 75% owned by us.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for retail stores in the United States require us to pay annual minimum rent plus a contingent rent dependent on the store’s annual sales in excess of a specified threshold. In addition, the leases generally require us to pay costs such as real estate taxes and common area maintenance costs. Retail store leases are typically between three and ten years in duration. Recently, store leases have been for shorter durations with an option to terminate if certain sales levels are not met.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leases expire at varying dates through 2032. Almost all of our stores, other than certain Vilebrequin and DKNY stores, are located in the United States. Vilebrequin has 53 stores located in Europe, 23 stores located in the United States, 10 stores located in Asia, 8 stores located in Mexico and 2 stores in the Caribbean. DKNY has 30 stores located in the United States, 3 stores located in Canada and 4 stores located in Europe. In addition, DKNY has 26 stores located in Asia operated by Fabco.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indicates the periods during which our retail leases expire:</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Stores</w:t>
            </w:r>
          </w:p>
        </w:tc>
      </w:tr>
      <w:tr>
        <w:trPr>
          <w:trHeight w:val="210"/>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are subject to periodic claims, investigations and lawsuits. Although we cannot predict with certainty the ultimate resolution of claims, investigations and lawsuits, asserted against us, we do not believe that any currently pending legal proceeding or proceedings to which we are a party will have a material adverse effect on our business, financial condition or results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Canadian Customs Duty Examination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“Legal Proceedings” under Note 10 to Notes to Consolidated Financial Statements” for a description of the Canadian customs duty examination.</w:t>
      </w:r>
    </w:p>
    <w:p>
      <w:pPr>
        <w:spacing w:after="0" w:line="158"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left="900" w:right="47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Nasdaq Global Select Market is the principal United States trading market for our common stock. Our common stock is traded under the symbol “GIII”.</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March 23, 2022, there were 18 holders of record and, we believe, approximately 27,700 beneficial owners of our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currently intends to follow a policy of retaining any earnings to finance the growth and development of our business. Any future determination as to the payment of cash dividends will be dependent upon our financial condition, results of operations and other factors deemed relevant by the Board.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repurchases of shares of our common stock during the fourth quarter of fiscal 2022:</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 Share</w:t>
            </w:r>
          </w:p>
        </w:tc>
        <w:tc>
          <w:tcPr>
            <w:tcW w:w="100" w:type="dxa"/>
            <w:vAlign w:val="bottom"/>
          </w:tcPr>
          <w:p>
            <w:pPr>
              <w:spacing w:after="0"/>
              <w:rPr>
                <w:sz w:val="13"/>
                <w:szCs w:val="13"/>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Purchased</w:t>
            </w:r>
          </w:p>
        </w:tc>
        <w:tc>
          <w:tcPr>
            <w:tcW w:w="1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Shares Purchased </w:t>
            </w:r>
            <w:r>
              <w:rPr>
                <w:rFonts w:ascii="Times New Roman" w:cs="Times New Roman" w:eastAsia="Times New Roman" w:hAnsi="Times New Roman"/>
                <w:sz w:val="17"/>
                <w:szCs w:val="17"/>
                <w:b w:val="1"/>
                <w:bCs w:val="1"/>
                <w:color w:val="auto"/>
                <w:vertAlign w:val="superscript"/>
              </w:rPr>
              <w:t>(1)</w:t>
            </w:r>
          </w:p>
        </w:tc>
        <w:tc>
          <w:tcPr>
            <w:tcW w:w="1460" w:type="dxa"/>
            <w:vAlign w:val="bottom"/>
            <w:gridSpan w:val="3"/>
            <w:vMerge w:val="continue"/>
          </w:tcPr>
          <w:p>
            <w:pPr>
              <w:spacing w:after="0"/>
              <w:rPr>
                <w:sz w:val="12"/>
                <w:szCs w:val="12"/>
                <w:color w:val="auto"/>
              </w:rPr>
            </w:pPr>
          </w:p>
        </w:tc>
        <w:tc>
          <w:tcPr>
            <w:tcW w:w="1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2"/>
                <w:szCs w:val="12"/>
                <w:color w:val="auto"/>
              </w:rPr>
            </w:pPr>
          </w:p>
        </w:tc>
        <w:tc>
          <w:tcPr>
            <w:tcW w:w="14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35"/>
        </w:trPr>
        <w:tc>
          <w:tcPr>
            <w:tcW w:w="2700" w:type="dxa"/>
            <w:vAlign w:val="bottom"/>
            <w:gridSpan w:val="3"/>
            <w:vMerge w:val="continue"/>
          </w:tcPr>
          <w:p>
            <w:pPr>
              <w:spacing w:after="0"/>
              <w:rPr>
                <w:sz w:val="11"/>
                <w:szCs w:val="1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Per Share </w:t>
            </w:r>
            <w:r>
              <w:rPr>
                <w:rFonts w:ascii="Times New Roman" w:cs="Times New Roman" w:eastAsia="Times New Roman" w:hAnsi="Times New Roman"/>
                <w:sz w:val="15"/>
                <w:szCs w:val="15"/>
                <w:b w:val="1"/>
                <w:bCs w:val="1"/>
                <w:color w:val="auto"/>
                <w:vertAlign w:val="superscript"/>
              </w:rPr>
              <w:t>(1)</w:t>
            </w:r>
          </w:p>
        </w:tc>
        <w:tc>
          <w:tcPr>
            <w:tcW w:w="16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Program </w:t>
            </w:r>
            <w:r>
              <w:rPr>
                <w:rFonts w:ascii="Times New Roman" w:cs="Times New Roman" w:eastAsia="Times New Roman" w:hAnsi="Times New Roman"/>
                <w:sz w:val="15"/>
                <w:szCs w:val="15"/>
                <w:b w:val="1"/>
                <w:bCs w:val="1"/>
                <w:color w:val="auto"/>
                <w:vertAlign w:val="superscript"/>
              </w:rPr>
              <w:t>(2)</w:t>
            </w:r>
          </w:p>
        </w:tc>
        <w:tc>
          <w:tcPr>
            <w:tcW w:w="100" w:type="dxa"/>
            <w:vAlign w:val="bottom"/>
          </w:tcPr>
          <w:p>
            <w:pPr>
              <w:spacing w:after="0"/>
              <w:rPr>
                <w:sz w:val="11"/>
                <w:szCs w:val="11"/>
                <w:color w:val="auto"/>
              </w:rPr>
            </w:pPr>
          </w:p>
        </w:tc>
        <w:tc>
          <w:tcPr>
            <w:tcW w:w="1440" w:type="dxa"/>
            <w:vAlign w:val="bottom"/>
          </w:tcPr>
          <w:p>
            <w:pPr>
              <w:jc w:val="center"/>
              <w:ind w:righ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Program </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 November 30, 2021</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2,949,362</w:t>
            </w:r>
          </w:p>
        </w:tc>
        <w:tc>
          <w:tcPr>
            <w:tcW w:w="0" w:type="dxa"/>
            <w:vAlign w:val="bottom"/>
          </w:tcPr>
          <w:p>
            <w:pPr>
              <w:spacing w:after="0"/>
              <w:rPr>
                <w:sz w:val="1"/>
                <w:szCs w:val="1"/>
                <w:color w:val="auto"/>
              </w:rPr>
            </w:pPr>
          </w:p>
        </w:tc>
      </w:tr>
      <w:tr>
        <w:trPr>
          <w:trHeight w:val="216"/>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1 - December 31, 2021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2,387,501</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6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2,293,149</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656,481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6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656,213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2,293,149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29"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Included in this table are 268 shares withheld during January 2022 in connection with the settlement of vested restricted stock units to satisfy tax withholding requirements. Our 2015 Long-Term Incentive Plan provides that shares withheld are valued at the closing price per share on the date withheld.</w:t>
      </w:r>
    </w:p>
    <w:p>
      <w:pPr>
        <w:jc w:val="both"/>
        <w:ind w:left="380" w:right="79" w:hanging="330"/>
        <w:spacing w:after="0"/>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 In March 2022, our Board of Directors increased the authorized share repurchase program to 10,000,000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“filed” with the SEC, nor shall such information be incorporated by reference into any future filing under the Securities Act of 1933 or the Securities Exchange Act of 1934, each as amended, except to the extent that we specifically request that it be treated as soliciting material or incorporate it by reference into such filing.</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SEC requires us to present a chart comparing the cumulative total stockholder return on our Common Stock with the cumulative total stockholder return of (i) a broad equity market index and (ii) a published industry index or peer group. This chart compares the Common Stock with (i) the S&amp;P 500 Composite Index and (ii) the S&amp;P 500 Textiles, Apparel and Luxury Goods Index, and assumes an investment of $100 on January 31, 2017 in each of the Common Stock, the stocks comprising the S&amp;P 500 Composite Index and the stocks comprising the S&amp;P 500 Textiles, Apparel and Luxury Goods Index.</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2017 —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3926205" cy="3343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2620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ind w:left="900" w:right="23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MANAGEMENT’S DISCUSSION AND ANALYSIS OF FINANCIAL CONDITION AND RESULTS OF OPERATION.</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fiscal years refer to the year ended or ending on January 31 of that year. For example, our fiscal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2022 is referred to as “fiscal 2022.”</w:t>
      </w:r>
    </w:p>
    <w:p>
      <w:pPr>
        <w:spacing w:after="0" w:line="20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consolidate the accounts of all of our wholly-owned subsidiaries. Fabco Holding B.V. (“Fabco”) is a Dutch joint venture limited liability company that was 49% owned by us through November 30, 2020. Effective December 1, 2020, we increased our ownership interest in Fabco to 75%. As a result, Fabco is treated as a consolidated majority-owned subsidiary. KL North America B.V. (“KLNA”) is a Dutch joint venture limited liability that is 49% owned by us. KLNA operates the Karl Lagerfeld business in the United States, Mexico and Canada and Fabco operates the DKNY/Donna Karan business in China through its subsidiary. Karl Lagerfeld Holding B.V. (“KLH”) is a Dutch limited liability company that is 19% owned by us. KLH holds the worldwide rights to the Karl Lagerfeld brand. We account for these two investments using the equity method of accounting. Our Vilebrequin subsidiary, KLNA, KLH and Fabco report results on a calendar year basis rather than on the January 31 fiscal year basis used by G-III. Accordingly, the results of Vilebrequin, KLNA, KLH and Fabco are and will be included in our financial statements for the year ended or ending closest to G-III’s fiscal year. For example, for G-III’s fiscal year ended January 31, 2022, the results of Vilebrequin, KLNA, KLH and Fabco are included for the year ended December 31, 2021. The Company’s retail stores report results on a 52/53-week fiscal year for the retail operations segment. For fiscal 2021 and 2022, the retail operations segment reported based on a 52-week fiscal year.</w:t>
      </w:r>
    </w:p>
    <w:p>
      <w:pPr>
        <w:spacing w:after="0" w:line="19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presentation of management’s discussion and analysis of our consolidated financial condition and results of operations should be read in conjunction with our financial statements, the accompanying notes and other financial information appearing elsewhere in this Report.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discussion with respect to a comparison of the results of operations of fiscal 2021 compared to the fiscal year ended January 31, 2020 (“fiscal 2020”), other financial information related to fiscal 2020 and information with respect to Liquidity and Capital Resources at January 31, 2020 and for fiscal 2020 is contained under the headings “Results of Operations” and “Liquidity and Capital Resources” in Item 7 of our Annual Report on Form 10-K for the fiscal year ended January 31,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channels.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own proprietary brands include DKNY, Donna Karan, Vilebrequin, G.H. Bass, Eliza J, Jessica Howard, Andrew Marc, Marc New York, Wilsons Leather and Sonia Rykiel. We sell products under an extensive portfolio of well-known licensed brands, including Calvin Klein, Tommy Hilfiger, Karl Lagerfeld Paris, Levi’s, Guess?, Kenneth Cole, Cole Haan, Vince Camuto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products are sold through a cross section of leading retailers such as Macy’s, including its Bloomingdale’s division, Dillard’s, Hudson’s Bay Company, including their Saks Fifth Avenue division, Nordstrom, Kohl’s, TJX Companies, Ross Stores and Burlington. We also sell our products using digital channels through retail partners such as macys.com,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nordstrom.com and dillards.com, each of which has a substantial online business. In addition, we sell to leading online retail partners such as Amazon, Fanatics, Zalando and Zappos.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distribute apparel and other products directly to consumers through our own DKNY and Karl Lagerfeld Paris retail stores, as well as through our digital channels for the DKNY, Donna Karan, Karl Lagerfeld Paris, G.H. Bass, Andrew Marc, Wilsons Leather and Sonia Rykiel businesses. In fiscal 2021, we restructured our retail operations and completed the closing of our Wilsons Leather, G.H. Bass and Calvin Klein Performance stores. This restructuring enabled us to reduce our losses in our retail operations segment and re-position our retail operations with a goal of becoming a profitable contributor to our business.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Consumer recognition of our five power brands, two of which we own and three of which we license, is worldwide and very strong. It is our objective to continue to expand our product offerings and we are continually discussing new licensing opportunities with brand owners and seeking to acquire established brands.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COVID-19 pandemic has affected businesses around the world since the first quarter of fiscal 2021. Federal, state and local governments in the United States and around the world, as well as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negatively affected the global economy, disrupted global supply chains and created significant disruption of the financial and retail markets, including a disruption in consumer demand for apparel and accessories.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COVID-19 pandemic continues to impact the global economy. During fiscal 2022, consumer demand for apparel and accessories, as well as other consumer discretionary spending, increased as compared to the comparable quarters in fiscal 2021. While businesses reopened as stay at home orders were lifted and various restrictions on the operation of retail businesses were loosened, the continued economic impact of the COVID-19 pandemic remains uncertain. The spread of additional variants could result in the reimposition of restrictions on commercial and social activities that would adversely impact our business. We have experienced significant improvements in our results of operations for fiscal 2022 as compared to fiscal 2021. However, the COVID-19 pandemic could continue to adversely impact our business operations and results of operations.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continued impact of the COVID-19 pandemic on our business operations remains uncertain and cannot be predicted. The extent to which COVID-19 impacts our results will depend on continued developments in the public and private responses to the pandemic and the success and efficacy of efforts in the United States and around the world to vaccinate people against COVID-19. New information may emerge concerning the severity of the outbreak and the spread of variants, including the Delta and Omicron variants, of the COVID-19 virus in locations that are important to our business. Actions taken to contain COVID-19 or treat its impact may change or become more restrictive if additional waves of infections occur.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 Parfums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2021, we entered into a long-term global licensing agreement with Inter Parfums, Inc. for the creation, development and distribution of fragrances and fragrance-related products under the DKNY and Donna Karan brands. Inter Parfums, Inc. will become the exclusive licensee for these products effective July 1, 2022 with the initial term of the license extending through December 31, 2032. We believe the fragrance category enables our brands to connect more broadly with global consumers.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Sonia Rykiel</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October 2021, we purchased European luxury fashion brand Sonia Rykiel. Sonia Rykiel, who created this iconic brand, was one of the leading figures of Parisian fashion. We plan to accelerate the relaunch of the brand in France in the fall of 2022, and then expand into Europe and other areas. We believe this purchase further enables us to expand into the luxury space and that there is untapped potential for this brand.</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Sonia Rykiel is a wholly-owned operating subsidiary that reports results on a calendar year basis rather than the January 31 fiscal year basis used by the Company. Accordingly, the results of Sonia Rykiel are included in our consolidated financial statements beginning in the fourth quarter of fiscal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Effective February 1, 2021, we elected to change our method of accounting for retail inventories from the lower of cost or market as determined by the retail inventory method to the lower of cost or net realizable value using the weighted average cost method. We believe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we manage our business with a focus on the actual margin realized.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determined that it was impractical to apply this change in accounting principle retrospectively due to a lack of available information. As a result, we applied the change prospectively as of February 1, 2021. The cumulative adjustment as of February 1, 2021 was a decrease in both inventories and retained earnings of $0.3 million. The change in accounting principle did not have a material effect on our consolidated financial statements as of and for the fiscal year ended January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retail operations segment consists primarily of direct sales to consumers through our company-operated stores and through digital channels. In fiscal 2021, we restructured our retail operations, including the closure of our Wilsons Leather, G.H. Bass and Calvin Klein Performance stores. After completion of the restructuring, our retail operations segment consists of our DKNY and Karl Lagerfeld Paris stores, as well as the digital channels for DKNY, Donna Karan, Karl Lagerfeld Paris, G.H. Bass, Andrew Marc and Wilsons Leather.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sell our products online through retail partners such as macys.com, nordstrom.com and dillards.com, each of which has a substantial online business. As digital sales of apparel continue to increase, we are developing additional digital marketing initiatives on our websites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www.andrewmarc.com, www.wilsonsleather.com and www.soniarykiel.com. We also sell Karl Lagerfeld Paris products on our website, www.karllagerfeldparis.com. In addition, we sell to leading online retail partners such as Amazon, Fanatics, Zalando and Zappos and have made a minority investment in an e-commerce retailer.</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Consumers have shifted their apparel purchases based on their adjusted lifestyle needs resulting from changes to the work environment and leisure activities caused by the COVID-19 pandemic. We revised our product offerings in response to this shift toward casual and comfortable work-from-home clothing, as well as to activewear and leisure attire. We continue to revise our product lines to satisfy the needs of our retail customers and consumers. There has been an increase in demand for day and occasion dresses, as well as career wear such as suit separates, as businesses reopen offices and restrictions on social gatherings are loosened. We are working diligently to satisfy this demand from our retail partners and consumers.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Inflationary pressures have impacted our industry. During the current fiscal year, we have experienced inflationary pressures, most significantly related to our freight costs as discussed below under </w:t>
      </w:r>
      <w:r>
        <w:rPr>
          <w:rFonts w:ascii="Times New Roman" w:cs="Times New Roman" w:eastAsia="Times New Roman" w:hAnsi="Times New Roman"/>
          <w:sz w:val="18"/>
          <w:szCs w:val="18"/>
          <w:i w:val="1"/>
          <w:iCs w:val="1"/>
          <w:color w:val="auto"/>
        </w:rPr>
        <w:t>“Supply Chain”</w:t>
      </w:r>
      <w:r>
        <w:rPr>
          <w:rFonts w:ascii="Times New Roman" w:cs="Times New Roman" w:eastAsia="Times New Roman" w:hAnsi="Times New Roman"/>
          <w:sz w:val="18"/>
          <w:szCs w:val="18"/>
          <w:color w:val="auto"/>
        </w:rPr>
        <w:t>. We expect inflationary pressures to continue to impact our business beyond fiscal 2022. We have implemented selected price increases on our products. We believe we can continue to do so in an effort to mitigate higher costs. The impact of price increases on consumer demand and on our business and results of operations is uncertain.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effects of the COVID-19 pandemic on the shipping industry have negatively impacted our ability to import our products in a manner that allows for timely delivery to our customers. Congestion at ports of loading and ports of entry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have caused significant delays in deliveries and changes to the itineraries of our steamship carriers. Use of alternate routes or delivery methods would require additional trucking for us and our customers. Truck driver shortages, shortages of truck equipment and the inability of ports to provide reliable pick up times, have also negatively impacted our ability to timely receive goods.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Contractual shipping rates have increased as a result of increased demand for container space and the logistical delays experienced by the shipping industry. Our costs have increased as a result of higher contractual shipping rates and the need to purchase additional container space on the secondary market at higher spot rates. Terminals are also now imposing additional fees on importers not picking up containers on time, even when equipment and labor shortages negatively affect the ability of importers to pick up in a timely manner.</w:t>
      </w:r>
    </w:p>
    <w:p>
      <w:pPr>
        <w:spacing w:after="0" w:line="1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longstanding relationships with our steamship carriers have facilitated our ability to secure space on vessels as demand for apparel increases, although at rates that are significantly higher than in the past. We believe that the strength of our portfolio of global power brands will allow us to selectively raise prices to largely offset higher freight costs.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supply chain challenges continued during our fourth fiscal quarter and, as a result, the receipt of a significant amount of goods ordered has been delayed until our first fiscal quarter of 2023. We have not as yet experienced order cancellations as a result of these delays due to the strong demand for our products from our customers. We anticipate that the current supply chain conditions will continue to cause our freight costs to be inflated and continue to cause delays in receipt of goods for at least the next three fiscal quarters.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recently executed new contracts with two of our long-term steamship carrier partners and are continuing to pursue new carrier relationships for additional capacity. We expect that our existing carriers will manage the demand in a more efficient manner in fiscal 2023, and as a result, our reliance on the secondary market will be reduced. We are actively managing shipments based on delivery dates to better utilize contracted cargo space and further reduce our reliance on the secondary market. We have also accelerated production schedules to allow for longer lead times in anticipation of the aforementioned delays.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revenues and expenses during the reporting period. Significant accounting policies employed by us, including the use of estimates, are presented in the notes to our consolidated financial statements.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Critical accounting policies are those that are most important to the portrayal of our financial condition and our results of operations, and require management’s most difficult, subjective and complex judgments, as a result of the need to make estimates about the effect of matters that are inherently uncertain. Our most critical accounting estimates, discussed below, pertain to revenue recognition, accounts receivable, inventories, income taxes, goodwill and intangible assets, impairment of long-lived assets and equity awards. In determining these estimates, management must use amounts that are based upon its informed judgments and best estimates. We continually evaluate our estimates, including those related to customer allowances and discounts, product returns, bad debts and inventories, and carrying values of intangible assets. We base our estimates on historical experience and on various other assumptions that we believe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 Codification (“ASC”) Topic 606 –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Under ASC 606, wholesale revenue is recognized when control transfers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We consider control to have been transferred when we have transferred physical possession of the product, we have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cooperative advertising, return liabilities and other customer allowances. We estimate the anticipated variable consideration and record this estimate as a reduction of revenue in the period the related product revenue is recognized.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Historical return rates are calculated on a product line basis. The remainder of the historical rates for variable consideration are calculated by customer by product lines.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recognize retail sales when the customer takes possession of the goods and tenders payment, generally at the point of sale. Digital revenues from customers through our digital platforms are recognized when the customer takes possession of the goods. Our sales are recorded net of applicable sales taxes.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Both wholesale revenues and retail store revenues are shown net of returns, discounts and other allowances. We classify cooperative advertising as a reduction of net sales.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Licensing revenue is recognized at the higher of royalty earned or guaranteed minimum royalty.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extend credit to our wholesale customers based on pre-defined credit criteria. Accounts receivable, as shown on our consolidated balance sheet, are net of an allowance for doubtful accounts. In circumstances where we are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financial instruments consist of trade receivables arising from revenue transactions in the ordinary course of business. We consider our trade receivables to consist of two portfolio segments: wholesale and retail trade receivables. Wholesale trade receivables result from credit we extend to our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Wholesale inventories are stated at the lower of cost (determined by the first-in, first-out method) or net realizable value, which comprises a significant portion of our inventory. Effective February 1, 2021, we elected to change our method of accounting for retail inventories from the lower of cost or market as determined by the retail inventory method to the lower of cost or net realizable value using the weighted average cost method. We believe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we manage our business with a focus on the actual margin realized. Vilebrequin inventories are stated at the lower of cost (determined by the weighted average method) or net realizable value.</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continually evaluate the composition of our inventories, assessing slow-turning, ongoing product as well as fashion product from prior seasons. The net realizable value of distressed inventory is based on historical sales trends of our individual product lines, the impact of market trends and economic conditions, expected permanent retail markdowns and the value of current orders for this type of inventory. A provision is recorded to reduce the cost of inventories to the estimated net realizable values, if required.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jurisdictions in which we operate. This process involves estimating our actual current tax expense, together with assessing temporary differences resulting from differing treatment of items for tax and accounting purposes. These differences result in deferred tax assets and liabilities, which are included within our consolidated balance sheet.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ASC Topic 350 –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requires that goodwill and intangible assets with an indefinite life be tested for impairment at least annually and are required to be written down when impaired. We perform our test in the fourth fiscal quarter of each year, or more frequently, if events or changes in circumstances indicate the carrying amount of such assets may be impaired. Goodwill and intangible assets with an indefinite life are tested for impairment by comparing the fair value of the reporting unit with its carrying value. We have identified two reporting units, which are wholesale operations and retail operations. Fair value is generally determined using discounted cash flows, market multiples and market capitalization. Significant estimates used in the fair value methodologies include estimates of future cash flows, future short-term and long-term growth rates, weighted average cost of capital and estimates of market multiples of the reportable unit. If these estimates or their related assumptions change in the future, we may be required to record impairment charges for our goodwill and intangible assets with an indefinite life.</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perform our annual test for goodwill as of January 31 of each year. The process of evaluating the potential impairment of goodwill is subjective and requires significant judgment at many points during the analysis. The evaluation consists of either using a qualitative approach to determine whether it is more likely than not that the fair value of the assets is less than their respective carrying values or a quantitative impairment test, if necessary. In performing a qualitative evaluation, we consider many factors in evaluating whether the carrying value of goodwill may not be recoverable, including declines in our stock price and market capitalization in relation to our book value and macroeconomic conditions affecting our business. In performing a quantitative evaluation, our first step in the goodwill impairment review is to compare the fair value of the wholesale operations reporting unit to our carrying value. If the fair value of the reporting unit exceeds our carrying value, goodwill is not impaired and no further testing is required. To estimate the fair value of a reporting unit for the purposes of our annual or periodic analyses, we make estimates and judgments about the future cash flows of that reporting unit. Although our cash flow forecasts are based on assumptions that are consistent with our plans and estimates we are using to manage the underlying businesses, there is significant exercise of judgment involved in determining the cash flows attributable to a reporting unit over its estimated remaining useful life. In addition, we make certain judgments about allocating shared assets to the estimated balance sheets of our reporting units. We also consider our and our competitor’s market capitalization on the date we perform the analysis. Changes in judgment on these assumptions and estimates could result in a goodwill impairment charge.</w:t>
      </w:r>
    </w:p>
    <w:p>
      <w:pPr>
        <w:spacing w:after="0" w:line="19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perform our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 Critical estimates in valuing intangible assets include future expected cash flows from license agreements, trade names and customer relationships. In addition, other factors considered are the brand awareness and market position of the products sold by the acquired companies and assumptions about the period of time the brand will continue to be used in the combined company’s product portfolio. Management’s estimates of fair value are based on assumptions believed to be reasonable, but which are inherently uncertain and unpredictable.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we did not appropriately allocate these components or we incorrectly estimate the useful lives of these components, our computation of amortization expense may not appropriately reflect the actual impact of these costs over future periods, which may affect our results of operations.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Trademarks having finite lives are amortized over their estimated useful lives and measured for impairment when events or circumstances indicate that the carrying value may be impaired.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allocated the purchase price of the companies we acquired to the tangible and intangible assets acquired and liabilities we assumed, based on their estimated fair values. These valuations require management to make significant estimations and assumptions, especially with respect to intangible assets.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fair values assigned to the identifiable intangible assets acquired were based on assumptions and estimates made by management using unobservable inputs reflecting our own assumptions about the inputs that market participants would use in pricing the asset or liability based on the best information available.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performed our annual tests of our wholesale reporting unit and our indefinite-lived trademarks as of January 31, 2022, 2021 and 2020 and determined that no impairment existed at those dates. The results of our annual tests determined that the estimated fair values of our wholesale reporting unit and our indefinite-lived trademarks were substantially in excess of their carrying values.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indefinite-lived trademark balance is primarily composed of the Donna Karan/DKNY trademark that was acquired in fiscal 2017.</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of our goodwill and indefinite-lived intangible assets are considered a Level 3 valuation in the fair value hierarchy.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are less than the carrying value of the assets. A potential impairment has occurred if projected future undiscounted cash flows are less than the carrying value of the assets.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2022, we recorded a $1.5 million impairment charge primarily related to leasehold improvements, furniture and fixtures and operating lease assets at certain DKNY, Karl Lagerfeld Paris and Vilebrequin stores as a result of the performance at these stores.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2021, we recorded a $20.1 million impairment charge primarily related to operating lease assets, leasehold improvements and furniture and fixtures at certain Wilsons Leather and G.H. Bass stores, primarily due to the retail restructuring, as well as at certain DKNY and Vilebrequin stores as a result of the performance at these stores.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2020, we recorded a $21.8 million impairment charge primarily related to leasehold improvements, furniture and fixtures and operating lease assets at certain of our Wilsons Leather, G.H. Bass and DKNY stores as a result of the performance at these stores.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Restricted stock units (“RSU’s”) are time based awards that do not have market or performance conditions and either (i) cliff vest after three years or (ii)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Based Restricted Stock Units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Performance based restricted stock units consist of both performance based restricted stock units (“PRSU’s”) and performance stock units (“PSU’s”).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accelerated attribution method.</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PSU’s were granted to executives in fiscal 2022 and 2020 and vest after a three year performance period during which certain earnings before interest and taxes and return on invested capital performance conditions must be satisfied for vesting to occur. PSU’s granted in fiscal 2020 are also subject to a lock up period that prevents the sale, contract to sell or transfer shares for two years subsequent to the date of vesting. PSU’s are expensed over the service period under the accelerated attribution method and based on an estimated percentage of achievement of certain pre-established goals.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operating results both in dollars and as a percentage of our net sales for the fiscal years indicated below: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780" w:type="dxa"/>
            <w:vAlign w:val="bottom"/>
            <w:tcBorders>
              <w:bottom w:val="single" w:sz="8" w:color="auto"/>
            </w:tcBorders>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r>
      <w:tr>
        <w:trPr>
          <w:trHeight w:val="155"/>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gridSpan w:val="10"/>
          </w:tcPr>
          <w:p>
            <w:pPr>
              <w:jc w:val="center"/>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percentage of net sales amounts)</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2,766,538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2,055,146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1,778,349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1,310,704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63.8</w:t>
            </w: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impairments, net of gain on lease terminations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(49,666)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(50,354)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270,976</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r>
      <w:tr>
        <w:trPr>
          <w:trHeight w:val="20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Loss attributable to noncontrolling interests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January 31, 2022 (“fiscal 2022”) compared to year ended January 31, 2021 (“fiscal 2021”)</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sales for fiscal 2022 increased to $2.77 billion from $2.06 billion in the prior year. Net sales of our segments are reported before intercompany eliminations.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Net sales of our wholesale operations segment increased to $2.71 billion from $1.92 billion in the comparable period last year. This increase is primarily the result of a $207.9 million increase in net sales of our DKNY and Donna Karan products, a $193.6 million increase in net sales of Calvin Klein products, a $109.0 million increase in net sales of Tommy Hilfiger products and a $73.1 million increase in net sales of Karl Lagerfeld Paris products. In the prior year period, we experienced a significant decrease in net sales across substantially all of our brands primarily due to the effects of restrictions that began in March 2020 on business and personal activities imposed by governments in connection with the COVID-19 pandemic. As a result, most of our retail partners closed their stores in North America, beginning in mid-March 2020. Most of our retail partners began to reopen a majority of their stores in North America beginning in June 2020 with a majority of these stores operating under government mandated limitations. The governmental restrictions imposed in connection with the COVID-19 pandemic resulted in significant increases in unemployment, a reduction in business activity and a reduction in consumer spending on apparel and accessories, all of which contributed to the reduction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which occurred during the majority of fiscal 2021. During fiscal 2022 substantially all stores operated by our retail partners were open and governmental restrictions were eased in most regions of the United States due to the reduction of the severity of the COVID-19 pandemic. The lessening of COVID-19 restrictions has resulted in an increase in business activity which has contributed to an increase in consumer spending on apparel and accessories. Governmental restrictions could be reimposed as a result of the spread of additional variants of COVID-19.</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of our retail operations segment decreased to $117.7 million from $170.4 million in the same period last year. This decrease is primarily due to the significant reduction in our store count as a result of the restructuring of our retail operations segment that resulted in the closure of 150 Wilsons, G.H. Bass and Calvin Klein Performance stores during fiscal 2021. We operated 282 stores as of January 31, 2020, 50 stores as of January 31, 2021 and 60 stores as of January 31, 2022. Wilsons and G.H. Bass stores contributed $91.8 million of net sales during the year ended January 31, 2021. Net sales from our DKNY and Karl Lagerfeld Paris stores, which constitute our retail operations segment, increased by $39.1 million during the year ended January 31, 2022 compared to last year.</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Gross profit was $988.2 million, or 35.7% of net sales, for fiscal 2022 and compared to $744.4 million, or 36.2% of net sales, last year. The gross profit percentage in our wholesale operations segment was 34.2% for the year ended January 31, 2022 as compared to 35.9% for the year ended January 31, 2021. The gross profit percentage in the prior year was positively impacted by the reversal of previously anticipated markdown accruals that were no longer necessary due to the reduction in sales to our retail customers. The gross profit percentage in the current year benefitted from less promotional activity and strategic price increases, partially offset by increased freight costs. The gross profit percentage in our retail operations segment was 50.9% for the year ended January 31, 2022 compared to 33.6% for the same period last year. The gross profit percentage in our retail operations segment was negatively impacted in the prior year by increased promotional activity due to the COVID-19 pandemic and the restructuring of our retail operations segment which resulted in the liquidation of inventory. For the year ended January 31, 2020, the gross profit percentage for our wholesale operations segment was 32.7% and for our retail operating segment was 46.7%. Both segments experienced increased gross profit percentages compared to the pre-pandemic fiscal year ended January 31, 2020 due to less promotional activity and strategic price increases in the current period, partially offset by increased freight costs.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to $648.0 million in fiscal 2022 from $605.1 million in fiscal 2021. The increase in expenses was primarily due to an increase of $43.1 million in compensation expense, primarily from bonus and stock compensation. As a result of the adverse effect of the COVID-19 pandemic on our operating results, the prior year had a lower bonus accrual. The increase in expenses was also due to a $30.6 million increase in contractual advertising and a $15.1 million increase in third-party warehouse expenses related to increased sales. These increases were partially offset by a $36.6 million decrease in facility expenses primarily related to the retail restructuring that occurred in the prior year period. In addition, there was a $13.8 million decrease in bad debt expense primarily related to allowances recorded against the outstanding receivables of certain department store customers in the prior year.</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was $27.6 million in fiscal 2022 and $38.6 million in fiscal 2021. The decrease primarily relates to a reduction in capital expenditures as a result of the COVID-19 pandemic. In addition, the prior year also experienced higher depreciation and amortization due to write-offs taken in connection with the reduction in the number of retail stores operated by us and store asset disposals as a result of the retail restructuring.</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fiscal 2022, we recorded a $1.5 million impairment charge, net of gain on lease terminations, related to leasehold improvements, furniture and fixtures and operating lease assets at certain DKNY, Karl Lagerfeld Paris and Vilebrequin stores as a result of the performance at these stores. In fiscal 2021, we recorded a $17.9 million impairment charge, net of gain on lease terminations, related to operating lease assets, leasehold improvements and furniture and fixtures at certain Wilsons Leather and G.H. Bass stores, primarily due to the retail restructuring, as well as at certain DKNY and Vilebrequin stores as a result of the performance at these stores.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income was $9.5 million in fiscal 2022 compared to other income of $3.2 million in fiscal 2021. This change is primarily due to other income of $8.1 million in income from unconsolidated affiliates during fiscal 2022 compared to $0.6 million in income from unconsolidated affiliates in fiscal 2021, as well as other income of $2.4 million from non-refundable European government-backed grants received by Vilebrequin for COVID-19 relief and other income of $1.6 million from the change in fair value of certain equity investments during fiscal 2022. Other income was offset in part by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recording of $2.6 million of foreign currency losses during fiscal 2022 compared to foreign currency losses of $0.1 million during fiscal 2021. In addition, fiscal 2021 also had other income of $2.7 million related to the increased equity interest we acquired in Fabco.</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and financing charges, net for fiscal 2022, were $49.7 million compared to $50.4 million for fiscal 2021. The decrease is primarily due to a $6.5 million charge to interest expense in the prior year as a result of extinguishing debt issuance costs upon the repayment of our prior term loan facility and amendment of our revolving credit facility, partially offset by the senior secured notes outstanding in the current period having a higher principal balance and interest rate than the term loan that was outstanding in the majority of the prior year.</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Income tax expense for fiscal 2022 was $70.9 million compared to $12.2 million for the prior year. Our effective tax rate was 26.2% in fiscal 2022 compared to 34.2% in the prior year. This decrease in our effective tax rate is primarily the result of the significantly lower pretax book income in the prior year, as well as foreign taxable losses in the prior year having s smaller tax benefit as a result of lower income tax rates. We believe that our current income tax rate is more representative of what we expect our prospective effective rate will be based on our current income and applicable federal, state and foreign income tax rates.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Availability</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2022, we had cash and cash equivalents of $466.0 million and availability under our revolving credit facility in excess of $560.0 million. As of January 31, 2022, we were in compliance with all covenants under our senior secured notes and revolving credit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have been used (i) to repay the $300 million that was outstanding under our prior term loan facility due 2022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 commencing on February 15, 2021.</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we and the Guarantors entered into a pledge and security agreement (the “Pledge and Security Agreement”), among us, the Guarantors and the Collateral Agent.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any time prior to August 15, 2022, we may redeem some or all of the Notes at a price equal to 100% of the principal amount of the Notes redeemed plus accrued and unpaid interest, if any, to, but excluding, the applicable redemption date plus a “make-whole” premium, as described in the Indenture. On or after August 15, 2022, we may redeem some or all of the Notes at any time and from time to time at the redemption prices set forth in the Indenture, plus accrued and unpaid interest, if any, to, but excluding, the applicable redemption date. In addition, at any time prior to August 15, 2022, we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we may redeem up to 10% of the aggregate principal amount of the Notes at a redemption price equal to 103% of the principal amount of the Notes redeemed plus accrued and unpaid interest, if any, to, but excluding, the applicable redemption date.</w:t>
      </w:r>
    </w:p>
    <w:p>
      <w:pPr>
        <w:spacing w:after="0" w:line="19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incurred debt issuance costs totaling $8.5 million related to the Notes that will be amortized over the term of the Notes. In accordance with ASC 835, the debt issuance costs have been deferred and are presented as a contra-liability, offsetting the outstanding balance of the Notes, and are amortized over the remaining life of the Notes. In addition, we had unamortized debt issuance costs of $6.1 million associated with the Term Loan. Upon repayment of the Term Loan, these debt issuance costs were fully extinguished and charged to interest expense in our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ABL Credit Agreement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our subsidiaries, G-III Apparel Canada ULC, Gabrielle Studio, Inc., Donna Karan International Inc. and Donna Karan Studio LLC (the “Guarantors”), are Loan Guarantors under the ABL Credit Agreement.</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ABL Credit Agreement extended the maturity date to August 2025, subject to a springing maturity date if, subject to certain conditions, the LVMH Note is not refinanced or repaid prior to the date that is 91 days prior to the date of any relevant payment thereunder.</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our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January 31, 2022, the Company was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2022, we had no borrowings outstanding under the ABL credit agreement. The ABL Credit Agreement also includes amounts available for letters of credit. As of January 31, 2022, there were outstanding trade and standby letters of credit amounting to $10.0 million and $4.0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a total of $8.0 million debt issuance costs related to our ABL Credit Agreement. As permitted under ASC 835, the debt issuance costs have been deferred and are presented as an asset which is amortized ratably over the term of the ABL Credit Agreement.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LVMH Note</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issued to LVMH, as a portion of the consideration for the acquisition of DKNY and Donna Karan,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Based on an independent valuation, it was determined that the LVMH Note should be treated as having been issued at a discount of $40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This discount is being amortized as interest expense using the effective interest method over the term of the LVMH Note.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Unsecured Loans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Additionally, Sonia Rykiel borrowed funds under European state backed loans that were part of COVID-19 relief programs. In the aggregate, the Company is currently required to make quarterly installment payments of €0.2 million. Interest on the outstanding principal amount of the unsecured loans accrues at a fixed rate equal to 0% to 2.0% per annum, payable on either a quarterly or monthly basis. As of January 31, 2022, the Company had an aggregate outstanding balance of €7.4 million ($8.4 million) under these various unsecured loans.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Overdraft Facilities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January 31, 2022, TRB had an aggregate €2.6 million ($2.9 million) drawn under these various facilities.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Outstanding Borrowings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no borrowings outstanding under our ABL Credit Agreement at each of January 31, 2022 and January 31, 2021. We had $400 million in borrowings outstanding under the Notes at each of January 31, 2022 and January 31, 2021. Our contingent liability under open letters of credit was approximately $14.0 million at January 31, 2022 and $10.5 million at January 31, 2021. In addition to the amounts outstanding under these two loan agreements, at January 31, 2022 and 2021, we had $125.0 million of face value principal amount outstanding under the LVMH Note. We had an aggregate of €7.4 million ($8.4 million) and €7.4 million ($9.1 million) outstanding under the Company’s various unsecured loans as of January 31, 2022 and January 31, 2021, respectively. We also had €2.6 million ($2.9 million) and €2.5 million ($3.0 million) outstanding under Vilebrequin’s overdraft facilities as of January 31, 2022 and January 31, 2021,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Board of Directors authorized a share repurchase program of 5,000,000 shares. Pursuant to this program, during fiscal 2022 we acquired 656,213 of our shares of common stock for an aggregate purchase price of $17.3 million and during fiscal 2020 we acquired 1,327,566 of our shares of common stock for an aggregate purchase price of $35.2 million. No shares of common stock were acquired pursuant to this program during fiscal 2021.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January 31, 2022, we had 2,293,149 authorized shares remaining under this program. In March 2022, the Board increased the number of authorized shares under this program to 10,000,000. As of March 23, 2022, we had approximately 47,915,388 shares of common stock outstanding.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from Operating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At January 31, 2022, we had cash and cash equivalents of $466.0 million. We generated $185.8 million of cash from operating activities in fiscal 2022, primarily as a result of our net income of $200.6 million and non-cash charges relating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primarily to depreciation and amortization of $27.6 million, deferred income taxes of $21.1 million and share-based compensation of $17.4 million. We also generated cash from operating activities from an increase of $124.6 million in accounts payable and accrued expenses. These items were offset, in part, by increases of $112.8 million in accounts receivable and $95.7 million in inventories, as well as decreases of $12.6 million in customer refund liabilities.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At January 31, 2021, we had cash and cash equivalents of $351.9 million. We generated $74.8 million of cash from operating activities in fiscal 2021, primarily as a result of our net income of $23.5 million, and non-cash charges in the aggregate amount of $136.5 million relating primarily to operating lease costs ($71.4 million), depreciation and amortization ($38.6 million), asset impairment charges ($20.4 million) and share-based compensation ($6.1 million). We also generated cash from operating activities from decreases of $143.5 million in inventories, $38.9 million in accounts receivable and $24.5 million in prepaid expenses and other current assets. These items were offset, in part, by decreases of $136.4 million in customer refund liabilities, $94.2 million in accounts payable and accrued expenses and $86.4 million in operating lease liabilities.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from Investing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fiscal 2022, we used $51.5 million of cash in investing activities. We used $25.0 million for a minority investment in an e-commerce retailer. We subsequently sold a portion of that investment for $5.0 million. In addition, we also had $18.3 million in capital expenditures primarily related to infrastructure and information technology expenditures and additional fixturing costs at department stores. In addition, we used $13.2 million for our investment in connection with a brand acquisition.</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fiscal 2021, we used $20.1 million of cash in investing activities for capital expenditures and initial direct costs of operating lease assets. Capital expenditures in the period primarily related to information technology expenditures and additional fixturing costs at department stores. Operating lease assets initial direct costs in the period primarily related to payments of key money and broker fees.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from Financing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2022, we used $23.4 million of cash in financing activities. We used $17.3 million of cash to repurchase 656,213 shares of our common stock under our share repurchase program and $4.3 million for taxes paid in connection with net share settlements of stock grants that have vested.</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fiscal 2021, we generated $94.8 million of cash from financing activities primarily as a result of the proceeds of $400 million from the issuance of our Notes partially offset by the $300 million repayment of our term loan facility from the proceeds of the Notes. We also made payments of $13.6 million in financing costs related to the issuance of our Notes and entering into the ABL Credit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Needs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and cash generated from operations,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See Note 1.19 – Effects of Recently Adopted and Issued Accounting Pronouncements in the accompanying notes to our Consolidated Financial Statements in this Annual Report on Form 10-K for a description of recently adopted accounting pronouncements and issued accounting pronouncements that we believe may have an impact on our Consolidated Financial Statements when adopted.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Tabular Disclosure of Contractual Obligations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January 31, 2022, our contractual obligations were as follows (in millions):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73"/>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4-5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09"/>
        </w:trPr>
        <w:tc>
          <w:tcPr>
            <w:tcW w:w="20" w:type="dxa"/>
            <w:vAlign w:val="bottom"/>
          </w:tcPr>
          <w:p>
            <w:pPr>
              <w:spacing w:after="0"/>
              <w:rPr>
                <w:sz w:val="18"/>
                <w:szCs w:val="18"/>
                <w:color w:val="auto"/>
              </w:rPr>
            </w:pPr>
          </w:p>
        </w:tc>
        <w:tc>
          <w:tcPr>
            <w:tcW w:w="4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43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Minimum royalty payments </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124.5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0" w:type="dxa"/>
            <w:vAlign w:val="bottom"/>
          </w:tcPr>
          <w:p>
            <w:pPr>
              <w:spacing w:after="0"/>
              <w:rPr>
                <w:sz w:val="24"/>
                <w:szCs w:val="24"/>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402.7</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Purchase obligations </w:t>
            </w:r>
            <w:r>
              <w:rPr>
                <w:rFonts w:ascii="Times New Roman" w:cs="Times New Roman" w:eastAsia="Times New Roman" w:hAnsi="Times New Roman"/>
                <w:sz w:val="25"/>
                <w:szCs w:val="25"/>
                <w:color w:val="auto"/>
                <w:vertAlign w:val="superscript"/>
              </w:rPr>
              <w:t>(3)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20" w:type="dxa"/>
            <w:vAlign w:val="bottom"/>
          </w:tcPr>
          <w:p>
            <w:pPr>
              <w:spacing w:after="0"/>
              <w:rPr>
                <w:sz w:val="24"/>
                <w:szCs w:val="24"/>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482.9</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2"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obligations to pay minimum scheduled royalty, advertising and other required payments under various license agreements.</w:t>
      </w:r>
    </w:p>
    <w:p>
      <w:pPr>
        <w:spacing w:after="0" w:line="10" w:lineRule="exact"/>
        <w:rPr>
          <w:rFonts w:ascii="Times New Roman" w:cs="Times New Roman" w:eastAsia="Times New Roman" w:hAnsi="Times New Roman"/>
          <w:sz w:val="24"/>
          <w:szCs w:val="24"/>
          <w:color w:val="auto"/>
          <w:vertAlign w:val="superscript"/>
        </w:rPr>
      </w:pPr>
    </w:p>
    <w:p>
      <w:pPr>
        <w:jc w:val="both"/>
        <w:ind w:left="380" w:right="79" w:hanging="330"/>
        <w:spacing w:after="0" w:line="231" w:lineRule="auto"/>
        <w:tabs>
          <w:tab w:leader="none" w:pos="38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(a) $400.0 million related to our Notes that will mature in 2026, (b) $125.0 million in face principal amount of the note issued to LVMH payable in 2023, (c) $8.4 million in our various unsecured loans which have maturity dates ranging from 2025 through 2027 and requires us to make quarterly installment payments of €0.2 million and (d) $2.9 million in our various overdraft facilities. We had no borrowings outstanding under our revolving credit facility as of January 31, 2022.</w:t>
      </w:r>
    </w:p>
    <w:p>
      <w:pPr>
        <w:spacing w:after="0" w:line="2" w:lineRule="exact"/>
        <w:rPr>
          <w:rFonts w:ascii="Times New Roman" w:cs="Times New Roman" w:eastAsia="Times New Roman" w:hAnsi="Times New Roman"/>
          <w:sz w:val="24"/>
          <w:szCs w:val="24"/>
          <w:color w:val="auto"/>
          <w:vertAlign w:val="superscript"/>
        </w:rPr>
      </w:pPr>
    </w:p>
    <w:p>
      <w:pPr>
        <w:ind w:left="420" w:right="79" w:hanging="370"/>
        <w:spacing w:after="0" w:line="211" w:lineRule="auto"/>
        <w:tabs>
          <w:tab w:leader="none" w:pos="42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outstanding trade letters of credit, which represent inventory purchase commitments, which typically mature in less than six months.</w:t>
      </w:r>
    </w:p>
    <w:p>
      <w:pPr>
        <w:spacing w:after="0" w:line="20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Rate Risks and Commodity Price Risk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negotiate substantially all our purchase orders with foreign manufacturers in United States dollars. Thus, notwithstanding any fluctuation in foreign currencies, our cost for any purchase order is not subject to change after the time the order is placed. However, if the value of the United States dollar against local currencies were to decrease, manufacturers might increase their United States dollar prices for products.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sales from the non-U.S. operations could be affected by currency fluctuations, primarily relating to the Euro. We cannot fully anticipate all of our currency exposures and therefore foreign currency fluctuations may impact our business, financial condition, and results of operations. However, we believe that the risks related to these fluctuations are not material due to the low volume of transactions by us that are denominated in currencies other than the U.S. dollar.</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the cost of our products and overhead costs may adversely affect our operating results. Although we do not believe that inflation has had a material impact on our financial position or results of operations in recent periods, our business could be impacted by continued or increasing inflation in future periods. See our “Risk Factors Relating to the Operation of our Business” and “Risk Factors Relating to the Economy and the Apparel Industry” contained in Item 1A – Risk Factors of this Annual Report on Form 10-K.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Exposure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subject to market risk from exposure to changes in interest rates relating to our ABL Credit Agreement. We borrow under this credit facility to support general corporate purposes, including capital expenditures and working capital needs. Interest rates are expected to increase in fiscal 2023. The U.S. Federal Reserve Board recently increased interest rates for the first time since 2018. It is expected to approve additional increases in the interest rate in fiscal 2023. These increases in interest rates by the Federal Reserve will result in increases in our interest expense under our ABL Credit Agreement.</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we had no borrowings under our ABL Credit Agreement during the year ended January 31, 2022, we estimate that each 100 basis point increase in our borrowing rates would result in additional interest expense to us of approximately $1 million for each $100 million outstanding our ABL Credit Agreement.</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 required pursuant to this Item begin on page F-1 of this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13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January 31, 2022, our management, including the Chief Executive Officer and Chief Financial Officer, carried out an evaluation of the effectiveness of the design and operation of our disclosure controls and procedures (as such term is defined in Rule 13a-15(e) under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Commission’s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 Integrated Framework (2013)</w:t>
      </w:r>
      <w:r>
        <w:rPr>
          <w:rFonts w:ascii="Times New Roman" w:cs="Times New Roman" w:eastAsia="Times New Roman" w:hAnsi="Times New Roman"/>
          <w:sz w:val="18"/>
          <w:szCs w:val="18"/>
          <w:color w:val="auto"/>
        </w:rPr>
        <w:t>, issued by the Committee of Sponsoring Organizations of the Treadway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or COSO. Our system of internal control over financial reporting is designed to provide reasonable assurance regarding the reliability of financial reporting and the preparation and fair presentation of financial statements for external purposes in accordance with accounting principles generally accepted in the United States.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Based on its assessment, management has concluded that we maintained effective internal control over financial reporting as of January 31, 2022, based on criteria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COSO.</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independent auditors, Ernst &amp; Young LLP, a registered public accounting firm, have audited and reported on our consolidated financial statements and the effectiveness of our internal control over financial reporting. The reports of our independent auditors appear on pages F-2 and F-3 of this Form 10-K and express unqualified opinions on the consolidated financial statements and the effectiveness of our internal control over financial reporting.</w:t>
      </w:r>
    </w:p>
    <w:p>
      <w:pPr>
        <w:spacing w:after="0" w:line="17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adopted a code of ethics and business conduct, or Code of Ethics and Conduct, which applies to all of our employees, our principal executive officer, principal financial officer, principal accounting officer controller and persons performing similar functions. Our Code of Ethics and Conduct is located on our Internet website at www.g-iii.com under the heading “Corporate Governance.” Any amendments to, or waivers from, a provision of our Code of Ethics and Conduct that apply to our principal executive officer, principal financial officer, principal accounting officer, controller and persons performing similar functions will be disclosed on our Internet website within five business days following such amendment or waiver. The information contained on or connected to our Internet website is not incorporated by reference into this Form 10-K and should not be considered part of this or any other report we file with or furnish to the Securities and Exchange Commission.</w:t>
      </w:r>
    </w:p>
    <w:p>
      <w:pPr>
        <w:spacing w:after="0" w:line="18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information required by Item 401 of Regulation S-K regarding directors is contained under the heading “Proposal No. 1 — Election of Directors” in our definitive Proxy Statement (the “Proxy Statement”) relating to our Annual Meeting of Stockholders to be held on or about June 9, 2022, to be filed pursuant to Regulation 14A of the Securities Exchange Act of 1934 with the Securities and Exchange Commission, and is incorporated herein by reference. For information concerning our executive officers, see “Business — Information About Our Executive Officers” in Item 1 in this Form 10-K.</w:t>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405 of Regulation S-K is contained under the heading “Delinquent Section 16(a) Reports” in our Proxy Statement and is incorporated herein by reference. The information required by Items 407(c)(3), (d)(4), and (d)(5) of Regulation S-K is contained under the heading “Corporate Governance” in our Proxy Statement and is incorporated herein by reference.</w:t>
      </w:r>
    </w:p>
    <w:p>
      <w:pPr>
        <w:spacing w:after="0" w:line="176"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contained under the headings “Executive Compensation” and “Compensation Committee Report” in our Proxy Statement and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0" w:right="779" w:hanging="906"/>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Security ownership information of certain beneficial owners and management as called for by this Item 12 is incorporated by reference to the information set forth under the heading “Beneficial Ownership of Common Stock by Certain Stockholders and Management” in our Proxy Statement.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January 31, 2022, the last day of fiscal 2022, regarding securities issued under G-III’s equity compensation plans that were in effect during fiscal 2022.</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60" w:type="dxa"/>
            <w:vAlign w:val="bottom"/>
          </w:tcPr>
          <w:p>
            <w:pPr>
              <w:jc w:val="center"/>
              <w:ind w:left="103"/>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80" w:type="dxa"/>
            <w:vAlign w:val="bottom"/>
          </w:tcPr>
          <w:p>
            <w:pPr>
              <w:spacing w:after="0"/>
              <w:rPr>
                <w:sz w:val="12"/>
                <w:szCs w:val="12"/>
                <w:color w:val="auto"/>
              </w:rPr>
            </w:pPr>
          </w:p>
        </w:tc>
        <w:tc>
          <w:tcPr>
            <w:tcW w:w="16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tcPr>
          <w:p>
            <w:pPr>
              <w:spacing w:after="0"/>
              <w:rPr>
                <w:sz w:val="15"/>
                <w:szCs w:val="15"/>
                <w:color w:val="auto"/>
              </w:rPr>
            </w:pPr>
          </w:p>
        </w:tc>
        <w:tc>
          <w:tcPr>
            <w:tcW w:w="16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3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(c)</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2,043,257</w:t>
            </w:r>
          </w:p>
        </w:tc>
        <w:tc>
          <w:tcPr>
            <w:tcW w:w="180" w:type="dxa"/>
            <w:vAlign w:val="bottom"/>
            <w:vMerge w:val="continue"/>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2,119,382</w:t>
            </w:r>
          </w:p>
        </w:tc>
        <w:tc>
          <w:tcPr>
            <w:tcW w:w="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2,043,257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2,119,382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420" w:right="79" w:hanging="370"/>
        <w:spacing w:after="0" w:line="229" w:lineRule="auto"/>
        <w:tabs>
          <w:tab w:leader="none" w:pos="42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outstanding awards of 2,033,257 shares of Common Stock issuable upon vesting of restricted stock units (‘‘RSUs’’) and stock options for 10,000 shares of common stock. Outstanding stock options have a weighted average exercise price of $18.11 and a weighted average remaining term of 0.97 years.</w:t>
      </w:r>
    </w:p>
    <w:p>
      <w:pPr>
        <w:ind w:left="420" w:hanging="370"/>
        <w:spacing w:after="0" w:line="183" w:lineRule="auto"/>
        <w:tabs>
          <w:tab w:leader="none" w:pos="4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RSUs are excluded when determining the weighted average exercise price of outstanding stock options.</w:t>
      </w:r>
    </w:p>
    <w:p>
      <w:pPr>
        <w:spacing w:after="0" w:line="10" w:lineRule="exact"/>
        <w:rPr>
          <w:rFonts w:ascii="Times New Roman" w:cs="Times New Roman" w:eastAsia="Times New Roman" w:hAnsi="Times New Roman"/>
          <w:sz w:val="23"/>
          <w:szCs w:val="23"/>
          <w:color w:val="auto"/>
          <w:vertAlign w:val="superscript"/>
        </w:rPr>
      </w:pPr>
    </w:p>
    <w:p>
      <w:pPr>
        <w:ind w:left="420" w:hanging="370"/>
        <w:spacing w:after="0" w:line="182" w:lineRule="auto"/>
        <w:tabs>
          <w:tab w:leader="none" w:pos="42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Under our 2015 Long-Term Incentive Plan.</w:t>
      </w:r>
    </w:p>
    <w:p>
      <w:pPr>
        <w:spacing w:after="0" w:line="200"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contained under the headings “Certain Relationships and Related Transactions” and “Corporate Governance” in our Proxy Statement and is incorporated herein by reference.</w:t>
      </w:r>
    </w:p>
    <w:p>
      <w:pPr>
        <w:spacing w:after="0" w:line="15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contained under the heading “Principal Accounting Fees and Services” in our Proxy Statement and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9" w:lineRule="exact"/>
        <w:rPr>
          <w:sz w:val="20"/>
          <w:szCs w:val="20"/>
          <w:color w:val="auto"/>
        </w:rPr>
      </w:pPr>
    </w:p>
    <w:p>
      <w:pPr>
        <w:ind w:left="800" w:hanging="372"/>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800" w:hanging="372"/>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Financial Statements and Financial Statement Schedules are listed in the accompanying index to consolidated financial statements beginning on page F-1 of this report. All other schedules, for which provision is made in the applicable accounting regulations of the Securities and Exchange Commission are not required under the related instructions, are shown in the financial statements or are not applicable and therefore have been omitted.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exhibits filed as part of this report or incorporated herein by reference are management contracts or compensatory plans or arrangements: Exhibits 10.1, 10.1(a), 10.1(b), 10.1(c), 10.1(d), 10.6, 10.6(a), 10.6(b), 10.7, 10.7(a), 10.7(b), 10.7(c), 10.7(d), 10.8, 10.9, 10.9(a), 10.9(b), 10.9(c), 10.9(d), 10.12, 10.13, 10.14, and 10.15.</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80" w:type="dxa"/>
            <w:vAlign w:val="bottom"/>
            <w:gridSpan w:val="26"/>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26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80" w:type="dxa"/>
            <w:vAlign w:val="bottom"/>
            <w:gridSpan w:val="26"/>
            <w:vMerge w:val="continue"/>
          </w:tcPr>
          <w:p>
            <w:pPr>
              <w:spacing w:after="0"/>
              <w:rPr>
                <w:sz w:val="12"/>
                <w:szCs w:val="12"/>
                <w:color w:val="auto"/>
              </w:rPr>
            </w:pPr>
          </w:p>
        </w:tc>
        <w:tc>
          <w:tcPr>
            <w:tcW w:w="112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7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3"/>
                <w:szCs w:val="13"/>
                <w:b w:val="1"/>
                <w:bCs w:val="1"/>
                <w:color w:val="auto"/>
              </w:rPr>
              <w:t>File No.</w:t>
            </w:r>
          </w:p>
        </w:tc>
        <w:tc>
          <w:tcPr>
            <w:tcW w:w="7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55"/>
        </w:trPr>
        <w:tc>
          <w:tcPr>
            <w:tcW w:w="940" w:type="dxa"/>
            <w:vAlign w:val="bottom"/>
            <w:tcBorders>
              <w:top w:val="single" w:sz="8" w:color="auto"/>
              <w:bottom w:val="single" w:sz="8" w:color="CCEEFF"/>
              <w:right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4940" w:type="dxa"/>
            <w:vAlign w:val="bottom"/>
            <w:tcBorders>
              <w:top w:val="single" w:sz="8" w:color="auto"/>
              <w:bottom w:val="single" w:sz="8" w:color="0000EE"/>
            </w:tcBorders>
            <w:gridSpan w:val="20"/>
            <w:shd w:val="clear" w:color="auto" w:fill="CCEEFF"/>
          </w:tcPr>
          <w:p>
            <w:pPr>
              <w:spacing w:after="0" w:line="155" w:lineRule="exact"/>
              <w:rPr>
                <w:rFonts w:ascii="Times New Roman" w:cs="Times New Roman" w:eastAsia="Times New Roman" w:hAnsi="Times New Roman"/>
                <w:sz w:val="16"/>
                <w:szCs w:val="16"/>
                <w:color w:val="0000EE"/>
              </w:rPr>
            </w:pPr>
            <w:hyperlink r:id="rId77">
              <w:r>
                <w:rPr>
                  <w:rFonts w:ascii="Times New Roman" w:cs="Times New Roman" w:eastAsia="Times New Roman" w:hAnsi="Times New Roman"/>
                  <w:sz w:val="16"/>
                  <w:szCs w:val="16"/>
                  <w:color w:val="0000EE"/>
                </w:rPr>
                <w:t>Stock Purchase Agreement, dated as of July 22, 2016, by and between G-III</w:t>
              </w:r>
            </w:hyperlink>
          </w:p>
        </w:tc>
        <w:tc>
          <w:tcPr>
            <w:tcW w:w="380" w:type="dxa"/>
            <w:vAlign w:val="bottom"/>
            <w:tcBorders>
              <w:top w:val="single" w:sz="8" w:color="auto"/>
              <w:bottom w:val="single" w:sz="8" w:color="CCEEFF"/>
            </w:tcBorders>
            <w:gridSpan w:val="1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w w:val="98"/>
              </w:rPr>
              <w:t>000-18183</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7/28/2016</w:t>
            </w:r>
          </w:p>
        </w:tc>
        <w:tc>
          <w:tcPr>
            <w:tcW w:w="0" w:type="dxa"/>
            <w:vAlign w:val="bottom"/>
          </w:tcPr>
          <w:p>
            <w:pPr>
              <w:spacing w:after="0"/>
              <w:rPr>
                <w:sz w:val="1"/>
                <w:szCs w:val="1"/>
                <w:color w:val="auto"/>
              </w:rPr>
            </w:pPr>
          </w:p>
        </w:tc>
      </w:tr>
      <w:tr>
        <w:trPr>
          <w:trHeight w:val="183"/>
        </w:trPr>
        <w:tc>
          <w:tcPr>
            <w:tcW w:w="940" w:type="dxa"/>
            <w:vAlign w:val="bottom"/>
            <w:tcBorders>
              <w:bottom w:val="single" w:sz="8" w:color="CCEEFF"/>
              <w:right w:val="single" w:sz="8" w:color="CCEEFF"/>
            </w:tcBorders>
            <w:shd w:val="clear" w:color="auto" w:fill="CCEEFF"/>
          </w:tcPr>
          <w:p>
            <w:pPr>
              <w:spacing w:after="0"/>
              <w:rPr>
                <w:sz w:val="15"/>
                <w:szCs w:val="15"/>
                <w:color w:val="auto"/>
              </w:rPr>
            </w:pPr>
          </w:p>
        </w:tc>
        <w:tc>
          <w:tcPr>
            <w:tcW w:w="5000" w:type="dxa"/>
            <w:vAlign w:val="bottom"/>
            <w:tcBorders>
              <w:bottom w:val="single" w:sz="8" w:color="0000EE"/>
            </w:tcBorders>
            <w:gridSpan w:val="23"/>
            <w:shd w:val="clear" w:color="auto" w:fill="CCEEFF"/>
          </w:tcPr>
          <w:p>
            <w:pPr>
              <w:spacing w:after="0" w:line="183" w:lineRule="exact"/>
              <w:rPr>
                <w:rFonts w:ascii="Times New Roman" w:cs="Times New Roman" w:eastAsia="Times New Roman" w:hAnsi="Times New Roman"/>
                <w:sz w:val="16"/>
                <w:szCs w:val="16"/>
                <w:color w:val="0000EE"/>
              </w:rPr>
            </w:pPr>
            <w:hyperlink r:id="rId77">
              <w:r>
                <w:rPr>
                  <w:rFonts w:ascii="Times New Roman" w:cs="Times New Roman" w:eastAsia="Times New Roman" w:hAnsi="Times New Roman"/>
                  <w:sz w:val="16"/>
                  <w:szCs w:val="16"/>
                  <w:color w:val="0000EE"/>
                </w:rPr>
                <w:t>Apparel Group, Ltd. (“G-III”) and LVMH Moet Hennessy Louis Vuitton Inc.</w:t>
              </w:r>
            </w:hyperlink>
          </w:p>
        </w:tc>
        <w:tc>
          <w:tcPr>
            <w:tcW w:w="340" w:type="dxa"/>
            <w:vAlign w:val="bottom"/>
            <w:tcBorders>
              <w:bottom w:val="single" w:sz="8" w:color="CCEEFF"/>
            </w:tcBorders>
            <w:gridSpan w:val="11"/>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34"/>
            <w:shd w:val="clear" w:color="auto" w:fill="CCEEFF"/>
          </w:tcPr>
          <w:p>
            <w:pPr>
              <w:spacing w:after="0" w:line="183" w:lineRule="exact"/>
              <w:rPr>
                <w:rFonts w:ascii="Times New Roman" w:cs="Times New Roman" w:eastAsia="Times New Roman" w:hAnsi="Times New Roman"/>
                <w:sz w:val="16"/>
                <w:szCs w:val="16"/>
                <w:color w:val="0000EE"/>
              </w:rPr>
            </w:pPr>
            <w:hyperlink r:id="rId77">
              <w:r>
                <w:rPr>
                  <w:rFonts w:ascii="Times New Roman" w:cs="Times New Roman" w:eastAsia="Times New Roman" w:hAnsi="Times New Roman"/>
                  <w:sz w:val="16"/>
                  <w:szCs w:val="16"/>
                  <w:color w:val="0000EE"/>
                </w:rPr>
                <w:t>(“LVMH”) (including the exhibits thereto).</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2.1(a)</w:t>
            </w:r>
          </w:p>
        </w:tc>
        <w:tc>
          <w:tcPr>
            <w:tcW w:w="5160" w:type="dxa"/>
            <w:vAlign w:val="bottom"/>
            <w:tcBorders>
              <w:bottom w:val="single" w:sz="8" w:color="0000EE"/>
            </w:tcBorders>
            <w:gridSpan w:val="28"/>
          </w:tcPr>
          <w:p>
            <w:pPr>
              <w:spacing w:after="0" w:line="162" w:lineRule="exact"/>
              <w:rPr>
                <w:rFonts w:ascii="Times New Roman" w:cs="Times New Roman" w:eastAsia="Times New Roman" w:hAnsi="Times New Roman"/>
                <w:sz w:val="16"/>
                <w:szCs w:val="16"/>
                <w:color w:val="0000EE"/>
              </w:rPr>
            </w:pPr>
            <w:hyperlink r:id="rId78">
              <w:r>
                <w:rPr>
                  <w:rFonts w:ascii="Times New Roman" w:cs="Times New Roman" w:eastAsia="Times New Roman" w:hAnsi="Times New Roman"/>
                  <w:sz w:val="16"/>
                  <w:szCs w:val="16"/>
                  <w:color w:val="0000EE"/>
                </w:rPr>
                <w:t>Amendment No. 1 to Stock Purchase Agreement, dated November 30, 2016, by</w:t>
              </w:r>
            </w:hyperlink>
          </w:p>
        </w:tc>
        <w:tc>
          <w:tcPr>
            <w:tcW w:w="180" w:type="dxa"/>
            <w:vAlign w:val="bottom"/>
            <w:gridSpan w:val="6"/>
          </w:tcPr>
          <w:p>
            <w:pPr>
              <w:spacing w:after="0"/>
              <w:rPr>
                <w:sz w:val="14"/>
                <w:szCs w:val="14"/>
                <w:color w:val="auto"/>
              </w:rPr>
            </w:pPr>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12/6/2016</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34"/>
          </w:tcPr>
          <w:p>
            <w:pPr>
              <w:spacing w:after="0" w:line="183" w:lineRule="exact"/>
              <w:rPr>
                <w:rFonts w:ascii="Times New Roman" w:cs="Times New Roman" w:eastAsia="Times New Roman" w:hAnsi="Times New Roman"/>
                <w:sz w:val="16"/>
                <w:szCs w:val="16"/>
                <w:color w:val="0000EE"/>
              </w:rPr>
            </w:pPr>
            <w:hyperlink r:id="rId78">
              <w:r>
                <w:rPr>
                  <w:rFonts w:ascii="Times New Roman" w:cs="Times New Roman" w:eastAsia="Times New Roman" w:hAnsi="Times New Roman"/>
                  <w:sz w:val="16"/>
                  <w:szCs w:val="16"/>
                  <w:color w:val="0000EE"/>
                </w:rPr>
                <w:t>and between G-III and LVMH.</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534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 of Incorporation.</w:t>
            </w:r>
          </w:p>
        </w:tc>
        <w:tc>
          <w:tcPr>
            <w:tcW w:w="11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000-18183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7/2/2008</w:t>
            </w: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3.1(a)</w:t>
            </w:r>
          </w:p>
        </w:tc>
        <w:tc>
          <w:tcPr>
            <w:tcW w:w="5340" w:type="dxa"/>
            <w:vAlign w:val="bottom"/>
            <w:gridSpan w:val="34"/>
          </w:tcPr>
          <w:p>
            <w:pPr>
              <w:spacing w:after="0" w:line="162" w:lineRule="exact"/>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Certificate of Amendment of Certificate of Incorporation, dated June 8, 2006.</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(Q2 2007)</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9/13/2006</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3.1(b)</w:t>
            </w:r>
          </w:p>
        </w:tc>
        <w:tc>
          <w:tcPr>
            <w:tcW w:w="5020" w:type="dxa"/>
            <w:vAlign w:val="bottom"/>
            <w:tcBorders>
              <w:bottom w:val="single" w:sz="8" w:color="0000EE"/>
            </w:tcBorders>
            <w:gridSpan w:val="24"/>
            <w:shd w:val="clear" w:color="auto" w:fill="CCEEFF"/>
          </w:tcPr>
          <w:p>
            <w:pPr>
              <w:spacing w:after="0" w:line="162"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Certificate of Amendment of Certificate of Incorporation, dated June 7, 2011.</w:t>
              </w:r>
            </w:hyperlink>
          </w:p>
        </w:tc>
        <w:tc>
          <w:tcPr>
            <w:tcW w:w="320" w:type="dxa"/>
            <w:vAlign w:val="bottom"/>
            <w:tcBorders>
              <w:bottom w:val="single" w:sz="8" w:color="CCEEFF"/>
            </w:tcBorders>
            <w:gridSpan w:val="10"/>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6/9/2011</w:t>
            </w: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3.1(c)</w:t>
            </w:r>
          </w:p>
        </w:tc>
        <w:tc>
          <w:tcPr>
            <w:tcW w:w="5340" w:type="dxa"/>
            <w:vAlign w:val="bottom"/>
            <w:gridSpan w:val="34"/>
          </w:tcPr>
          <w:p>
            <w:pPr>
              <w:spacing w:after="0" w:line="162"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Certificate of Amendment of Certificate of Incorporation, dated June 30, 2015.</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7/1/2015</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3.2</w:t>
            </w:r>
          </w:p>
        </w:tc>
        <w:tc>
          <w:tcPr>
            <w:tcW w:w="2060" w:type="dxa"/>
            <w:vAlign w:val="bottom"/>
            <w:tcBorders>
              <w:bottom w:val="single" w:sz="8" w:color="0000EE"/>
            </w:tcBorders>
            <w:gridSpan w:val="8"/>
            <w:shd w:val="clear" w:color="auto" w:fill="CCEEFF"/>
          </w:tcPr>
          <w:p>
            <w:pPr>
              <w:spacing w:after="0" w:line="162" w:lineRule="exact"/>
              <w:rPr>
                <w:rFonts w:ascii="Times New Roman" w:cs="Times New Roman" w:eastAsia="Times New Roman" w:hAnsi="Times New Roman"/>
                <w:sz w:val="16"/>
                <w:szCs w:val="16"/>
                <w:color w:val="0000EE"/>
              </w:rPr>
            </w:pPr>
            <w:hyperlink r:id="rId82">
              <w:r>
                <w:rPr>
                  <w:rFonts w:ascii="Times New Roman" w:cs="Times New Roman" w:eastAsia="Times New Roman" w:hAnsi="Times New Roman"/>
                  <w:sz w:val="16"/>
                  <w:szCs w:val="16"/>
                  <w:color w:val="0000EE"/>
                </w:rPr>
                <w:t>By-Laws, as amended, of G-III.</w:t>
              </w:r>
            </w:hyperlink>
          </w:p>
        </w:tc>
        <w:tc>
          <w:tcPr>
            <w:tcW w:w="3280" w:type="dxa"/>
            <w:vAlign w:val="bottom"/>
            <w:tcBorders>
              <w:bottom w:val="single" w:sz="8" w:color="CCEEFF"/>
            </w:tcBorders>
            <w:gridSpan w:val="26"/>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3/15/2013</w:t>
            </w: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4.1</w:t>
            </w:r>
          </w:p>
        </w:tc>
        <w:tc>
          <w:tcPr>
            <w:tcW w:w="5340" w:type="dxa"/>
            <w:vAlign w:val="bottom"/>
            <w:gridSpan w:val="34"/>
          </w:tcPr>
          <w:p>
            <w:pPr>
              <w:spacing w:after="0" w:line="162"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Promissory Note, dated December 1, 2016, from G-III to LVMH.</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12/6/2016</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4.1(a)</w:t>
            </w:r>
          </w:p>
        </w:tc>
        <w:tc>
          <w:tcPr>
            <w:tcW w:w="4980" w:type="dxa"/>
            <w:vAlign w:val="bottom"/>
            <w:tcBorders>
              <w:bottom w:val="single" w:sz="8" w:color="0000EE"/>
            </w:tcBorders>
            <w:gridSpan w:val="22"/>
            <w:shd w:val="clear" w:color="auto" w:fill="CCEEFF"/>
          </w:tcPr>
          <w:p>
            <w:pPr>
              <w:spacing w:after="0" w:line="162" w:lineRule="exact"/>
              <w:rPr>
                <w:rFonts w:ascii="Times New Roman" w:cs="Times New Roman" w:eastAsia="Times New Roman" w:hAnsi="Times New Roman"/>
                <w:sz w:val="16"/>
                <w:szCs w:val="16"/>
                <w:color w:val="0000EE"/>
              </w:rPr>
            </w:pPr>
            <w:hyperlink r:id="rId84">
              <w:r>
                <w:rPr>
                  <w:rFonts w:ascii="Times New Roman" w:cs="Times New Roman" w:eastAsia="Times New Roman" w:hAnsi="Times New Roman"/>
                  <w:sz w:val="16"/>
                  <w:szCs w:val="16"/>
                  <w:color w:val="0000EE"/>
                </w:rPr>
                <w:t>Indenture, dated as of August 7, 2020, among G-III Apparel Group, Ltd., the</w:t>
              </w:r>
            </w:hyperlink>
          </w:p>
        </w:tc>
        <w:tc>
          <w:tcPr>
            <w:tcW w:w="360" w:type="dxa"/>
            <w:vAlign w:val="bottom"/>
            <w:tcBorders>
              <w:bottom w:val="single" w:sz="8" w:color="CCEEFF"/>
            </w:tcBorders>
            <w:gridSpan w:val="12"/>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8/7/2020</w:t>
            </w:r>
          </w:p>
        </w:tc>
        <w:tc>
          <w:tcPr>
            <w:tcW w:w="0" w:type="dxa"/>
            <w:vAlign w:val="bottom"/>
          </w:tcPr>
          <w:p>
            <w:pPr>
              <w:spacing w:after="0"/>
              <w:rPr>
                <w:sz w:val="1"/>
                <w:szCs w:val="1"/>
                <w:color w:val="auto"/>
              </w:rPr>
            </w:pPr>
          </w:p>
        </w:tc>
      </w:tr>
      <w:tr>
        <w:trPr>
          <w:trHeight w:val="183"/>
        </w:trPr>
        <w:tc>
          <w:tcPr>
            <w:tcW w:w="940" w:type="dxa"/>
            <w:vAlign w:val="bottom"/>
            <w:tcBorders>
              <w:bottom w:val="single" w:sz="8" w:color="CCEEFF"/>
              <w:right w:val="single" w:sz="8" w:color="CCEEFF"/>
            </w:tcBorders>
            <w:shd w:val="clear" w:color="auto" w:fill="CCEEFF"/>
          </w:tcPr>
          <w:p>
            <w:pPr>
              <w:spacing w:after="0"/>
              <w:rPr>
                <w:sz w:val="15"/>
                <w:szCs w:val="15"/>
                <w:color w:val="auto"/>
              </w:rPr>
            </w:pPr>
          </w:p>
        </w:tc>
        <w:tc>
          <w:tcPr>
            <w:tcW w:w="4940" w:type="dxa"/>
            <w:vAlign w:val="bottom"/>
            <w:tcBorders>
              <w:bottom w:val="single" w:sz="8" w:color="0000EE"/>
            </w:tcBorders>
            <w:gridSpan w:val="20"/>
            <w:shd w:val="clear" w:color="auto" w:fill="CCEEFF"/>
          </w:tcPr>
          <w:p>
            <w:pPr>
              <w:spacing w:after="0" w:line="183" w:lineRule="exact"/>
              <w:rPr>
                <w:rFonts w:ascii="Times New Roman" w:cs="Times New Roman" w:eastAsia="Times New Roman" w:hAnsi="Times New Roman"/>
                <w:sz w:val="16"/>
                <w:szCs w:val="16"/>
                <w:color w:val="0000EE"/>
              </w:rPr>
            </w:pPr>
            <w:hyperlink r:id="rId84">
              <w:r>
                <w:rPr>
                  <w:rFonts w:ascii="Times New Roman" w:cs="Times New Roman" w:eastAsia="Times New Roman" w:hAnsi="Times New Roman"/>
                  <w:sz w:val="16"/>
                  <w:szCs w:val="16"/>
                  <w:color w:val="0000EE"/>
                </w:rPr>
                <w:t>guarantors party thereto and U.S. Bank, National Association, as trustee and</w:t>
              </w:r>
            </w:hyperlink>
          </w:p>
        </w:tc>
        <w:tc>
          <w:tcPr>
            <w:tcW w:w="400" w:type="dxa"/>
            <w:vAlign w:val="bottom"/>
            <w:tcBorders>
              <w:bottom w:val="single" w:sz="8" w:color="CCEEFF"/>
            </w:tcBorders>
            <w:gridSpan w:val="14"/>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Borders>
              <w:right w:val="single" w:sz="8" w:color="CCEEFF"/>
            </w:tcBorders>
            <w:shd w:val="clear" w:color="auto" w:fill="CCEEFF"/>
          </w:tcPr>
          <w:p>
            <w:pPr>
              <w:spacing w:after="0"/>
              <w:rPr>
                <w:sz w:val="17"/>
                <w:szCs w:val="17"/>
                <w:color w:val="auto"/>
              </w:rPr>
            </w:pPr>
          </w:p>
        </w:tc>
        <w:tc>
          <w:tcPr>
            <w:tcW w:w="5340" w:type="dxa"/>
            <w:vAlign w:val="bottom"/>
            <w:gridSpan w:val="34"/>
            <w:shd w:val="clear" w:color="auto" w:fill="CCEEFF"/>
          </w:tcPr>
          <w:p>
            <w:pPr>
              <w:spacing w:after="0" w:line="183" w:lineRule="exact"/>
              <w:rPr>
                <w:rFonts w:ascii="Times New Roman" w:cs="Times New Roman" w:eastAsia="Times New Roman" w:hAnsi="Times New Roman"/>
                <w:sz w:val="16"/>
                <w:szCs w:val="16"/>
                <w:color w:val="0000EE"/>
              </w:rPr>
            </w:pPr>
            <w:hyperlink r:id="rId84">
              <w:r>
                <w:rPr>
                  <w:rFonts w:ascii="Times New Roman" w:cs="Times New Roman" w:eastAsia="Times New Roman" w:hAnsi="Times New Roman"/>
                  <w:sz w:val="16"/>
                  <w:szCs w:val="16"/>
                  <w:color w:val="0000EE"/>
                </w:rPr>
                <w:t>collateral agent, relating to the 7.875% Senior Secured Notes due 2025.</w:t>
              </w:r>
            </w:hyperlink>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4.2</w:t>
            </w:r>
          </w:p>
        </w:tc>
        <w:tc>
          <w:tcPr>
            <w:tcW w:w="4620" w:type="dxa"/>
            <w:vAlign w:val="bottom"/>
            <w:tcBorders>
              <w:top w:val="single" w:sz="8" w:color="0000EE"/>
            </w:tcBorders>
            <w:gridSpan w:val="15"/>
          </w:tcPr>
          <w:p>
            <w:pPr>
              <w:spacing w:after="0" w:line="162"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Description of Securities</w:t>
              </w:r>
            </w:hyperlink>
          </w:p>
        </w:tc>
        <w:tc>
          <w:tcPr>
            <w:tcW w:w="720" w:type="dxa"/>
            <w:vAlign w:val="bottom"/>
            <w:tcBorders>
              <w:top w:val="single" w:sz="8" w:color="CCEEFF"/>
            </w:tcBorders>
            <w:gridSpan w:val="19"/>
          </w:tcPr>
          <w:p>
            <w:pPr>
              <w:spacing w:after="0"/>
              <w:rPr>
                <w:sz w:val="14"/>
                <w:szCs w:val="14"/>
                <w:color w:val="auto"/>
              </w:rPr>
            </w:pPr>
          </w:p>
        </w:tc>
        <w:tc>
          <w:tcPr>
            <w:tcW w:w="1120" w:type="dxa"/>
            <w:vAlign w:val="bottom"/>
            <w:tcBorders>
              <w:top w:val="single" w:sz="8" w:color="CCEEFF"/>
            </w:tcBorders>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 (2020)</w:t>
            </w:r>
          </w:p>
        </w:tc>
        <w:tc>
          <w:tcPr>
            <w:tcW w:w="740" w:type="dxa"/>
            <w:vAlign w:val="bottom"/>
            <w:tcBorders>
              <w:top w:val="single" w:sz="8" w:color="CCEEFF"/>
            </w:tcBorders>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3/30/2020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w:t>
            </w:r>
          </w:p>
        </w:tc>
        <w:tc>
          <w:tcPr>
            <w:tcW w:w="4940" w:type="dxa"/>
            <w:vAlign w:val="bottom"/>
            <w:tcBorders>
              <w:bottom w:val="single" w:sz="8" w:color="0000EE"/>
            </w:tcBorders>
            <w:gridSpan w:val="20"/>
            <w:shd w:val="clear" w:color="auto" w:fill="CCEEFF"/>
          </w:tcPr>
          <w:p>
            <w:pPr>
              <w:spacing w:after="0" w:line="162"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Employment Agreement, dated February 1, 1994, between G-III and Morris</w:t>
              </w:r>
            </w:hyperlink>
          </w:p>
        </w:tc>
        <w:tc>
          <w:tcPr>
            <w:tcW w:w="400" w:type="dxa"/>
            <w:vAlign w:val="bottom"/>
            <w:tcBorders>
              <w:bottom w:val="single" w:sz="8" w:color="CCEEFF"/>
            </w:tcBorders>
            <w:gridSpan w:val="14"/>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5/8/2006</w:t>
            </w:r>
          </w:p>
        </w:tc>
        <w:tc>
          <w:tcPr>
            <w:tcW w:w="0" w:type="dxa"/>
            <w:vAlign w:val="bottom"/>
          </w:tcPr>
          <w:p>
            <w:pPr>
              <w:spacing w:after="0"/>
              <w:rPr>
                <w:sz w:val="1"/>
                <w:szCs w:val="1"/>
                <w:color w:val="auto"/>
              </w:rPr>
            </w:pPr>
          </w:p>
        </w:tc>
      </w:tr>
      <w:tr>
        <w:trPr>
          <w:trHeight w:val="203"/>
        </w:trPr>
        <w:tc>
          <w:tcPr>
            <w:tcW w:w="940" w:type="dxa"/>
            <w:vAlign w:val="bottom"/>
            <w:tcBorders>
              <w:bottom w:val="single" w:sz="8" w:color="CCEEFF"/>
              <w:right w:val="single" w:sz="8" w:color="CCEEFF"/>
            </w:tcBorders>
            <w:shd w:val="clear" w:color="auto" w:fill="CCEEFF"/>
          </w:tcPr>
          <w:p>
            <w:pPr>
              <w:spacing w:after="0"/>
              <w:rPr>
                <w:sz w:val="17"/>
                <w:szCs w:val="17"/>
                <w:color w:val="auto"/>
              </w:rPr>
            </w:pPr>
          </w:p>
        </w:tc>
        <w:tc>
          <w:tcPr>
            <w:tcW w:w="620" w:type="dxa"/>
            <w:vAlign w:val="bottom"/>
            <w:tcBorders>
              <w:bottom w:val="single" w:sz="8" w:color="0000EE"/>
            </w:tcBorders>
            <w:shd w:val="clear" w:color="auto" w:fill="CCEEFF"/>
          </w:tcPr>
          <w:p>
            <w:pPr>
              <w:spacing w:after="0" w:line="183" w:lineRule="exact"/>
              <w:rPr>
                <w:rFonts w:ascii="Times New Roman" w:cs="Times New Roman" w:eastAsia="Times New Roman" w:hAnsi="Times New Roman"/>
                <w:sz w:val="16"/>
                <w:szCs w:val="16"/>
                <w:color w:val="0000EE"/>
                <w:w w:val="97"/>
              </w:rPr>
            </w:pPr>
            <w:hyperlink r:id="rId86">
              <w:r>
                <w:rPr>
                  <w:rFonts w:ascii="Times New Roman" w:cs="Times New Roman" w:eastAsia="Times New Roman" w:hAnsi="Times New Roman"/>
                  <w:sz w:val="16"/>
                  <w:szCs w:val="16"/>
                  <w:color w:val="0000EE"/>
                  <w:w w:val="97"/>
                </w:rPr>
                <w:t>Goldfarb.</w:t>
              </w:r>
            </w:hyperlink>
          </w:p>
        </w:tc>
        <w:tc>
          <w:tcPr>
            <w:tcW w:w="4720" w:type="dxa"/>
            <w:vAlign w:val="bottom"/>
            <w:tcBorders>
              <w:bottom w:val="single" w:sz="8" w:color="CCEEFF"/>
            </w:tcBorders>
            <w:gridSpan w:val="33"/>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10.1(a)</w:t>
            </w:r>
          </w:p>
        </w:tc>
        <w:tc>
          <w:tcPr>
            <w:tcW w:w="5340" w:type="dxa"/>
            <w:vAlign w:val="bottom"/>
            <w:gridSpan w:val="34"/>
          </w:tcPr>
          <w:p>
            <w:pPr>
              <w:spacing w:after="0" w:line="162"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Amendment, dated October 1, 1999, to the Employment Agreement, dated</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5/8/2006</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820" w:type="dxa"/>
            <w:vAlign w:val="bottom"/>
            <w:tcBorders>
              <w:top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February 1, 1994, between G-III and Morris Goldfarb.</w:t>
              </w:r>
            </w:hyperlink>
          </w:p>
        </w:tc>
        <w:tc>
          <w:tcPr>
            <w:tcW w:w="520" w:type="dxa"/>
            <w:vAlign w:val="bottom"/>
            <w:gridSpan w:val="17"/>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10.1(b)</w:t>
            </w:r>
          </w:p>
        </w:tc>
        <w:tc>
          <w:tcPr>
            <w:tcW w:w="5340" w:type="dxa"/>
            <w:vAlign w:val="bottom"/>
            <w:gridSpan w:val="34"/>
            <w:shd w:val="clear" w:color="auto" w:fill="CCEEFF"/>
          </w:tcPr>
          <w:p>
            <w:pPr>
              <w:spacing w:after="0" w:line="162"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Amendment, dated January 28, 2009, to Employment Agreement, dated</w:t>
              </w:r>
            </w:hyperlink>
          </w:p>
        </w:tc>
        <w:tc>
          <w:tcPr>
            <w:tcW w:w="1120" w:type="dxa"/>
            <w:vAlign w:val="bottom"/>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2/3/2009</w:t>
            </w: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520" w:type="dxa"/>
            <w:vAlign w:val="bottom"/>
            <w:tcBorders>
              <w:top w:val="single" w:sz="8" w:color="0000EE"/>
              <w:bottom w:val="single" w:sz="8" w:color="0000EE"/>
            </w:tcBorders>
            <w:gridSpan w:val="11"/>
            <w:shd w:val="clear" w:color="auto" w:fill="CCEEFF"/>
          </w:tcPr>
          <w:p>
            <w:pPr>
              <w:spacing w:after="0" w:line="183"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February 1, 1994, between G-III and Morris Goldfarb.</w:t>
              </w:r>
            </w:hyperlink>
          </w:p>
        </w:tc>
        <w:tc>
          <w:tcPr>
            <w:tcW w:w="112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700" w:type="dxa"/>
            <w:vAlign w:val="bottom"/>
            <w:tcBorders>
              <w:top w:val="single" w:sz="8" w:color="CCEEFF"/>
              <w:bottom w:val="single" w:sz="8" w:color="CCEEFF"/>
            </w:tcBorders>
            <w:gridSpan w:val="18"/>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10.1(c)</w:t>
            </w:r>
          </w:p>
        </w:tc>
        <w:tc>
          <w:tcPr>
            <w:tcW w:w="5000" w:type="dxa"/>
            <w:vAlign w:val="bottom"/>
            <w:tcBorders>
              <w:bottom w:val="single" w:sz="8" w:color="0000EE"/>
            </w:tcBorders>
            <w:gridSpan w:val="23"/>
          </w:tcPr>
          <w:p>
            <w:pPr>
              <w:spacing w:after="0" w:line="162"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Letter Amendment, dated March 13, 2013, to Employment Agreement, dated</w:t>
              </w:r>
            </w:hyperlink>
          </w:p>
        </w:tc>
        <w:tc>
          <w:tcPr>
            <w:tcW w:w="340" w:type="dxa"/>
            <w:vAlign w:val="bottom"/>
            <w:gridSpan w:val="11"/>
          </w:tcPr>
          <w:p>
            <w:pPr>
              <w:spacing w:after="0"/>
              <w:rPr>
                <w:sz w:val="14"/>
                <w:szCs w:val="14"/>
                <w:color w:val="auto"/>
              </w:rPr>
            </w:pPr>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3/15/2013</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34"/>
          </w:tcPr>
          <w:p>
            <w:pPr>
              <w:spacing w:after="0" w:line="183"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February 1, 1994, between G-III and Morris Goldfarb.</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10.1(d)</w:t>
            </w:r>
          </w:p>
        </w:tc>
        <w:tc>
          <w:tcPr>
            <w:tcW w:w="4920" w:type="dxa"/>
            <w:vAlign w:val="bottom"/>
            <w:tcBorders>
              <w:bottom w:val="single" w:sz="8" w:color="0000EE"/>
            </w:tcBorders>
            <w:gridSpan w:val="19"/>
            <w:shd w:val="clear" w:color="auto" w:fill="CCEEFF"/>
          </w:tcPr>
          <w:p>
            <w:pPr>
              <w:spacing w:after="0" w:line="162"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Letter Amendment, dated April 28, 2014, to Employment Agreement, dated</w:t>
              </w:r>
            </w:hyperlink>
          </w:p>
        </w:tc>
        <w:tc>
          <w:tcPr>
            <w:tcW w:w="420" w:type="dxa"/>
            <w:vAlign w:val="bottom"/>
            <w:tcBorders>
              <w:bottom w:val="single" w:sz="8" w:color="CCEEFF"/>
            </w:tcBorders>
            <w:gridSpan w:val="15"/>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5/14/2015</w:t>
            </w:r>
          </w:p>
        </w:tc>
        <w:tc>
          <w:tcPr>
            <w:tcW w:w="0" w:type="dxa"/>
            <w:vAlign w:val="bottom"/>
          </w:tcPr>
          <w:p>
            <w:pPr>
              <w:spacing w:after="0"/>
              <w:rPr>
                <w:sz w:val="1"/>
                <w:szCs w:val="1"/>
                <w:color w:val="auto"/>
              </w:rPr>
            </w:pPr>
          </w:p>
        </w:tc>
      </w:tr>
      <w:tr>
        <w:trPr>
          <w:trHeight w:val="203"/>
        </w:trPr>
        <w:tc>
          <w:tcPr>
            <w:tcW w:w="940" w:type="dxa"/>
            <w:vAlign w:val="bottom"/>
            <w:tcBorders>
              <w:bottom w:val="single" w:sz="8" w:color="CCEEFF"/>
              <w:right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11"/>
            <w:shd w:val="clear" w:color="auto" w:fill="CCEEFF"/>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February 1, 1994, between G-III and Morris Goldfarb.</w:t>
              </w:r>
            </w:hyperlink>
          </w:p>
        </w:tc>
        <w:tc>
          <w:tcPr>
            <w:tcW w:w="1820" w:type="dxa"/>
            <w:vAlign w:val="bottom"/>
            <w:tcBorders>
              <w:bottom w:val="single" w:sz="8" w:color="CCEEFF"/>
            </w:tcBorders>
            <w:gridSpan w:val="23"/>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10.2</w:t>
            </w:r>
          </w:p>
        </w:tc>
        <w:tc>
          <w:tcPr>
            <w:tcW w:w="5040" w:type="dxa"/>
            <w:vAlign w:val="bottom"/>
            <w:tcBorders>
              <w:bottom w:val="single" w:sz="8" w:color="0000EE"/>
            </w:tcBorders>
            <w:gridSpan w:val="25"/>
          </w:tcPr>
          <w:p>
            <w:pPr>
              <w:spacing w:after="0" w:line="162"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Second Amended and Restated ABL Credit Agreement, dated as of August 7,</w:t>
              </w:r>
            </w:hyperlink>
          </w:p>
        </w:tc>
        <w:tc>
          <w:tcPr>
            <w:tcW w:w="300" w:type="dxa"/>
            <w:vAlign w:val="bottom"/>
            <w:gridSpan w:val="9"/>
          </w:tcPr>
          <w:p>
            <w:pPr>
              <w:spacing w:after="0"/>
              <w:rPr>
                <w:sz w:val="14"/>
                <w:szCs w:val="14"/>
                <w:color w:val="auto"/>
              </w:rPr>
            </w:pPr>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8/7/2020</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tcBorders>
              <w:bottom w:val="single" w:sz="8" w:color="0000EE"/>
            </w:tcBorders>
            <w:gridSpan w:val="34"/>
          </w:tcPr>
          <w:p>
            <w:pPr>
              <w:spacing w:after="0" w:line="183"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2020, among G-III Leather Fashions, Inc., Riviera Sun, Inc., CK Outerwear, LLC,</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20" w:type="dxa"/>
            <w:vAlign w:val="bottom"/>
            <w:tcBorders>
              <w:bottom w:val="single" w:sz="8" w:color="0000EE"/>
            </w:tcBorders>
            <w:gridSpan w:val="33"/>
          </w:tcPr>
          <w:p>
            <w:pPr>
              <w:spacing w:after="0" w:line="183"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AM Retail Group, Inc. and The Donna Karan Company Store LLC, as Borrowers,</w:t>
              </w:r>
            </w:hyperlink>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34"/>
          </w:tcPr>
          <w:p>
            <w:pPr>
              <w:spacing w:after="0" w:line="183"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the other Borrowers party thereto, the Loan Guarantors party thereto, the Lenders</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260" w:type="dxa"/>
            <w:vAlign w:val="bottom"/>
            <w:tcBorders>
              <w:top w:val="single" w:sz="8" w:color="0000EE"/>
            </w:tcBorders>
            <w:gridSpan w:val="32"/>
          </w:tcPr>
          <w:p>
            <w:pPr>
              <w:spacing w:after="0" w:line="183"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party thereto and JPMorgan Chase Bank, N.A., as the Administrative Agent.</w:t>
              </w:r>
            </w:hyperlink>
          </w:p>
        </w:tc>
        <w:tc>
          <w:tcPr>
            <w:tcW w:w="8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10.3</w:t>
            </w:r>
          </w:p>
        </w:tc>
        <w:tc>
          <w:tcPr>
            <w:tcW w:w="5340" w:type="dxa"/>
            <w:vAlign w:val="bottom"/>
            <w:gridSpan w:val="34"/>
            <w:shd w:val="clear" w:color="auto" w:fill="CCEEFF"/>
          </w:tcPr>
          <w:p>
            <w:pPr>
              <w:spacing w:after="0" w:line="162"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Lease, dated June 1, 1993, between 512 Seventh Avenue Associates (“512”) and</w:t>
              </w:r>
            </w:hyperlink>
          </w:p>
        </w:tc>
        <w:tc>
          <w:tcPr>
            <w:tcW w:w="1120" w:type="dxa"/>
            <w:vAlign w:val="bottom"/>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7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5/8/2006</w:t>
            </w: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460" w:type="dxa"/>
            <w:vAlign w:val="bottom"/>
            <w:tcBorders>
              <w:top w:val="single" w:sz="8" w:color="0000EE"/>
              <w:bottom w:val="single" w:sz="8" w:color="0000EE"/>
            </w:tcBorders>
            <w:gridSpan w:val="14"/>
            <w:shd w:val="clear" w:color="auto" w:fill="CCEEFF"/>
          </w:tcPr>
          <w:p>
            <w:pPr>
              <w:spacing w:after="0" w:line="183"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G-III Leather Fashions, Inc. (“G-III Leather”) (34th and 35th floors).</w:t>
              </w:r>
            </w:hyperlink>
          </w:p>
        </w:tc>
        <w:tc>
          <w:tcPr>
            <w:tcW w:w="740" w:type="dxa"/>
            <w:vAlign w:val="bottom"/>
            <w:tcBorders>
              <w:top w:val="single" w:sz="8" w:color="0000EE"/>
              <w:bottom w:val="single" w:sz="8" w:color="CCEEFF"/>
            </w:tcBorders>
            <w:gridSpan w:val="16"/>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10.3(a)</w:t>
            </w:r>
          </w:p>
        </w:tc>
        <w:tc>
          <w:tcPr>
            <w:tcW w:w="5180" w:type="dxa"/>
            <w:vAlign w:val="bottom"/>
            <w:tcBorders>
              <w:bottom w:val="single" w:sz="8" w:color="0000EE"/>
            </w:tcBorders>
            <w:gridSpan w:val="29"/>
          </w:tcPr>
          <w:p>
            <w:pPr>
              <w:spacing w:after="0" w:line="162"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Lease amendment, dated July 1, 2000, between 512 and G-III Leather (34th and</w:t>
              </w:r>
            </w:hyperlink>
          </w:p>
        </w:tc>
        <w:tc>
          <w:tcPr>
            <w:tcW w:w="160" w:type="dxa"/>
            <w:vAlign w:val="bottom"/>
            <w:gridSpan w:val="5"/>
          </w:tcPr>
          <w:p>
            <w:pPr>
              <w:spacing w:after="0"/>
              <w:rPr>
                <w:sz w:val="14"/>
                <w:szCs w:val="14"/>
                <w:color w:val="auto"/>
              </w:rPr>
            </w:pPr>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5/8/2006</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34"/>
          </w:tcPr>
          <w:p>
            <w:pPr>
              <w:spacing w:after="0" w:line="183"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35th floors).</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10.3(b)</w:t>
            </w:r>
          </w:p>
        </w:tc>
        <w:tc>
          <w:tcPr>
            <w:tcW w:w="5340" w:type="dxa"/>
            <w:vAlign w:val="bottom"/>
            <w:gridSpan w:val="34"/>
            <w:shd w:val="clear" w:color="auto" w:fill="CCEEFF"/>
          </w:tcPr>
          <w:p>
            <w:pPr>
              <w:spacing w:after="0" w:line="162"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Second Amendment of Lease, dated March 26, 2010, between 500-512 Seventh</w:t>
              </w:r>
            </w:hyperlink>
          </w:p>
        </w:tc>
        <w:tc>
          <w:tcPr>
            <w:tcW w:w="1120" w:type="dxa"/>
            <w:vAlign w:val="bottom"/>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(Q3 2011)</w:t>
            </w:r>
          </w:p>
        </w:tc>
        <w:tc>
          <w:tcPr>
            <w:tcW w:w="152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 12/10/2010</w:t>
            </w:r>
          </w:p>
        </w:tc>
        <w:tc>
          <w:tcPr>
            <w:tcW w:w="0" w:type="dxa"/>
            <w:vAlign w:val="bottom"/>
          </w:tcPr>
          <w:p>
            <w:pPr>
              <w:spacing w:after="0"/>
              <w:rPr>
                <w:sz w:val="1"/>
                <w:szCs w:val="1"/>
                <w:color w:val="auto"/>
              </w:rPr>
            </w:pPr>
          </w:p>
        </w:tc>
      </w:tr>
      <w:tr>
        <w:trPr>
          <w:trHeight w:val="20"/>
        </w:trPr>
        <w:tc>
          <w:tcPr>
            <w:tcW w:w="94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Borders>
              <w:bottom w:val="single" w:sz="8" w:color="CCEEFF"/>
              <w:right w:val="single" w:sz="8" w:color="CCEEFF"/>
            </w:tcBorders>
            <w:shd w:val="clear" w:color="auto" w:fill="CCEEFF"/>
          </w:tcPr>
          <w:p>
            <w:pPr>
              <w:spacing w:after="0"/>
              <w:rPr>
                <w:sz w:val="15"/>
                <w:szCs w:val="15"/>
                <w:color w:val="auto"/>
              </w:rPr>
            </w:pPr>
          </w:p>
        </w:tc>
        <w:tc>
          <w:tcPr>
            <w:tcW w:w="5220" w:type="dxa"/>
            <w:vAlign w:val="bottom"/>
            <w:tcBorders>
              <w:bottom w:val="single" w:sz="8" w:color="0000EE"/>
            </w:tcBorders>
            <w:gridSpan w:val="31"/>
            <w:shd w:val="clear" w:color="auto" w:fill="CCEEFF"/>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Avenue Limited Partnership, the successor to 512 (collectively, “512”) and G-III</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34"/>
            <w:shd w:val="clear" w:color="auto" w:fill="CCEEFF"/>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Leather (34th and 35th floors).</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10.4</w:t>
            </w:r>
          </w:p>
        </w:tc>
        <w:tc>
          <w:tcPr>
            <w:tcW w:w="5340" w:type="dxa"/>
            <w:vAlign w:val="bottom"/>
            <w:gridSpan w:val="34"/>
          </w:tcPr>
          <w:p>
            <w:pPr>
              <w:spacing w:after="0" w:line="162"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Lease, dated January 31, 1994, between 512 and G-III (33rd floor).</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5/8/2006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10.4(a)</w:t>
            </w:r>
          </w:p>
        </w:tc>
        <w:tc>
          <w:tcPr>
            <w:tcW w:w="5340" w:type="dxa"/>
            <w:vAlign w:val="bottom"/>
            <w:gridSpan w:val="34"/>
            <w:shd w:val="clear" w:color="auto" w:fill="CCEEFF"/>
          </w:tcPr>
          <w:p>
            <w:pPr>
              <w:spacing w:after="0" w:line="162"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Lease amendment, dated July 1, 2000, between 512 and G-III (33rd floor).</w:t>
              </w:r>
            </w:hyperlink>
          </w:p>
        </w:tc>
        <w:tc>
          <w:tcPr>
            <w:tcW w:w="1120" w:type="dxa"/>
            <w:vAlign w:val="bottom"/>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7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5/8/2006</w:t>
            </w:r>
          </w:p>
        </w:tc>
        <w:tc>
          <w:tcPr>
            <w:tcW w:w="0" w:type="dxa"/>
            <w:vAlign w:val="bottom"/>
          </w:tcPr>
          <w:p>
            <w:pPr>
              <w:spacing w:after="0"/>
              <w:rPr>
                <w:sz w:val="1"/>
                <w:szCs w:val="1"/>
                <w:color w:val="auto"/>
              </w:rPr>
            </w:pPr>
          </w:p>
        </w:tc>
      </w:tr>
      <w:tr>
        <w:trPr>
          <w:trHeight w:val="20"/>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10.4(b)</w:t>
            </w:r>
          </w:p>
        </w:tc>
        <w:tc>
          <w:tcPr>
            <w:tcW w:w="4960" w:type="dxa"/>
            <w:vAlign w:val="bottom"/>
            <w:tcBorders>
              <w:bottom w:val="single" w:sz="8" w:color="0000EE"/>
            </w:tcBorders>
            <w:gridSpan w:val="21"/>
          </w:tcPr>
          <w:p>
            <w:pPr>
              <w:spacing w:after="0" w:line="162"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Second Amendment of Lease, dated March 26, 2010, between 512 and G-III</w:t>
              </w:r>
            </w:hyperlink>
          </w:p>
        </w:tc>
        <w:tc>
          <w:tcPr>
            <w:tcW w:w="380" w:type="dxa"/>
            <w:vAlign w:val="bottom"/>
            <w:gridSpan w:val="13"/>
          </w:tcPr>
          <w:p>
            <w:pPr>
              <w:spacing w:after="0"/>
              <w:rPr>
                <w:sz w:val="14"/>
                <w:szCs w:val="14"/>
                <w:color w:val="auto"/>
              </w:rPr>
            </w:pPr>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(Q3 2011)</w:t>
            </w:r>
          </w:p>
        </w:tc>
        <w:tc>
          <w:tcPr>
            <w:tcW w:w="15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000-18183 12/10/2010</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34"/>
          </w:tcPr>
          <w:p>
            <w:pPr>
              <w:spacing w:after="0" w:line="183"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Leather (33rd floor).</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10.4(c)</w:t>
            </w:r>
          </w:p>
        </w:tc>
        <w:tc>
          <w:tcPr>
            <w:tcW w:w="4960" w:type="dxa"/>
            <w:vAlign w:val="bottom"/>
            <w:tcBorders>
              <w:bottom w:val="single" w:sz="8" w:color="0000EE"/>
            </w:tcBorders>
            <w:gridSpan w:val="21"/>
            <w:shd w:val="clear" w:color="auto" w:fill="CCEEFF"/>
          </w:tcPr>
          <w:p>
            <w:pPr>
              <w:spacing w:after="0" w:line="162" w:lineRule="exact"/>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Second Amendment of Lease, dated March 26, 2010, between 512 and G-III</w:t>
              </w:r>
            </w:hyperlink>
          </w:p>
        </w:tc>
        <w:tc>
          <w:tcPr>
            <w:tcW w:w="380" w:type="dxa"/>
            <w:vAlign w:val="bottom"/>
            <w:tcBorders>
              <w:bottom w:val="single" w:sz="8" w:color="CCEEFF"/>
            </w:tcBorders>
            <w:gridSpan w:val="13"/>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(Q3 2011)</w:t>
            </w:r>
          </w:p>
        </w:tc>
        <w:tc>
          <w:tcPr>
            <w:tcW w:w="1520" w:type="dxa"/>
            <w:vAlign w:val="bottom"/>
            <w:tcBorders>
              <w:bottom w:val="single" w:sz="8" w:color="CCEE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 12/10/2010</w:t>
            </w:r>
          </w:p>
        </w:tc>
        <w:tc>
          <w:tcPr>
            <w:tcW w:w="0" w:type="dxa"/>
            <w:vAlign w:val="bottom"/>
          </w:tcPr>
          <w:p>
            <w:pPr>
              <w:spacing w:after="0"/>
              <w:rPr>
                <w:sz w:val="1"/>
                <w:szCs w:val="1"/>
                <w:color w:val="auto"/>
              </w:rPr>
            </w:pPr>
          </w:p>
        </w:tc>
      </w:tr>
      <w:tr>
        <w:trPr>
          <w:trHeight w:val="203"/>
        </w:trPr>
        <w:tc>
          <w:tcPr>
            <w:tcW w:w="940" w:type="dxa"/>
            <w:vAlign w:val="bottom"/>
            <w:tcBorders>
              <w:bottom w:val="single" w:sz="8" w:color="CCEEFF"/>
              <w:right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3"/>
            <w:shd w:val="clear" w:color="auto" w:fill="CCEEFF"/>
          </w:tcPr>
          <w:p>
            <w:pPr>
              <w:spacing w:after="0" w:line="183" w:lineRule="exact"/>
              <w:rPr>
                <w:rFonts w:ascii="Times New Roman" w:cs="Times New Roman" w:eastAsia="Times New Roman" w:hAnsi="Times New Roman"/>
                <w:sz w:val="16"/>
                <w:szCs w:val="16"/>
                <w:color w:val="0000EE"/>
                <w:w w:val="99"/>
              </w:rPr>
            </w:pPr>
            <w:hyperlink r:id="rId98">
              <w:r>
                <w:rPr>
                  <w:rFonts w:ascii="Times New Roman" w:cs="Times New Roman" w:eastAsia="Times New Roman" w:hAnsi="Times New Roman"/>
                  <w:sz w:val="16"/>
                  <w:szCs w:val="16"/>
                  <w:color w:val="0000EE"/>
                  <w:w w:val="99"/>
                </w:rPr>
                <w:t>Leather (10th floor).</w:t>
              </w:r>
            </w:hyperlink>
          </w:p>
        </w:tc>
        <w:tc>
          <w:tcPr>
            <w:tcW w:w="4020" w:type="dxa"/>
            <w:vAlign w:val="bottom"/>
            <w:tcBorders>
              <w:bottom w:val="single" w:sz="8" w:color="CCEEFF"/>
            </w:tcBorders>
            <w:gridSpan w:val="31"/>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10.4(d)</w:t>
            </w:r>
          </w:p>
        </w:tc>
        <w:tc>
          <w:tcPr>
            <w:tcW w:w="4840" w:type="dxa"/>
            <w:vAlign w:val="bottom"/>
            <w:tcBorders>
              <w:bottom w:val="single" w:sz="8" w:color="0000EE"/>
            </w:tcBorders>
            <w:gridSpan w:val="18"/>
          </w:tcPr>
          <w:p>
            <w:pPr>
              <w:spacing w:after="0" w:line="162" w:lineRule="exact"/>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Third Amendment of Lease, dated March 26, 2010, between 512 and G-III</w:t>
              </w:r>
            </w:hyperlink>
          </w:p>
        </w:tc>
        <w:tc>
          <w:tcPr>
            <w:tcW w:w="500" w:type="dxa"/>
            <w:vAlign w:val="bottom"/>
            <w:gridSpan w:val="16"/>
          </w:tcPr>
          <w:p>
            <w:pPr>
              <w:spacing w:after="0"/>
              <w:rPr>
                <w:sz w:val="14"/>
                <w:szCs w:val="14"/>
                <w:color w:val="auto"/>
              </w:rPr>
            </w:pPr>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(Q3 2011)</w:t>
            </w:r>
          </w:p>
        </w:tc>
        <w:tc>
          <w:tcPr>
            <w:tcW w:w="15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000-18183 12/10/2010</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34"/>
          </w:tcPr>
          <w:p>
            <w:pPr>
              <w:spacing w:after="0" w:line="183" w:lineRule="exact"/>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Leather (21st, 22nd, 23rd, 24th and 36th floors).</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10.4(e)</w:t>
            </w:r>
          </w:p>
        </w:tc>
        <w:tc>
          <w:tcPr>
            <w:tcW w:w="5340" w:type="dxa"/>
            <w:vAlign w:val="bottom"/>
            <w:gridSpan w:val="34"/>
            <w:shd w:val="clear" w:color="auto" w:fill="CCEEFF"/>
          </w:tcPr>
          <w:p>
            <w:pPr>
              <w:spacing w:after="0" w:line="162"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Sixth Amendment of Lease, dated May 23, 2013, by and between G-III Leather</w:t>
              </w:r>
            </w:hyperlink>
          </w:p>
        </w:tc>
        <w:tc>
          <w:tcPr>
            <w:tcW w:w="1120" w:type="dxa"/>
            <w:vAlign w:val="bottom"/>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(Q1 2014)</w:t>
            </w:r>
          </w:p>
        </w:tc>
        <w:tc>
          <w:tcPr>
            <w:tcW w:w="7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6/10/2013</w:t>
            </w:r>
          </w:p>
        </w:tc>
        <w:tc>
          <w:tcPr>
            <w:tcW w:w="0" w:type="dxa"/>
            <w:vAlign w:val="bottom"/>
          </w:tcPr>
          <w:p>
            <w:pPr>
              <w:spacing w:after="0"/>
              <w:rPr>
                <w:sz w:val="1"/>
                <w:szCs w:val="1"/>
                <w:color w:val="auto"/>
              </w:rPr>
            </w:pPr>
          </w:p>
        </w:tc>
      </w:tr>
      <w:tr>
        <w:trPr>
          <w:trHeight w:val="183"/>
        </w:trPr>
        <w:tc>
          <w:tcPr>
            <w:tcW w:w="940" w:type="dxa"/>
            <w:vAlign w:val="bottom"/>
            <w:tcBorders>
              <w:top w:val="single" w:sz="8" w:color="CCEEFF"/>
              <w:right w:val="single" w:sz="8" w:color="CCEEFF"/>
            </w:tcBorders>
            <w:shd w:val="clear" w:color="auto" w:fill="CCEEFF"/>
          </w:tcPr>
          <w:p>
            <w:pPr>
              <w:spacing w:after="0"/>
              <w:rPr>
                <w:sz w:val="15"/>
                <w:szCs w:val="15"/>
                <w:color w:val="auto"/>
              </w:rPr>
            </w:pPr>
          </w:p>
        </w:tc>
        <w:tc>
          <w:tcPr>
            <w:tcW w:w="5160" w:type="dxa"/>
            <w:vAlign w:val="bottom"/>
            <w:tcBorders>
              <w:top w:val="single" w:sz="8" w:color="0000EE"/>
              <w:right w:val="single" w:sz="8" w:color="CCEEFF"/>
            </w:tcBorders>
            <w:gridSpan w:val="28"/>
            <w:shd w:val="clear" w:color="auto" w:fill="CCEEFF"/>
          </w:tcPr>
          <w:p>
            <w:pPr>
              <w:spacing w:after="0" w:line="183"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Fashions, Inc. as Tenant and 500-512 Seventh Avenue Limited Partnership as</w:t>
              </w:r>
            </w:hyperlink>
          </w:p>
        </w:tc>
        <w:tc>
          <w:tcPr>
            <w:tcW w:w="180" w:type="dxa"/>
            <w:vAlign w:val="bottom"/>
            <w:tcBorders>
              <w:top w:val="single" w:sz="8" w:color="CCEEFF"/>
            </w:tcBorders>
            <w:gridSpan w:val="6"/>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CCEEFF"/>
            </w:tcBorders>
            <w:shd w:val="clear" w:color="auto" w:fill="CCEEFF"/>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3220" w:type="dxa"/>
            <w:vAlign w:val="bottom"/>
            <w:gridSpan w:val="18"/>
            <w:shd w:val="clear" w:color="auto" w:fill="0000EE"/>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c>
          <w:tcPr>
            <w:tcW w:w="220" w:type="dxa"/>
            <w:vAlign w:val="bottom"/>
            <w:gridSpan w:val="7"/>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34"/>
            <w:shd w:val="clear" w:color="auto" w:fill="CCEEFF"/>
          </w:tcPr>
          <w:p>
            <w:pPr>
              <w:spacing w:after="0" w:line="183"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Landlord, (2nd Floor (including mezzanine), 21st, 22nd, 23rd, 24th, 27th, 29th,</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Borders>
              <w:top w:val="single" w:sz="8" w:color="CCEEFF"/>
              <w:right w:val="single" w:sz="8" w:color="CCEEFF"/>
            </w:tcBorders>
            <w:shd w:val="clear" w:color="auto" w:fill="CCEEFF"/>
          </w:tcPr>
          <w:p>
            <w:pPr>
              <w:spacing w:after="0"/>
              <w:rPr>
                <w:sz w:val="15"/>
                <w:szCs w:val="15"/>
                <w:color w:val="auto"/>
              </w:rPr>
            </w:pPr>
          </w:p>
        </w:tc>
        <w:tc>
          <w:tcPr>
            <w:tcW w:w="5120" w:type="dxa"/>
            <w:vAlign w:val="bottom"/>
            <w:tcBorders>
              <w:top w:val="single" w:sz="8" w:color="0000EE"/>
            </w:tcBorders>
            <w:gridSpan w:val="27"/>
            <w:shd w:val="clear" w:color="auto" w:fill="CCEEFF"/>
          </w:tcPr>
          <w:p>
            <w:pPr>
              <w:spacing w:after="0" w:line="183"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31st, 36th and 40th Floors).</w:t>
              </w:r>
            </w:hyperlink>
          </w:p>
        </w:tc>
        <w:tc>
          <w:tcPr>
            <w:tcW w:w="220" w:type="dxa"/>
            <w:vAlign w:val="bottom"/>
            <w:tcBorders>
              <w:top w:val="single" w:sz="8" w:color="CCEEFF"/>
            </w:tcBorders>
            <w:gridSpan w:val="7"/>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-6316980</wp:posOffset>
            </wp:positionV>
            <wp:extent cx="2540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-6316980</wp:posOffset>
            </wp:positionV>
            <wp:extent cx="2540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-6316980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-6316980</wp:posOffset>
            </wp:positionV>
            <wp:extent cx="82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40" w:type="dxa"/>
            <w:vAlign w:val="bottom"/>
            <w:gridSpan w:val="31"/>
            <w:vMerge w:val="restart"/>
          </w:tcPr>
          <w:p>
            <w:pPr>
              <w:ind w:left="108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26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40" w:type="dxa"/>
            <w:vAlign w:val="bottom"/>
            <w:gridSpan w:val="31"/>
            <w:vMerge w:val="continue"/>
          </w:tcPr>
          <w:p>
            <w:pPr>
              <w:spacing w:after="0"/>
              <w:rPr>
                <w:sz w:val="12"/>
                <w:szCs w:val="12"/>
                <w:color w:val="auto"/>
              </w:rPr>
            </w:pPr>
          </w:p>
        </w:tc>
        <w:tc>
          <w:tcPr>
            <w:tcW w:w="112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7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3"/>
                <w:szCs w:val="13"/>
                <w:b w:val="1"/>
                <w:bCs w:val="1"/>
                <w:color w:val="auto"/>
              </w:rPr>
              <w:t>File No.</w:t>
            </w:r>
          </w:p>
        </w:tc>
        <w:tc>
          <w:tcPr>
            <w:tcW w:w="7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56"/>
        </w:trPr>
        <w:tc>
          <w:tcPr>
            <w:tcW w:w="940" w:type="dxa"/>
            <w:vAlign w:val="bottom"/>
            <w:tcBorders>
              <w:top w:val="single" w:sz="8" w:color="auto"/>
              <w:bottom w:val="single" w:sz="8" w:color="CCEEFF"/>
              <w:right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10.4(f)</w:t>
            </w:r>
          </w:p>
        </w:tc>
        <w:tc>
          <w:tcPr>
            <w:tcW w:w="4800" w:type="dxa"/>
            <w:vAlign w:val="bottom"/>
            <w:tcBorders>
              <w:top w:val="single" w:sz="8" w:color="auto"/>
              <w:bottom w:val="single" w:sz="8" w:color="0000EE"/>
            </w:tcBorders>
            <w:gridSpan w:val="22"/>
            <w:shd w:val="clear" w:color="auto" w:fill="CCEEFF"/>
          </w:tcPr>
          <w:p>
            <w:pPr>
              <w:spacing w:after="0" w:line="155"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Seventh Amendment of Lease dated April 25, 2014, by and between G-III</w:t>
              </w:r>
            </w:hyperlink>
          </w:p>
        </w:tc>
        <w:tc>
          <w:tcPr>
            <w:tcW w:w="520" w:type="dxa"/>
            <w:vAlign w:val="bottom"/>
            <w:tcBorders>
              <w:top w:val="single" w:sz="8" w:color="auto"/>
              <w:bottom w:val="single" w:sz="8" w:color="CCEEFF"/>
            </w:tcBorders>
            <w:gridSpan w:val="1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10-Q (Q1 2015)</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w w:val="98"/>
              </w:rPr>
              <w:t>000-18183</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6/5/2014</w:t>
            </w:r>
          </w:p>
        </w:tc>
        <w:tc>
          <w:tcPr>
            <w:tcW w:w="0" w:type="dxa"/>
            <w:vAlign w:val="bottom"/>
          </w:tcPr>
          <w:p>
            <w:pPr>
              <w:spacing w:after="0"/>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41"/>
            <w:shd w:val="clear" w:color="auto" w:fill="CCEEFF"/>
          </w:tcPr>
          <w:p>
            <w:pPr>
              <w:spacing w:after="0" w:line="183"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Leather Fashions, Inc. as Tenant and 500-512 Seventh Avenue Limited</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tcBorders>
              <w:right w:val="single" w:sz="8" w:color="CCEEFF"/>
            </w:tcBorders>
            <w:shd w:val="clear" w:color="auto" w:fill="0000EE"/>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41"/>
            <w:shd w:val="clear" w:color="auto" w:fill="CCEEFF"/>
          </w:tcPr>
          <w:p>
            <w:pPr>
              <w:spacing w:after="0" w:line="183"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Partnership as Landlord (2nd Floor (including mezzanine), 21st, 22nd, 23rd, 24th,</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Borders>
              <w:top w:val="single" w:sz="8" w:color="CCEEFF"/>
              <w:right w:val="single" w:sz="8" w:color="CCEEFF"/>
            </w:tcBorders>
            <w:shd w:val="clear" w:color="auto" w:fill="CCEEFF"/>
          </w:tcPr>
          <w:p>
            <w:pPr>
              <w:spacing w:after="0"/>
              <w:rPr>
                <w:sz w:val="15"/>
                <w:szCs w:val="15"/>
                <w:color w:val="auto"/>
              </w:rPr>
            </w:pPr>
          </w:p>
        </w:tc>
        <w:tc>
          <w:tcPr>
            <w:tcW w:w="5300" w:type="dxa"/>
            <w:vAlign w:val="bottom"/>
            <w:tcBorders>
              <w:top w:val="single" w:sz="8" w:color="0000EE"/>
            </w:tcBorders>
            <w:gridSpan w:val="39"/>
            <w:shd w:val="clear" w:color="auto" w:fill="CCEEFF"/>
          </w:tcPr>
          <w:p>
            <w:pPr>
              <w:spacing w:after="0" w:line="183"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27th, 29th, 31st, 36th, 39th and 40th Floors).</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10.4(g)</w:t>
            </w:r>
          </w:p>
        </w:tc>
        <w:tc>
          <w:tcPr>
            <w:tcW w:w="5300" w:type="dxa"/>
            <w:vAlign w:val="bottom"/>
            <w:tcBorders>
              <w:bottom w:val="single" w:sz="8" w:color="0000EE"/>
            </w:tcBorders>
            <w:gridSpan w:val="39"/>
          </w:tcPr>
          <w:p>
            <w:pPr>
              <w:spacing w:after="0" w:line="162"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Eighth Amendment Of Lease, dated June 16, 2017, by and between G-III Leather</w:t>
              </w:r>
            </w:hyperlink>
          </w:p>
        </w:tc>
        <w:tc>
          <w:tcPr>
            <w:tcW w:w="40" w:type="dxa"/>
            <w:vAlign w:val="bottom"/>
            <w:gridSpan w:val="2"/>
          </w:tcPr>
          <w:p>
            <w:pPr>
              <w:spacing w:after="0"/>
              <w:rPr>
                <w:sz w:val="14"/>
                <w:szCs w:val="14"/>
                <w:color w:val="auto"/>
              </w:rPr>
            </w:pPr>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 (2018)</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4/2/2018</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41"/>
          </w:tcPr>
          <w:p>
            <w:pPr>
              <w:spacing w:after="0" w:line="183"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Fashions, Inc. as Tenant and 500-512 Seventh Avenue Limited Partnership as</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41"/>
          </w:tcPr>
          <w:p>
            <w:pPr>
              <w:spacing w:after="0" w:line="183"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Landlord* (2nd Floor (including mezzanine), 3rd, 4th, 5th, 21st, 22nd, 23rd, 24th,</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00" w:type="dxa"/>
            <w:vAlign w:val="bottom"/>
            <w:tcBorders>
              <w:top w:val="single" w:sz="8" w:color="0000EE"/>
            </w:tcBorders>
            <w:gridSpan w:val="39"/>
          </w:tcPr>
          <w:p>
            <w:pPr>
              <w:spacing w:after="0" w:line="183"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27th, 28th, 29th, 30th, 31st, 36th, 39th and 40th Floors)</w:t>
              </w:r>
            </w:hyperlink>
          </w:p>
        </w:tc>
        <w:tc>
          <w:tcPr>
            <w:tcW w:w="4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10.4(h)</w:t>
            </w:r>
          </w:p>
        </w:tc>
        <w:tc>
          <w:tcPr>
            <w:tcW w:w="5200" w:type="dxa"/>
            <w:vAlign w:val="bottom"/>
            <w:tcBorders>
              <w:bottom w:val="single" w:sz="8" w:color="0000EE"/>
            </w:tcBorders>
            <w:gridSpan w:val="35"/>
            <w:shd w:val="clear" w:color="auto" w:fill="CCEEFF"/>
          </w:tcPr>
          <w:p>
            <w:pPr>
              <w:spacing w:after="0" w:line="162"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Ninth Amendment of Lease, dated May 14, 2018, by and between G-III Leather</w:t>
              </w:r>
            </w:hyperlink>
          </w:p>
        </w:tc>
        <w:tc>
          <w:tcPr>
            <w:tcW w:w="140" w:type="dxa"/>
            <w:vAlign w:val="bottom"/>
            <w:tcBorders>
              <w:bottom w:val="single" w:sz="8" w:color="CCEEFF"/>
            </w:tcBorders>
            <w:gridSpan w:val="6"/>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(Q1 2019)</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6/11/2018</w:t>
            </w:r>
          </w:p>
        </w:tc>
        <w:tc>
          <w:tcPr>
            <w:tcW w:w="0" w:type="dxa"/>
            <w:vAlign w:val="bottom"/>
          </w:tcPr>
          <w:p>
            <w:pPr>
              <w:spacing w:after="0"/>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41"/>
            <w:shd w:val="clear" w:color="auto" w:fill="CCEEFF"/>
          </w:tcPr>
          <w:p>
            <w:pPr>
              <w:spacing w:after="0" w:line="18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Fashions, Inc. as Tenant and 500-512 Seventh Avenue Limited Partnership as</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41"/>
            <w:shd w:val="clear" w:color="auto" w:fill="CCEEFF"/>
          </w:tcPr>
          <w:p>
            <w:pPr>
              <w:spacing w:after="0" w:line="18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Landlord, (2nd Floor (including mezzanine), 3rd, 4th, 5th, 21st, 22nd, 23rd, 24th,</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Borders>
              <w:top w:val="single" w:sz="8" w:color="CCEEFF"/>
              <w:right w:val="single" w:sz="8" w:color="CCEEFF"/>
            </w:tcBorders>
            <w:shd w:val="clear" w:color="auto" w:fill="CCEEFF"/>
          </w:tcPr>
          <w:p>
            <w:pPr>
              <w:spacing w:after="0"/>
              <w:rPr>
                <w:sz w:val="15"/>
                <w:szCs w:val="15"/>
                <w:color w:val="auto"/>
              </w:rPr>
            </w:pPr>
          </w:p>
        </w:tc>
        <w:tc>
          <w:tcPr>
            <w:tcW w:w="5260" w:type="dxa"/>
            <w:vAlign w:val="bottom"/>
            <w:tcBorders>
              <w:top w:val="single" w:sz="8" w:color="0000EE"/>
            </w:tcBorders>
            <w:gridSpan w:val="37"/>
            <w:shd w:val="clear" w:color="auto" w:fill="CCEEFF"/>
          </w:tcPr>
          <w:p>
            <w:pPr>
              <w:spacing w:after="0" w:line="18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26th, 27th, 28th, 29th, 30th, 31st, 36th, 39th and 40th Floors at 512 Seventh</w:t>
              </w:r>
            </w:hyperlink>
          </w:p>
        </w:tc>
        <w:tc>
          <w:tcPr>
            <w:tcW w:w="80" w:type="dxa"/>
            <w:vAlign w:val="bottom"/>
            <w:tcBorders>
              <w:top w:val="single" w:sz="8" w:color="CCEEFF"/>
            </w:tcBorders>
            <w:gridSpan w:val="4"/>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680" w:type="dxa"/>
            <w:vAlign w:val="bottom"/>
            <w:tcBorders>
              <w:top w:val="single" w:sz="8" w:color="0000EE"/>
              <w:bottom w:val="single" w:sz="8" w:color="0000EE"/>
            </w:tcBorders>
            <w:gridSpan w:val="18"/>
            <w:shd w:val="clear" w:color="auto" w:fill="CCEEFF"/>
          </w:tcPr>
          <w:p>
            <w:pPr>
              <w:spacing w:after="0" w:line="183" w:lineRule="exact"/>
              <w:rPr>
                <w:rFonts w:ascii="Times New Roman" w:cs="Times New Roman" w:eastAsia="Times New Roman" w:hAnsi="Times New Roman"/>
                <w:sz w:val="16"/>
                <w:szCs w:val="16"/>
                <w:color w:val="0000EE"/>
                <w:w w:val="99"/>
              </w:rPr>
            </w:pPr>
            <w:hyperlink r:id="rId108">
              <w:r>
                <w:rPr>
                  <w:rFonts w:ascii="Times New Roman" w:cs="Times New Roman" w:eastAsia="Times New Roman" w:hAnsi="Times New Roman"/>
                  <w:sz w:val="16"/>
                  <w:szCs w:val="16"/>
                  <w:color w:val="0000EE"/>
                  <w:w w:val="99"/>
                </w:rPr>
                <w:t>Avenue and 2nd and Part of 3rd at 500 Seventh Avenue).</w:t>
              </w:r>
            </w:hyperlink>
          </w:p>
        </w:tc>
        <w:tc>
          <w:tcPr>
            <w:tcW w:w="122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440" w:type="dxa"/>
            <w:vAlign w:val="bottom"/>
            <w:tcBorders>
              <w:top w:val="single" w:sz="8" w:color="CCEEFF"/>
              <w:bottom w:val="single" w:sz="8" w:color="CCEEFF"/>
            </w:tcBorders>
            <w:gridSpan w:val="16"/>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10.5</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Lease, dated February 10, 2009, between IRET Properties and AM Retail Group,</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(Q3 2011)</w:t>
            </w:r>
          </w:p>
        </w:tc>
        <w:tc>
          <w:tcPr>
            <w:tcW w:w="15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000-18183 12/10/2010</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240" w:type="dxa"/>
            <w:vAlign w:val="bottom"/>
            <w:tcBorders>
              <w:top w:val="single" w:sz="8" w:color="0000EE"/>
            </w:tcBorders>
            <w:gridSpan w:val="36"/>
          </w:tcPr>
          <w:p>
            <w:pPr>
              <w:spacing w:after="0" w:line="18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Inc.</w:t>
              </w:r>
            </w:hyperlink>
          </w:p>
        </w:tc>
        <w:tc>
          <w:tcPr>
            <w:tcW w:w="100" w:type="dxa"/>
            <w:vAlign w:val="bottom"/>
            <w:gridSpan w:val="5"/>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10.6</w:t>
            </w:r>
          </w:p>
        </w:tc>
        <w:tc>
          <w:tcPr>
            <w:tcW w:w="4880" w:type="dxa"/>
            <w:vAlign w:val="bottom"/>
            <w:tcBorders>
              <w:bottom w:val="single" w:sz="8" w:color="0000EE"/>
            </w:tcBorders>
            <w:gridSpan w:val="24"/>
            <w:shd w:val="clear" w:color="auto" w:fill="CCEEFF"/>
          </w:tcPr>
          <w:p>
            <w:pPr>
              <w:spacing w:after="0" w:line="162"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G-III 2005 Amended and Restated Stock Incentive Plan, (the “2005 Plan”).</w:t>
              </w:r>
            </w:hyperlink>
          </w:p>
        </w:tc>
        <w:tc>
          <w:tcPr>
            <w:tcW w:w="460" w:type="dxa"/>
            <w:vAlign w:val="bottom"/>
            <w:tcBorders>
              <w:bottom w:val="single" w:sz="8" w:color="CCEEFF"/>
            </w:tcBorders>
            <w:gridSpan w:val="17"/>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3/15/2013</w:t>
            </w: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10.6(a)</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Form of Option Agreement for awards made pursuant to the 2005 Plan.</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 (2009)</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4/16/2009</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10.6(b)</w:t>
            </w:r>
          </w:p>
        </w:tc>
        <w:tc>
          <w:tcPr>
            <w:tcW w:w="5300" w:type="dxa"/>
            <w:vAlign w:val="bottom"/>
            <w:tcBorders>
              <w:bottom w:val="single" w:sz="8" w:color="0000EE"/>
            </w:tcBorders>
            <w:gridSpan w:val="39"/>
            <w:shd w:val="clear" w:color="auto" w:fill="CCEEFF"/>
          </w:tcPr>
          <w:p>
            <w:pPr>
              <w:spacing w:after="0" w:line="162"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Form of Restricted Stock Agreement for restricted stock awards made pursuant to</w:t>
              </w:r>
            </w:hyperlink>
          </w:p>
        </w:tc>
        <w:tc>
          <w:tcPr>
            <w:tcW w:w="40" w:type="dxa"/>
            <w:vAlign w:val="bottom"/>
            <w:tcBorders>
              <w:bottom w:val="single" w:sz="8" w:color="CCEEFF"/>
            </w:tcBorders>
            <w:gridSpan w:val="2"/>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6/15/2005</w:t>
            </w:r>
          </w:p>
        </w:tc>
        <w:tc>
          <w:tcPr>
            <w:tcW w:w="0" w:type="dxa"/>
            <w:vAlign w:val="bottom"/>
          </w:tcPr>
          <w:p>
            <w:pPr>
              <w:spacing w:after="0"/>
              <w:rPr>
                <w:sz w:val="1"/>
                <w:szCs w:val="1"/>
                <w:color w:val="auto"/>
              </w:rPr>
            </w:pPr>
          </w:p>
        </w:tc>
      </w:tr>
      <w:tr>
        <w:trPr>
          <w:trHeight w:val="203"/>
        </w:trPr>
        <w:tc>
          <w:tcPr>
            <w:tcW w:w="940" w:type="dxa"/>
            <w:vAlign w:val="bottom"/>
            <w:tcBorders>
              <w:bottom w:val="single" w:sz="8" w:color="CCEEFF"/>
              <w:right w:val="single" w:sz="8" w:color="CCEEFF"/>
            </w:tcBorders>
            <w:shd w:val="clear" w:color="auto" w:fill="CCEEFF"/>
          </w:tcPr>
          <w:p>
            <w:pPr>
              <w:spacing w:after="0"/>
              <w:rPr>
                <w:sz w:val="17"/>
                <w:szCs w:val="17"/>
                <w:color w:val="auto"/>
              </w:rPr>
            </w:pPr>
          </w:p>
        </w:tc>
        <w:tc>
          <w:tcPr>
            <w:tcW w:w="920" w:type="dxa"/>
            <w:vAlign w:val="bottom"/>
            <w:tcBorders>
              <w:bottom w:val="single" w:sz="8" w:color="0000EE"/>
            </w:tcBorders>
            <w:gridSpan w:val="7"/>
            <w:shd w:val="clear" w:color="auto" w:fill="CCEEFF"/>
          </w:tcPr>
          <w:p>
            <w:pPr>
              <w:spacing w:after="0" w:line="183" w:lineRule="exact"/>
              <w:rPr>
                <w:rFonts w:ascii="Times New Roman" w:cs="Times New Roman" w:eastAsia="Times New Roman" w:hAnsi="Times New Roman"/>
                <w:sz w:val="16"/>
                <w:szCs w:val="16"/>
                <w:color w:val="0000EE"/>
                <w:w w:val="97"/>
              </w:rPr>
            </w:pPr>
            <w:hyperlink r:id="rId112">
              <w:r>
                <w:rPr>
                  <w:rFonts w:ascii="Times New Roman" w:cs="Times New Roman" w:eastAsia="Times New Roman" w:hAnsi="Times New Roman"/>
                  <w:sz w:val="16"/>
                  <w:szCs w:val="16"/>
                  <w:color w:val="0000EE"/>
                  <w:w w:val="97"/>
                </w:rPr>
                <w:t>the 2005 Plan.</w:t>
              </w:r>
            </w:hyperlink>
          </w:p>
        </w:tc>
        <w:tc>
          <w:tcPr>
            <w:tcW w:w="4420" w:type="dxa"/>
            <w:vAlign w:val="bottom"/>
            <w:tcBorders>
              <w:bottom w:val="single" w:sz="8" w:color="CCEEFF"/>
            </w:tcBorders>
            <w:gridSpan w:val="34"/>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10.7</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G-III 2015 Long-Term Incentive Plan, as amended.</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6/11/2021</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10.7(a)</w:t>
            </w:r>
          </w:p>
        </w:tc>
        <w:tc>
          <w:tcPr>
            <w:tcW w:w="4960" w:type="dxa"/>
            <w:vAlign w:val="bottom"/>
            <w:tcBorders>
              <w:bottom w:val="single" w:sz="8" w:color="0000EE"/>
            </w:tcBorders>
            <w:gridSpan w:val="28"/>
            <w:shd w:val="clear" w:color="auto" w:fill="CCEEFF"/>
          </w:tcPr>
          <w:p>
            <w:pPr>
              <w:spacing w:after="0" w:line="162"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Form of Performance Share Unit Agreement for April 17, 2019 performance</w:t>
              </w:r>
            </w:hyperlink>
          </w:p>
        </w:tc>
        <w:tc>
          <w:tcPr>
            <w:tcW w:w="380" w:type="dxa"/>
            <w:vAlign w:val="bottom"/>
            <w:tcBorders>
              <w:bottom w:val="single" w:sz="8" w:color="CCEEFF"/>
            </w:tcBorders>
            <w:gridSpan w:val="13"/>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4/23/2019</w:t>
            </w:r>
          </w:p>
        </w:tc>
        <w:tc>
          <w:tcPr>
            <w:tcW w:w="0" w:type="dxa"/>
            <w:vAlign w:val="bottom"/>
          </w:tcPr>
          <w:p>
            <w:pPr>
              <w:spacing w:after="0"/>
              <w:rPr>
                <w:sz w:val="1"/>
                <w:szCs w:val="1"/>
                <w:color w:val="auto"/>
              </w:rPr>
            </w:pPr>
          </w:p>
        </w:tc>
      </w:tr>
      <w:tr>
        <w:trPr>
          <w:trHeight w:val="203"/>
        </w:trPr>
        <w:tc>
          <w:tcPr>
            <w:tcW w:w="940" w:type="dxa"/>
            <w:vAlign w:val="bottom"/>
            <w:tcBorders>
              <w:bottom w:val="single" w:sz="8" w:color="CCEEFF"/>
              <w:right w:val="single" w:sz="8" w:color="CCEEFF"/>
            </w:tcBorders>
            <w:shd w:val="clear" w:color="auto" w:fill="CCEEFF"/>
          </w:tcPr>
          <w:p>
            <w:pPr>
              <w:spacing w:after="0"/>
              <w:rPr>
                <w:sz w:val="17"/>
                <w:szCs w:val="17"/>
                <w:color w:val="auto"/>
              </w:rPr>
            </w:pPr>
          </w:p>
        </w:tc>
        <w:tc>
          <w:tcPr>
            <w:tcW w:w="1100" w:type="dxa"/>
            <w:vAlign w:val="bottom"/>
            <w:tcBorders>
              <w:bottom w:val="single" w:sz="8" w:color="0000EE"/>
            </w:tcBorders>
            <w:gridSpan w:val="9"/>
            <w:shd w:val="clear" w:color="auto" w:fill="CCEEFF"/>
          </w:tcPr>
          <w:p>
            <w:pPr>
              <w:spacing w:after="0" w:line="183" w:lineRule="exact"/>
              <w:rPr>
                <w:rFonts w:ascii="Times New Roman" w:cs="Times New Roman" w:eastAsia="Times New Roman" w:hAnsi="Times New Roman"/>
                <w:sz w:val="16"/>
                <w:szCs w:val="16"/>
                <w:color w:val="0000EE"/>
                <w:w w:val="98"/>
              </w:rPr>
            </w:pPr>
            <w:hyperlink r:id="rId114">
              <w:r>
                <w:rPr>
                  <w:rFonts w:ascii="Times New Roman" w:cs="Times New Roman" w:eastAsia="Times New Roman" w:hAnsi="Times New Roman"/>
                  <w:sz w:val="16"/>
                  <w:szCs w:val="16"/>
                  <w:color w:val="0000EE"/>
                  <w:w w:val="98"/>
                </w:rPr>
                <w:t>share unit grants.</w:t>
              </w:r>
            </w:hyperlink>
          </w:p>
        </w:tc>
        <w:tc>
          <w:tcPr>
            <w:tcW w:w="4240" w:type="dxa"/>
            <w:vAlign w:val="bottom"/>
            <w:tcBorders>
              <w:bottom w:val="single" w:sz="8" w:color="CCEEFF"/>
            </w:tcBorders>
            <w:gridSpan w:val="32"/>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10.7(b)</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Form of Restricted Stock Unit Agreement for April 27, 2020 restricted stock unit</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(Q1 2021)</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6/9/2020</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240" w:type="dxa"/>
            <w:vAlign w:val="bottom"/>
            <w:tcBorders>
              <w:top w:val="single" w:sz="8" w:color="0000EE"/>
            </w:tcBorders>
            <w:gridSpan w:val="36"/>
          </w:tcPr>
          <w:p>
            <w:pPr>
              <w:spacing w:after="0" w:line="183"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grants.</w:t>
              </w:r>
            </w:hyperlink>
          </w:p>
        </w:tc>
        <w:tc>
          <w:tcPr>
            <w:tcW w:w="100" w:type="dxa"/>
            <w:vAlign w:val="bottom"/>
            <w:gridSpan w:val="5"/>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10.7(c)</w:t>
            </w:r>
          </w:p>
        </w:tc>
        <w:tc>
          <w:tcPr>
            <w:tcW w:w="5280" w:type="dxa"/>
            <w:vAlign w:val="bottom"/>
            <w:tcBorders>
              <w:bottom w:val="single" w:sz="8" w:color="0000EE"/>
            </w:tcBorders>
            <w:gridSpan w:val="38"/>
            <w:shd w:val="clear" w:color="auto" w:fill="CCEEFF"/>
          </w:tcPr>
          <w:p>
            <w:pPr>
              <w:spacing w:after="0" w:line="162"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Form of Amended and Restated Restricted Stock Unit Agreement, dated June 28,</w:t>
              </w:r>
            </w:hyperlink>
          </w:p>
        </w:tc>
        <w:tc>
          <w:tcPr>
            <w:tcW w:w="60" w:type="dxa"/>
            <w:vAlign w:val="bottom"/>
            <w:tcBorders>
              <w:bottom w:val="single" w:sz="8" w:color="CCEEFF"/>
            </w:tcBorders>
            <w:gridSpan w:val="3"/>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6/30/2021</w:t>
            </w:r>
          </w:p>
        </w:tc>
        <w:tc>
          <w:tcPr>
            <w:tcW w:w="0" w:type="dxa"/>
            <w:vAlign w:val="bottom"/>
          </w:tcPr>
          <w:p>
            <w:pPr>
              <w:spacing w:after="0"/>
              <w:rPr>
                <w:sz w:val="1"/>
                <w:szCs w:val="1"/>
                <w:color w:val="auto"/>
              </w:rPr>
            </w:pPr>
          </w:p>
        </w:tc>
      </w:tr>
      <w:tr>
        <w:trPr>
          <w:trHeight w:val="203"/>
        </w:trPr>
        <w:tc>
          <w:tcPr>
            <w:tcW w:w="940" w:type="dxa"/>
            <w:vAlign w:val="bottom"/>
            <w:tcBorders>
              <w:bottom w:val="single" w:sz="8" w:color="CCEEFF"/>
              <w:right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19"/>
            <w:shd w:val="clear" w:color="auto" w:fill="CCEEFF"/>
          </w:tcPr>
          <w:p>
            <w:pPr>
              <w:spacing w:after="0" w:line="183"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2021, with respect to revised awards under the 2015 Plan.</w:t>
              </w:r>
            </w:hyperlink>
          </w:p>
        </w:tc>
        <w:tc>
          <w:tcPr>
            <w:tcW w:w="1600" w:type="dxa"/>
            <w:vAlign w:val="bottom"/>
            <w:tcBorders>
              <w:bottom w:val="single" w:sz="8" w:color="CCEEFF"/>
            </w:tcBorders>
            <w:gridSpan w:val="22"/>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10.7(d)</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Form of Performance Share Unit Agreement for March 18, 2022 performance</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3/23/2022</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000" w:type="dxa"/>
            <w:vAlign w:val="bottom"/>
            <w:tcBorders>
              <w:top w:val="single" w:sz="8" w:color="0000EE"/>
            </w:tcBorders>
            <w:gridSpan w:val="30"/>
          </w:tcPr>
          <w:p>
            <w:pPr>
              <w:spacing w:after="0" w:line="183"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share unit grants.</w:t>
              </w:r>
            </w:hyperlink>
          </w:p>
        </w:tc>
        <w:tc>
          <w:tcPr>
            <w:tcW w:w="340" w:type="dxa"/>
            <w:vAlign w:val="bottom"/>
            <w:gridSpan w:val="11"/>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10.8</w:t>
            </w:r>
          </w:p>
        </w:tc>
        <w:tc>
          <w:tcPr>
            <w:tcW w:w="5340" w:type="dxa"/>
            <w:vAlign w:val="bottom"/>
            <w:gridSpan w:val="41"/>
            <w:shd w:val="clear" w:color="auto" w:fill="CCEEFF"/>
          </w:tcPr>
          <w:p>
            <w:pPr>
              <w:spacing w:after="0" w:line="162"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Form of Executive Transition Agreement, as amended.</w:t>
              </w:r>
            </w:hyperlink>
          </w:p>
        </w:tc>
        <w:tc>
          <w:tcPr>
            <w:tcW w:w="1120" w:type="dxa"/>
            <w:vAlign w:val="bottom"/>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2/16/2011</w:t>
            </w:r>
          </w:p>
        </w:tc>
        <w:tc>
          <w:tcPr>
            <w:tcW w:w="0" w:type="dxa"/>
            <w:vAlign w:val="bottom"/>
          </w:tcPr>
          <w:p>
            <w:pPr>
              <w:spacing w:after="0"/>
              <w:rPr>
                <w:sz w:val="1"/>
                <w:szCs w:val="1"/>
                <w:color w:val="auto"/>
              </w:rPr>
            </w:pPr>
          </w:p>
        </w:tc>
      </w:tr>
      <w:tr>
        <w:trPr>
          <w:trHeight w:val="20"/>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10.9</w:t>
            </w:r>
          </w:p>
        </w:tc>
        <w:tc>
          <w:tcPr>
            <w:tcW w:w="4920" w:type="dxa"/>
            <w:vAlign w:val="bottom"/>
            <w:tcBorders>
              <w:bottom w:val="single" w:sz="8" w:color="0000EE"/>
            </w:tcBorders>
            <w:gridSpan w:val="26"/>
          </w:tcPr>
          <w:p>
            <w:pPr>
              <w:spacing w:after="0" w:line="162"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Employment Agreement, dated as of July 11, 2005, by and between Sammy</w:t>
              </w:r>
            </w:hyperlink>
          </w:p>
        </w:tc>
        <w:tc>
          <w:tcPr>
            <w:tcW w:w="420" w:type="dxa"/>
            <w:vAlign w:val="bottom"/>
            <w:gridSpan w:val="15"/>
          </w:tcPr>
          <w:p>
            <w:pPr>
              <w:spacing w:after="0"/>
              <w:rPr>
                <w:sz w:val="14"/>
                <w:szCs w:val="14"/>
                <w:color w:val="auto"/>
              </w:rPr>
            </w:pPr>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(Q3 2011)</w:t>
            </w:r>
          </w:p>
        </w:tc>
        <w:tc>
          <w:tcPr>
            <w:tcW w:w="15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000-18183 12/10/2010</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41"/>
          </w:tcPr>
          <w:p>
            <w:pPr>
              <w:spacing w:after="0" w:line="183"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Aaron and G-III.</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10.9(a)</w:t>
            </w:r>
          </w:p>
        </w:tc>
        <w:tc>
          <w:tcPr>
            <w:tcW w:w="4940" w:type="dxa"/>
            <w:vAlign w:val="bottom"/>
            <w:tcBorders>
              <w:bottom w:val="single" w:sz="8" w:color="0000EE"/>
            </w:tcBorders>
            <w:gridSpan w:val="27"/>
            <w:shd w:val="clear" w:color="auto" w:fill="CCEEFF"/>
          </w:tcPr>
          <w:p>
            <w:pPr>
              <w:spacing w:after="0" w:line="162"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Amendment, dated October 3, 2008, to Employment Agreement, dated as of</w:t>
              </w:r>
            </w:hyperlink>
          </w:p>
        </w:tc>
        <w:tc>
          <w:tcPr>
            <w:tcW w:w="400" w:type="dxa"/>
            <w:vAlign w:val="bottom"/>
            <w:tcBorders>
              <w:bottom w:val="single" w:sz="8" w:color="CCEEFF"/>
            </w:tcBorders>
            <w:gridSpan w:val="14"/>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10/6/2008</w:t>
            </w:r>
          </w:p>
        </w:tc>
        <w:tc>
          <w:tcPr>
            <w:tcW w:w="0" w:type="dxa"/>
            <w:vAlign w:val="bottom"/>
          </w:tcPr>
          <w:p>
            <w:pPr>
              <w:spacing w:after="0"/>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41"/>
            <w:shd w:val="clear" w:color="auto" w:fill="CCEEFF"/>
          </w:tcPr>
          <w:p>
            <w:pPr>
              <w:spacing w:after="0" w:line="183"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July 11, 2005, by and between Sammy Aaron and G-III.</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10.9(b)</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Amendment, dated January 28, 2009, to Employment Agreement, dated as of</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2/3/2009</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000" w:type="dxa"/>
            <w:vAlign w:val="bottom"/>
            <w:tcBorders>
              <w:top w:val="single" w:sz="8" w:color="0000EE"/>
            </w:tcBorders>
            <w:gridSpan w:val="30"/>
          </w:tcPr>
          <w:p>
            <w:pPr>
              <w:spacing w:after="0" w:line="183"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July 11, 2005, by and between Sammy Aaron and G-III.</w:t>
              </w:r>
            </w:hyperlink>
          </w:p>
        </w:tc>
        <w:tc>
          <w:tcPr>
            <w:tcW w:w="340" w:type="dxa"/>
            <w:vAlign w:val="bottom"/>
            <w:gridSpan w:val="11"/>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10.9(c)</w:t>
            </w:r>
          </w:p>
        </w:tc>
        <w:tc>
          <w:tcPr>
            <w:tcW w:w="5180" w:type="dxa"/>
            <w:vAlign w:val="bottom"/>
            <w:tcBorders>
              <w:bottom w:val="single" w:sz="8" w:color="0000EE"/>
            </w:tcBorders>
            <w:gridSpan w:val="34"/>
            <w:shd w:val="clear" w:color="auto" w:fill="CCEEFF"/>
          </w:tcPr>
          <w:p>
            <w:pPr>
              <w:spacing w:after="0" w:line="162"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Letter Amendment, dated March 13, 2013, to Employment Agreement, dated as</w:t>
              </w:r>
            </w:hyperlink>
          </w:p>
        </w:tc>
        <w:tc>
          <w:tcPr>
            <w:tcW w:w="160" w:type="dxa"/>
            <w:vAlign w:val="bottom"/>
            <w:tcBorders>
              <w:bottom w:val="single" w:sz="8" w:color="CCEEFF"/>
            </w:tcBorders>
            <w:gridSpan w:val="7"/>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3/15/2013</w:t>
            </w:r>
          </w:p>
        </w:tc>
        <w:tc>
          <w:tcPr>
            <w:tcW w:w="0" w:type="dxa"/>
            <w:vAlign w:val="bottom"/>
          </w:tcPr>
          <w:p>
            <w:pPr>
              <w:spacing w:after="0"/>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41"/>
            <w:shd w:val="clear" w:color="auto" w:fill="CCEEFF"/>
          </w:tcPr>
          <w:p>
            <w:pPr>
              <w:spacing w:after="0" w:line="183"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of July 11, 2005, by and between Sammy Aaron and G-III.</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10.9(d)</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Letter Amendment, dated April 28, 2014, to Employment Agreement, dated as of</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4/30/2014</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260" w:type="dxa"/>
            <w:vAlign w:val="bottom"/>
            <w:tcBorders>
              <w:top w:val="single" w:sz="8" w:color="0000EE"/>
            </w:tcBorders>
            <w:gridSpan w:val="37"/>
          </w:tcPr>
          <w:p>
            <w:pPr>
              <w:spacing w:after="0" w:line="183"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July 11, 2005, by and between Sammy Aaron and G-III.</w:t>
              </w:r>
            </w:hyperlink>
          </w:p>
        </w:tc>
        <w:tc>
          <w:tcPr>
            <w:tcW w:w="80" w:type="dxa"/>
            <w:vAlign w:val="bottom"/>
            <w:gridSpan w:val="4"/>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10.10 (a)</w:t>
            </w:r>
          </w:p>
        </w:tc>
        <w:tc>
          <w:tcPr>
            <w:tcW w:w="5340" w:type="dxa"/>
            <w:vAlign w:val="bottom"/>
            <w:gridSpan w:val="41"/>
            <w:shd w:val="clear" w:color="auto" w:fill="CCEEFF"/>
          </w:tcPr>
          <w:p>
            <w:pPr>
              <w:spacing w:after="0" w:line="162"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Lease agreement dated June 29, 2006 between The Realty Associates Fund VI,</w:t>
              </w:r>
            </w:hyperlink>
          </w:p>
        </w:tc>
        <w:tc>
          <w:tcPr>
            <w:tcW w:w="112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10-Q (Q2 2007)</w:t>
            </w:r>
          </w:p>
        </w:tc>
        <w:tc>
          <w:tcPr>
            <w:tcW w:w="7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9/13/2006</w:t>
            </w:r>
          </w:p>
        </w:tc>
        <w:tc>
          <w:tcPr>
            <w:tcW w:w="0" w:type="dxa"/>
            <w:vAlign w:val="bottom"/>
          </w:tcPr>
          <w:p>
            <w:pPr>
              <w:spacing w:after="0"/>
              <w:rPr>
                <w:sz w:val="1"/>
                <w:szCs w:val="1"/>
                <w:color w:val="auto"/>
              </w:rPr>
            </w:pPr>
          </w:p>
        </w:tc>
      </w:tr>
      <w:tr>
        <w:trPr>
          <w:trHeight w:val="183"/>
        </w:trPr>
        <w:tc>
          <w:tcPr>
            <w:tcW w:w="940" w:type="dxa"/>
            <w:vAlign w:val="bottom"/>
            <w:tcBorders>
              <w:top w:val="single" w:sz="8" w:color="CCEEFF"/>
              <w:right w:val="single" w:sz="8" w:color="CCEEFF"/>
            </w:tcBorders>
            <w:shd w:val="clear" w:color="auto" w:fill="CCEEFF"/>
          </w:tcPr>
          <w:p>
            <w:pPr>
              <w:spacing w:after="0"/>
              <w:rPr>
                <w:sz w:val="15"/>
                <w:szCs w:val="15"/>
                <w:color w:val="auto"/>
              </w:rPr>
            </w:pPr>
          </w:p>
        </w:tc>
        <w:tc>
          <w:tcPr>
            <w:tcW w:w="5100" w:type="dxa"/>
            <w:vAlign w:val="bottom"/>
            <w:tcBorders>
              <w:top w:val="single" w:sz="8" w:color="0000EE"/>
            </w:tcBorders>
            <w:gridSpan w:val="31"/>
            <w:shd w:val="clear" w:color="auto" w:fill="CCEEFF"/>
          </w:tcPr>
          <w:p>
            <w:pPr>
              <w:spacing w:after="0" w:line="183"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LP and G-III.</w:t>
              </w:r>
            </w:hyperlink>
          </w:p>
        </w:tc>
        <w:tc>
          <w:tcPr>
            <w:tcW w:w="240" w:type="dxa"/>
            <w:vAlign w:val="bottom"/>
            <w:tcBorders>
              <w:top w:val="single" w:sz="8" w:color="CCEEFF"/>
            </w:tcBorders>
            <w:gridSpan w:val="10"/>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10.10 (b)</w:t>
            </w:r>
          </w:p>
        </w:tc>
        <w:tc>
          <w:tcPr>
            <w:tcW w:w="4980" w:type="dxa"/>
            <w:vAlign w:val="bottom"/>
            <w:tcBorders>
              <w:bottom w:val="single" w:sz="8" w:color="0000EE"/>
            </w:tcBorders>
            <w:gridSpan w:val="29"/>
          </w:tcPr>
          <w:p>
            <w:pPr>
              <w:spacing w:after="0" w:line="162"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First Amendment of Lease, dated July 31, 2012, by and between Centerpoint</w:t>
              </w:r>
            </w:hyperlink>
          </w:p>
        </w:tc>
        <w:tc>
          <w:tcPr>
            <w:tcW w:w="360" w:type="dxa"/>
            <w:vAlign w:val="bottom"/>
            <w:gridSpan w:val="12"/>
          </w:tcPr>
          <w:p>
            <w:pPr>
              <w:spacing w:after="0"/>
              <w:rPr>
                <w:sz w:val="14"/>
                <w:szCs w:val="14"/>
                <w:color w:val="auto"/>
              </w:rPr>
            </w:pPr>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 (2019)</w:t>
            </w:r>
          </w:p>
        </w:tc>
        <w:tc>
          <w:tcPr>
            <w:tcW w:w="7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3/28/2019</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41"/>
          </w:tcPr>
          <w:p>
            <w:pPr>
              <w:spacing w:after="0" w:line="183"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Herrod, LLC, as successor in interest to The Realty Associates Fund VI, LP, and</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200" w:type="dxa"/>
            <w:vAlign w:val="bottom"/>
            <w:tcBorders>
              <w:top w:val="single" w:sz="8" w:color="0000EE"/>
            </w:tcBorders>
            <w:gridSpan w:val="35"/>
          </w:tcPr>
          <w:p>
            <w:pPr>
              <w:spacing w:after="0" w:line="183"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G-III.</w:t>
              </w:r>
            </w:hyperlink>
          </w:p>
        </w:tc>
        <w:tc>
          <w:tcPr>
            <w:tcW w:w="140" w:type="dxa"/>
            <w:vAlign w:val="bottom"/>
            <w:gridSpan w:val="6"/>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10.11</w:t>
            </w:r>
          </w:p>
        </w:tc>
        <w:tc>
          <w:tcPr>
            <w:tcW w:w="6460" w:type="dxa"/>
            <w:vAlign w:val="bottom"/>
            <w:gridSpan w:val="43"/>
            <w:shd w:val="clear" w:color="auto" w:fill="CCEEFF"/>
          </w:tcPr>
          <w:p>
            <w:pPr>
              <w:spacing w:after="0" w:line="162"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 xml:space="preserve">Lease Agreement, dated December 21, 2009 and effective December 28, 2009, by </w:t>
              </w:r>
            </w:hyperlink>
            <w:r>
              <w:rPr>
                <w:rFonts w:ascii="Times New Roman" w:cs="Times New Roman" w:eastAsia="Times New Roman" w:hAnsi="Times New Roman"/>
                <w:sz w:val="16"/>
                <w:szCs w:val="16"/>
                <w:color w:val="000000"/>
              </w:rPr>
              <w:t>10-Q (Q3 2011)</w:t>
            </w:r>
          </w:p>
        </w:tc>
        <w:tc>
          <w:tcPr>
            <w:tcW w:w="152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 12/10/2010</w:t>
            </w: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120" w:type="dxa"/>
            <w:vAlign w:val="bottom"/>
            <w:tcBorders>
              <w:top w:val="single" w:sz="8" w:color="0000EE"/>
              <w:bottom w:val="single" w:sz="8" w:color="0000EE"/>
            </w:tcBorders>
            <w:gridSpan w:val="32"/>
            <w:shd w:val="clear" w:color="auto" w:fill="CCEEFF"/>
          </w:tcPr>
          <w:p>
            <w:pPr>
              <w:spacing w:after="0" w:line="183"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and between G-III, as Tenant, and Granite South Brunswick LLC, as Landlord.</w:t>
              </w:r>
            </w:hyperlink>
          </w:p>
        </w:tc>
        <w:tc>
          <w:tcPr>
            <w:tcW w:w="18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10.11(a)</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First Amendment of Lease, dated September 16, 2020, by and between G-III</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(Q3 2021)</w:t>
            </w:r>
          </w:p>
        </w:tc>
        <w:tc>
          <w:tcPr>
            <w:tcW w:w="15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000-18183 12/10/2020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gridSpan w:val="11"/>
            <w:shd w:val="clear" w:color="auto" w:fill="0000EE"/>
          </w:tcPr>
          <w:p>
            <w:pPr>
              <w:spacing w:after="0" w:line="20" w:lineRule="exact"/>
              <w:rPr>
                <w:sz w:val="1"/>
                <w:szCs w:val="1"/>
                <w:color w:val="auto"/>
              </w:rPr>
            </w:pPr>
          </w:p>
        </w:tc>
        <w:tc>
          <w:tcPr>
            <w:tcW w:w="10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41"/>
          </w:tcPr>
          <w:p>
            <w:pPr>
              <w:spacing w:after="0" w:line="183"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Apparel Group, Ltd. as Tenant and Granite South Brunswick LLC as Landlord.</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10.12</w:t>
            </w:r>
          </w:p>
        </w:tc>
        <w:tc>
          <w:tcPr>
            <w:tcW w:w="2400" w:type="dxa"/>
            <w:vAlign w:val="bottom"/>
            <w:tcBorders>
              <w:bottom w:val="single" w:sz="8" w:color="0000EE"/>
            </w:tcBorders>
            <w:gridSpan w:val="11"/>
            <w:shd w:val="clear" w:color="auto" w:fill="CCEEFF"/>
          </w:tcPr>
          <w:p>
            <w:pPr>
              <w:spacing w:after="0" w:line="162"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Form of Indemnification Agreement.</w:t>
              </w:r>
            </w:hyperlink>
          </w:p>
        </w:tc>
        <w:tc>
          <w:tcPr>
            <w:tcW w:w="2940" w:type="dxa"/>
            <w:vAlign w:val="bottom"/>
            <w:tcBorders>
              <w:bottom w:val="single" w:sz="8" w:color="CCEEFF"/>
            </w:tcBorders>
            <w:gridSpan w:val="30"/>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10-Q (Q3 2011)</w:t>
            </w:r>
          </w:p>
        </w:tc>
        <w:tc>
          <w:tcPr>
            <w:tcW w:w="1520" w:type="dxa"/>
            <w:vAlign w:val="bottom"/>
            <w:tcBorders>
              <w:bottom w:val="single" w:sz="8" w:color="CCEE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 12/10/2010</w:t>
            </w: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10.13</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Employment Agreement, dated as of December 9, 2016, between G-III and</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15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000-18183 12/14/2016</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860" w:type="dxa"/>
            <w:vAlign w:val="bottom"/>
            <w:tcBorders>
              <w:top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Jeffrey D. Goldfarb.</w:t>
              </w:r>
            </w:hyperlink>
          </w:p>
        </w:tc>
        <w:tc>
          <w:tcPr>
            <w:tcW w:w="480" w:type="dxa"/>
            <w:vAlign w:val="bottom"/>
            <w:gridSpan w:val="18"/>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10.14</w:t>
            </w:r>
          </w:p>
        </w:tc>
        <w:tc>
          <w:tcPr>
            <w:tcW w:w="5340" w:type="dxa"/>
            <w:vAlign w:val="bottom"/>
            <w:gridSpan w:val="41"/>
            <w:shd w:val="clear" w:color="auto" w:fill="CCEEFF"/>
          </w:tcPr>
          <w:p>
            <w:pPr>
              <w:spacing w:after="0" w:line="162"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Amendment to Executive Transition Agreement, dated as of December 9, 2016,</w:t>
              </w:r>
            </w:hyperlink>
          </w:p>
        </w:tc>
        <w:tc>
          <w:tcPr>
            <w:tcW w:w="1120" w:type="dxa"/>
            <w:vAlign w:val="bottom"/>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7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12/6/2016</w:t>
            </w:r>
          </w:p>
        </w:tc>
        <w:tc>
          <w:tcPr>
            <w:tcW w:w="0" w:type="dxa"/>
            <w:vAlign w:val="bottom"/>
          </w:tcPr>
          <w:p>
            <w:pPr>
              <w:spacing w:after="0"/>
              <w:rPr>
                <w:sz w:val="1"/>
                <w:szCs w:val="1"/>
                <w:color w:val="auto"/>
              </w:rPr>
            </w:pPr>
          </w:p>
        </w:tc>
      </w:tr>
      <w:tr>
        <w:trPr>
          <w:trHeight w:val="183"/>
        </w:trPr>
        <w:tc>
          <w:tcPr>
            <w:tcW w:w="940" w:type="dxa"/>
            <w:vAlign w:val="bottom"/>
            <w:tcBorders>
              <w:top w:val="single" w:sz="8" w:color="CCEEFF"/>
              <w:right w:val="single" w:sz="8" w:color="CCEEFF"/>
            </w:tcBorders>
            <w:shd w:val="clear" w:color="auto" w:fill="CCEEFF"/>
          </w:tcPr>
          <w:p>
            <w:pPr>
              <w:spacing w:after="0"/>
              <w:rPr>
                <w:sz w:val="15"/>
                <w:szCs w:val="15"/>
                <w:color w:val="auto"/>
              </w:rPr>
            </w:pPr>
          </w:p>
        </w:tc>
        <w:tc>
          <w:tcPr>
            <w:tcW w:w="5160" w:type="dxa"/>
            <w:vAlign w:val="bottom"/>
            <w:tcBorders>
              <w:top w:val="single" w:sz="8" w:color="0000EE"/>
            </w:tcBorders>
            <w:gridSpan w:val="33"/>
            <w:shd w:val="clear" w:color="auto" w:fill="CCEEFF"/>
          </w:tcPr>
          <w:p>
            <w:pPr>
              <w:spacing w:after="0" w:line="183"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between G-III and Jeffrey D. Goldfarb.</w:t>
              </w:r>
            </w:hyperlink>
          </w:p>
        </w:tc>
        <w:tc>
          <w:tcPr>
            <w:tcW w:w="180" w:type="dxa"/>
            <w:vAlign w:val="bottom"/>
            <w:tcBorders>
              <w:top w:val="single" w:sz="8" w:color="CCEEFF"/>
            </w:tcBorders>
            <w:gridSpan w:val="8"/>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10.15</w:t>
            </w:r>
          </w:p>
        </w:tc>
        <w:tc>
          <w:tcPr>
            <w:tcW w:w="5340" w:type="dxa"/>
            <w:vAlign w:val="bottom"/>
            <w:gridSpan w:val="41"/>
          </w:tcPr>
          <w:p>
            <w:pPr>
              <w:spacing w:after="0" w:line="162"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Severance Agreement, dated as of December 9, 2016, between G-III and Neal</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6"/>
              </w:rPr>
              <w:t>8-K</w:t>
            </w:r>
          </w:p>
        </w:tc>
        <w:tc>
          <w:tcPr>
            <w:tcW w:w="15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000-18183 12/14/2016</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000" w:type="dxa"/>
            <w:vAlign w:val="bottom"/>
            <w:tcBorders>
              <w:top w:val="single" w:sz="8" w:color="0000EE"/>
            </w:tcBorders>
            <w:gridSpan w:val="30"/>
          </w:tcPr>
          <w:p>
            <w:pPr>
              <w:spacing w:after="0" w:line="183"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Nackman.</w:t>
              </w:r>
            </w:hyperlink>
          </w:p>
        </w:tc>
        <w:tc>
          <w:tcPr>
            <w:tcW w:w="340" w:type="dxa"/>
            <w:vAlign w:val="bottom"/>
            <w:gridSpan w:val="11"/>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10.16</w:t>
            </w:r>
          </w:p>
        </w:tc>
        <w:tc>
          <w:tcPr>
            <w:tcW w:w="5000" w:type="dxa"/>
            <w:vAlign w:val="bottom"/>
            <w:tcBorders>
              <w:bottom w:val="single" w:sz="8" w:color="0000EE"/>
              <w:right w:val="single" w:sz="8" w:color="CCEEFF"/>
            </w:tcBorders>
            <w:gridSpan w:val="30"/>
            <w:shd w:val="clear" w:color="auto" w:fill="CCEEFF"/>
          </w:tcPr>
          <w:p>
            <w:pPr>
              <w:spacing w:after="0" w:line="162"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Lease, dated August 1, 2006, between 240 West 40th LLC. and G-III Leather</w:t>
              </w:r>
            </w:hyperlink>
          </w:p>
        </w:tc>
        <w:tc>
          <w:tcPr>
            <w:tcW w:w="340" w:type="dxa"/>
            <w:vAlign w:val="bottom"/>
            <w:tcBorders>
              <w:left w:val="single" w:sz="8" w:color="CCEEFF"/>
              <w:bottom w:val="single" w:sz="8" w:color="CCEEFF"/>
            </w:tcBorders>
            <w:gridSpan w:val="11"/>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10-K (2017)</w:t>
            </w:r>
          </w:p>
        </w:tc>
        <w:tc>
          <w:tcPr>
            <w:tcW w:w="74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4/3/2017</w:t>
            </w:r>
          </w:p>
        </w:tc>
        <w:tc>
          <w:tcPr>
            <w:tcW w:w="0" w:type="dxa"/>
            <w:vAlign w:val="bottom"/>
          </w:tcPr>
          <w:p>
            <w:pPr>
              <w:spacing w:after="0"/>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41"/>
            <w:shd w:val="clear" w:color="auto" w:fill="CCEEFF"/>
          </w:tcPr>
          <w:p>
            <w:pPr>
              <w:spacing w:after="0" w:line="183"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Fashions, Inc.</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-7345680</wp:posOffset>
            </wp:positionV>
            <wp:extent cx="254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-7345680</wp:posOffset>
            </wp:positionV>
            <wp:extent cx="254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-7345680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-7345680</wp:posOffset>
            </wp:positionV>
            <wp:extent cx="82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00" w:type="dxa"/>
            <w:vAlign w:val="bottom"/>
            <w:gridSpan w:val="1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26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00" w:type="dxa"/>
            <w:vAlign w:val="bottom"/>
            <w:gridSpan w:val="12"/>
            <w:vMerge w:val="continue"/>
          </w:tcPr>
          <w:p>
            <w:pPr>
              <w:spacing w:after="0"/>
              <w:rPr>
                <w:sz w:val="12"/>
                <w:szCs w:val="12"/>
                <w:color w:val="auto"/>
              </w:rPr>
            </w:pPr>
          </w:p>
        </w:tc>
        <w:tc>
          <w:tcPr>
            <w:tcW w:w="112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74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3"/>
                <w:szCs w:val="13"/>
                <w:b w:val="1"/>
                <w:bCs w:val="1"/>
                <w:color w:val="auto"/>
                <w:w w:val="96"/>
              </w:rPr>
              <w:t>File No.</w:t>
            </w:r>
          </w:p>
        </w:tc>
        <w:tc>
          <w:tcPr>
            <w:tcW w:w="7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56"/>
        </w:trPr>
        <w:tc>
          <w:tcPr>
            <w:tcW w:w="940" w:type="dxa"/>
            <w:vAlign w:val="bottom"/>
            <w:tcBorders>
              <w:top w:val="single" w:sz="8" w:color="auto"/>
              <w:right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10.17</w:t>
            </w:r>
          </w:p>
        </w:tc>
        <w:tc>
          <w:tcPr>
            <w:tcW w:w="5320" w:type="dxa"/>
            <w:vAlign w:val="bottom"/>
            <w:tcBorders>
              <w:top w:val="single" w:sz="8" w:color="auto"/>
            </w:tcBorders>
            <w:gridSpan w:val="14"/>
            <w:shd w:val="clear" w:color="auto" w:fill="CCEEFF"/>
          </w:tcPr>
          <w:p>
            <w:pPr>
              <w:spacing w:after="0" w:line="155" w:lineRule="exact"/>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Lease, dated December 7, 2011, between 400 Commerce Boulevard LLC. and G-</w:t>
              </w:r>
            </w:hyperlink>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10-K (2017)</w:t>
            </w: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000-18183</w:t>
            </w:r>
          </w:p>
        </w:tc>
        <w:tc>
          <w:tcPr>
            <w:tcW w:w="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4/3/2017</w:t>
            </w: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40" w:type="dxa"/>
            <w:vAlign w:val="bottom"/>
            <w:tcBorders>
              <w:top w:val="single" w:sz="8" w:color="0000EE"/>
              <w:bottom w:val="single" w:sz="8" w:color="0000EE"/>
            </w:tcBorders>
            <w:gridSpan w:val="3"/>
            <w:shd w:val="clear" w:color="auto" w:fill="CCEEFF"/>
          </w:tcPr>
          <w:p>
            <w:pPr>
              <w:spacing w:after="0" w:line="183" w:lineRule="exact"/>
              <w:rPr>
                <w:rFonts w:ascii="Times New Roman" w:cs="Times New Roman" w:eastAsia="Times New Roman" w:hAnsi="Times New Roman"/>
                <w:sz w:val="16"/>
                <w:szCs w:val="16"/>
                <w:color w:val="0000EE"/>
                <w:w w:val="99"/>
              </w:rPr>
            </w:pPr>
            <w:hyperlink r:id="rId138">
              <w:r>
                <w:rPr>
                  <w:rFonts w:ascii="Times New Roman" w:cs="Times New Roman" w:eastAsia="Times New Roman" w:hAnsi="Times New Roman"/>
                  <w:sz w:val="16"/>
                  <w:szCs w:val="16"/>
                  <w:color w:val="0000EE"/>
                  <w:w w:val="99"/>
                </w:rPr>
                <w:t>III Leather Fashions, Inc.</w:t>
              </w:r>
            </w:hyperlink>
          </w:p>
        </w:tc>
        <w:tc>
          <w:tcPr>
            <w:tcW w:w="3620" w:type="dxa"/>
            <w:vAlign w:val="bottom"/>
            <w:tcBorders>
              <w:top w:val="single" w:sz="8" w:color="0000EE"/>
              <w:bottom w:val="single" w:sz="8" w:color="CCEEFF"/>
            </w:tcBorders>
            <w:gridSpan w:val="9"/>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21*</w:t>
            </w:r>
          </w:p>
        </w:tc>
        <w:tc>
          <w:tcPr>
            <w:tcW w:w="5340" w:type="dxa"/>
            <w:vAlign w:val="bottom"/>
            <w:gridSpan w:val="15"/>
          </w:tcPr>
          <w:p>
            <w:pPr>
              <w:spacing w:after="0" w:line="162" w:lineRule="exact"/>
              <w:rPr>
                <w:rFonts w:ascii="Times New Roman" w:cs="Times New Roman" w:eastAsia="Times New Roman" w:hAnsi="Times New Roman"/>
                <w:sz w:val="16"/>
                <w:szCs w:val="16"/>
                <w:color w:val="0000EE"/>
              </w:rPr>
            </w:pPr>
            <w:hyperlink w:anchor="page109">
              <w:r>
                <w:rPr>
                  <w:rFonts w:ascii="Times New Roman" w:cs="Times New Roman" w:eastAsia="Times New Roman" w:hAnsi="Times New Roman"/>
                  <w:sz w:val="16"/>
                  <w:szCs w:val="16"/>
                  <w:color w:val="0000EE"/>
                </w:rPr>
                <w:t>Subsidiaries of G-III.</w:t>
              </w:r>
            </w:hyperlink>
          </w:p>
        </w:tc>
        <w:tc>
          <w:tcPr>
            <w:tcW w:w="112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2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23.1*</w:t>
            </w:r>
          </w:p>
        </w:tc>
        <w:tc>
          <w:tcPr>
            <w:tcW w:w="5340" w:type="dxa"/>
            <w:vAlign w:val="bottom"/>
            <w:gridSpan w:val="15"/>
            <w:shd w:val="clear" w:color="auto" w:fill="CCEEFF"/>
          </w:tcPr>
          <w:p>
            <w:pPr>
              <w:spacing w:after="0" w:line="162" w:lineRule="exact"/>
              <w:rPr>
                <w:rFonts w:ascii="Times New Roman" w:cs="Times New Roman" w:eastAsia="Times New Roman" w:hAnsi="Times New Roman"/>
                <w:sz w:val="16"/>
                <w:szCs w:val="16"/>
                <w:color w:val="0000EE"/>
              </w:rPr>
            </w:pPr>
            <w:hyperlink w:anchor="page110">
              <w:r>
                <w:rPr>
                  <w:rFonts w:ascii="Times New Roman" w:cs="Times New Roman" w:eastAsia="Times New Roman" w:hAnsi="Times New Roman"/>
                  <w:sz w:val="16"/>
                  <w:szCs w:val="16"/>
                  <w:color w:val="0000EE"/>
                </w:rPr>
                <w:t>Consent of Independent Registered Public Accounting Firm, Ernst &amp; Young LLP.</w:t>
              </w:r>
            </w:hyperlink>
          </w:p>
        </w:tc>
        <w:tc>
          <w:tcPr>
            <w:tcW w:w="1120" w:type="dxa"/>
            <w:vAlign w:val="bottom"/>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right="2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2"/>
        </w:trPr>
        <w:tc>
          <w:tcPr>
            <w:tcW w:w="94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31.1*</w:t>
            </w:r>
          </w:p>
        </w:tc>
        <w:tc>
          <w:tcPr>
            <w:tcW w:w="4880" w:type="dxa"/>
            <w:vAlign w:val="bottom"/>
            <w:tcBorders>
              <w:top w:val="single" w:sz="8" w:color="0000EE"/>
              <w:bottom w:val="single" w:sz="8" w:color="0000EE"/>
            </w:tcBorders>
            <w:gridSpan w:val="6"/>
          </w:tcPr>
          <w:p>
            <w:pPr>
              <w:spacing w:after="0" w:line="162" w:lineRule="exact"/>
              <w:rPr>
                <w:rFonts w:ascii="Times New Roman" w:cs="Times New Roman" w:eastAsia="Times New Roman" w:hAnsi="Times New Roman"/>
                <w:sz w:val="16"/>
                <w:szCs w:val="16"/>
                <w:color w:val="0000EE"/>
              </w:rPr>
            </w:pPr>
            <w:hyperlink w:anchor="page111">
              <w:r>
                <w:rPr>
                  <w:rFonts w:ascii="Times New Roman" w:cs="Times New Roman" w:eastAsia="Times New Roman" w:hAnsi="Times New Roman"/>
                  <w:sz w:val="16"/>
                  <w:szCs w:val="16"/>
                  <w:color w:val="0000EE"/>
                </w:rPr>
                <w:t>Certification by Morris Goldfarb, Chief Executive Officer of G-III Apparel</w:t>
              </w:r>
            </w:hyperlink>
          </w:p>
        </w:tc>
        <w:tc>
          <w:tcPr>
            <w:tcW w:w="400" w:type="dxa"/>
            <w:vAlign w:val="bottom"/>
            <w:tcBorders>
              <w:top w:val="single" w:sz="8" w:color="0000EE"/>
            </w:tcBorders>
            <w:gridSpan w:val="7"/>
          </w:tcPr>
          <w:p>
            <w:pPr>
              <w:spacing w:after="0"/>
              <w:rPr>
                <w:sz w:val="14"/>
                <w:szCs w:val="14"/>
                <w:color w:val="auto"/>
              </w:rPr>
            </w:pPr>
          </w:p>
        </w:tc>
        <w:tc>
          <w:tcPr>
            <w:tcW w:w="60" w:type="dxa"/>
            <w:vAlign w:val="bottom"/>
            <w:tcBorders>
              <w:top w:val="single" w:sz="8" w:color="CCEEFF"/>
            </w:tcBorders>
            <w:gridSpan w:val="2"/>
          </w:tcPr>
          <w:p>
            <w:pPr>
              <w:spacing w:after="0"/>
              <w:rPr>
                <w:sz w:val="14"/>
                <w:szCs w:val="14"/>
                <w:color w:val="auto"/>
              </w:rPr>
            </w:pPr>
          </w:p>
        </w:tc>
        <w:tc>
          <w:tcPr>
            <w:tcW w:w="1120" w:type="dxa"/>
            <w:vAlign w:val="bottom"/>
            <w:tcBorders>
              <w:top w:val="single" w:sz="8" w:color="CCEEFF"/>
            </w:tcBorders>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CCEEFF"/>
            </w:tcBorders>
            <w:gridSpan w:val="2"/>
          </w:tcPr>
          <w:p>
            <w:pPr>
              <w:jc w:val="center"/>
              <w:ind w:right="2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15"/>
          </w:tcPr>
          <w:p>
            <w:pPr>
              <w:spacing w:after="0" w:line="183" w:lineRule="exact"/>
              <w:rPr>
                <w:rFonts w:ascii="Times New Roman" w:cs="Times New Roman" w:eastAsia="Times New Roman" w:hAnsi="Times New Roman"/>
                <w:sz w:val="16"/>
                <w:szCs w:val="16"/>
                <w:color w:val="0000EE"/>
              </w:rPr>
            </w:pPr>
            <w:hyperlink w:anchor="page111">
              <w:r>
                <w:rPr>
                  <w:rFonts w:ascii="Times New Roman" w:cs="Times New Roman" w:eastAsia="Times New Roman" w:hAnsi="Times New Roman"/>
                  <w:sz w:val="16"/>
                  <w:szCs w:val="16"/>
                  <w:color w:val="0000EE"/>
                </w:rPr>
                <w:t>Group, Ltd., pursuant to Rule 13a – 14(a) or Rule 15d – 14(a) of the Securities</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040" w:type="dxa"/>
            <w:vAlign w:val="bottom"/>
            <w:tcBorders>
              <w:top w:val="single" w:sz="8" w:color="0000EE"/>
            </w:tcBorders>
            <w:gridSpan w:val="9"/>
          </w:tcPr>
          <w:p>
            <w:pPr>
              <w:spacing w:after="0" w:line="183" w:lineRule="exact"/>
              <w:rPr>
                <w:rFonts w:ascii="Times New Roman" w:cs="Times New Roman" w:eastAsia="Times New Roman" w:hAnsi="Times New Roman"/>
                <w:sz w:val="16"/>
                <w:szCs w:val="16"/>
                <w:color w:val="0000EE"/>
              </w:rPr>
            </w:pPr>
            <w:hyperlink w:anchor="page111">
              <w:r>
                <w:rPr>
                  <w:rFonts w:ascii="Times New Roman" w:cs="Times New Roman" w:eastAsia="Times New Roman" w:hAnsi="Times New Roman"/>
                  <w:sz w:val="16"/>
                  <w:szCs w:val="16"/>
                  <w:color w:val="0000EE"/>
                </w:rPr>
                <w:t>Exchange Act of 1934, as amended, in connection with G-III Apparel Group,</w:t>
              </w:r>
            </w:hyperlink>
          </w:p>
        </w:tc>
        <w:tc>
          <w:tcPr>
            <w:tcW w:w="300" w:type="dxa"/>
            <w:vAlign w:val="bottom"/>
            <w:gridSpan w:val="6"/>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15"/>
          </w:tcPr>
          <w:p>
            <w:pPr>
              <w:spacing w:after="0" w:line="183" w:lineRule="exact"/>
              <w:rPr>
                <w:rFonts w:ascii="Times New Roman" w:cs="Times New Roman" w:eastAsia="Times New Roman" w:hAnsi="Times New Roman"/>
                <w:sz w:val="16"/>
                <w:szCs w:val="16"/>
                <w:color w:val="0000EE"/>
              </w:rPr>
            </w:pPr>
            <w:hyperlink w:anchor="page111">
              <w:r>
                <w:rPr>
                  <w:rFonts w:ascii="Times New Roman" w:cs="Times New Roman" w:eastAsia="Times New Roman" w:hAnsi="Times New Roman"/>
                  <w:sz w:val="16"/>
                  <w:szCs w:val="16"/>
                  <w:color w:val="0000EE"/>
                </w:rPr>
                <w:t>Ltd.’s Annual Report on Form 10-K for the fiscal year ended January 31, 2020.</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bottom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31.2*</w:t>
            </w:r>
          </w:p>
        </w:tc>
        <w:tc>
          <w:tcPr>
            <w:tcW w:w="4900" w:type="dxa"/>
            <w:vAlign w:val="bottom"/>
            <w:tcBorders>
              <w:bottom w:val="single" w:sz="8" w:color="0000EE"/>
            </w:tcBorders>
            <w:gridSpan w:val="7"/>
            <w:shd w:val="clear" w:color="auto" w:fill="CCEEFF"/>
          </w:tcPr>
          <w:p>
            <w:pPr>
              <w:spacing w:after="0" w:line="162" w:lineRule="exact"/>
              <w:rPr>
                <w:rFonts w:ascii="Times New Roman" w:cs="Times New Roman" w:eastAsia="Times New Roman" w:hAnsi="Times New Roman"/>
                <w:sz w:val="16"/>
                <w:szCs w:val="16"/>
                <w:color w:val="0000EE"/>
              </w:rPr>
            </w:pPr>
            <w:hyperlink w:anchor="page112">
              <w:r>
                <w:rPr>
                  <w:rFonts w:ascii="Times New Roman" w:cs="Times New Roman" w:eastAsia="Times New Roman" w:hAnsi="Times New Roman"/>
                  <w:sz w:val="16"/>
                  <w:szCs w:val="16"/>
                  <w:color w:val="0000EE"/>
                </w:rPr>
                <w:t>Certification by Neal S. Nackman, Chief Financial Officer of G-III Apparel</w:t>
              </w:r>
            </w:hyperlink>
          </w:p>
        </w:tc>
        <w:tc>
          <w:tcPr>
            <w:tcW w:w="440" w:type="dxa"/>
            <w:vAlign w:val="bottom"/>
            <w:tcBorders>
              <w:bottom w:val="single" w:sz="8" w:color="CCEEFF"/>
            </w:tcBorders>
            <w:gridSpan w:val="8"/>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center"/>
              <w:ind w:right="2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15"/>
            <w:shd w:val="clear" w:color="auto" w:fill="CCEEFF"/>
          </w:tcPr>
          <w:p>
            <w:pPr>
              <w:spacing w:after="0" w:line="183" w:lineRule="exact"/>
              <w:rPr>
                <w:rFonts w:ascii="Times New Roman" w:cs="Times New Roman" w:eastAsia="Times New Roman" w:hAnsi="Times New Roman"/>
                <w:sz w:val="16"/>
                <w:szCs w:val="16"/>
                <w:color w:val="0000EE"/>
              </w:rPr>
            </w:pPr>
            <w:hyperlink w:anchor="page112">
              <w:r>
                <w:rPr>
                  <w:rFonts w:ascii="Times New Roman" w:cs="Times New Roman" w:eastAsia="Times New Roman" w:hAnsi="Times New Roman"/>
                  <w:sz w:val="16"/>
                  <w:szCs w:val="16"/>
                  <w:color w:val="0000EE"/>
                </w:rPr>
                <w:t>Group, Ltd., pursuant to Rule 13a – 14(a) or Rule 15d – 14(a) of the Securities</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Borders>
              <w:top w:val="single" w:sz="8" w:color="CCEEFF"/>
              <w:right w:val="single" w:sz="8" w:color="CCEEFF"/>
            </w:tcBorders>
            <w:shd w:val="clear" w:color="auto" w:fill="CCEEFF"/>
          </w:tcPr>
          <w:p>
            <w:pPr>
              <w:spacing w:after="0"/>
              <w:rPr>
                <w:sz w:val="15"/>
                <w:szCs w:val="15"/>
                <w:color w:val="auto"/>
              </w:rPr>
            </w:pPr>
          </w:p>
        </w:tc>
        <w:tc>
          <w:tcPr>
            <w:tcW w:w="5040" w:type="dxa"/>
            <w:vAlign w:val="bottom"/>
            <w:tcBorders>
              <w:top w:val="single" w:sz="8" w:color="0000EE"/>
            </w:tcBorders>
            <w:gridSpan w:val="9"/>
            <w:shd w:val="clear" w:color="auto" w:fill="CCEEFF"/>
          </w:tcPr>
          <w:p>
            <w:pPr>
              <w:spacing w:after="0" w:line="183" w:lineRule="exact"/>
              <w:rPr>
                <w:rFonts w:ascii="Times New Roman" w:cs="Times New Roman" w:eastAsia="Times New Roman" w:hAnsi="Times New Roman"/>
                <w:sz w:val="16"/>
                <w:szCs w:val="16"/>
                <w:color w:val="0000EE"/>
              </w:rPr>
            </w:pPr>
            <w:hyperlink w:anchor="page112">
              <w:r>
                <w:rPr>
                  <w:rFonts w:ascii="Times New Roman" w:cs="Times New Roman" w:eastAsia="Times New Roman" w:hAnsi="Times New Roman"/>
                  <w:sz w:val="16"/>
                  <w:szCs w:val="16"/>
                  <w:color w:val="0000EE"/>
                </w:rPr>
                <w:t>Exchange Act of 1934, as amended, in connection with G-III Apparel Group,</w:t>
              </w:r>
            </w:hyperlink>
          </w:p>
        </w:tc>
        <w:tc>
          <w:tcPr>
            <w:tcW w:w="300" w:type="dxa"/>
            <w:vAlign w:val="bottom"/>
            <w:tcBorders>
              <w:top w:val="single" w:sz="8" w:color="CCEEFF"/>
            </w:tcBorders>
            <w:gridSpan w:val="6"/>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tcBorders>
              <w:right w:val="single" w:sz="8" w:color="CCEEFF"/>
            </w:tcBorders>
            <w:shd w:val="clear" w:color="auto" w:fill="CCEEFF"/>
          </w:tcPr>
          <w:p>
            <w:pPr>
              <w:spacing w:after="0"/>
              <w:rPr>
                <w:sz w:val="17"/>
                <w:szCs w:val="17"/>
                <w:color w:val="auto"/>
              </w:rPr>
            </w:pPr>
          </w:p>
        </w:tc>
        <w:tc>
          <w:tcPr>
            <w:tcW w:w="5340" w:type="dxa"/>
            <w:vAlign w:val="bottom"/>
            <w:gridSpan w:val="15"/>
            <w:shd w:val="clear" w:color="auto" w:fill="CCEEFF"/>
          </w:tcPr>
          <w:p>
            <w:pPr>
              <w:spacing w:after="0" w:line="183" w:lineRule="exact"/>
              <w:rPr>
                <w:rFonts w:ascii="Times New Roman" w:cs="Times New Roman" w:eastAsia="Times New Roman" w:hAnsi="Times New Roman"/>
                <w:sz w:val="16"/>
                <w:szCs w:val="16"/>
                <w:color w:val="0000EE"/>
              </w:rPr>
            </w:pPr>
            <w:hyperlink w:anchor="page112">
              <w:r>
                <w:rPr>
                  <w:rFonts w:ascii="Times New Roman" w:cs="Times New Roman" w:eastAsia="Times New Roman" w:hAnsi="Times New Roman"/>
                  <w:sz w:val="16"/>
                  <w:szCs w:val="16"/>
                  <w:color w:val="0000EE"/>
                </w:rPr>
                <w:t>Ltd.’s Annual Report on Form 10-K for the fiscal year ended January 31, 2020.</w:t>
              </w:r>
            </w:hyperlink>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4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32.1**</w:t>
            </w:r>
          </w:p>
        </w:tc>
        <w:tc>
          <w:tcPr>
            <w:tcW w:w="5120" w:type="dxa"/>
            <w:vAlign w:val="bottom"/>
            <w:tcBorders>
              <w:top w:val="single" w:sz="8" w:color="0000EE"/>
            </w:tcBorders>
            <w:gridSpan w:val="10"/>
          </w:tcPr>
          <w:p>
            <w:pPr>
              <w:spacing w:after="0" w:line="162" w:lineRule="exact"/>
              <w:rPr>
                <w:rFonts w:ascii="Times New Roman" w:cs="Times New Roman" w:eastAsia="Times New Roman" w:hAnsi="Times New Roman"/>
                <w:sz w:val="16"/>
                <w:szCs w:val="16"/>
                <w:color w:val="0000EE"/>
              </w:rPr>
            </w:pPr>
            <w:hyperlink w:anchor="page113">
              <w:r>
                <w:rPr>
                  <w:rFonts w:ascii="Times New Roman" w:cs="Times New Roman" w:eastAsia="Times New Roman" w:hAnsi="Times New Roman"/>
                  <w:sz w:val="16"/>
                  <w:szCs w:val="16"/>
                  <w:color w:val="0000EE"/>
                </w:rPr>
                <w:t>Certification by Morris Goldfarb, Chief Executive Officer of G-III Apparel</w:t>
              </w:r>
            </w:hyperlink>
          </w:p>
        </w:tc>
        <w:tc>
          <w:tcPr>
            <w:tcW w:w="220" w:type="dxa"/>
            <w:vAlign w:val="bottom"/>
            <w:tcBorders>
              <w:top w:val="single" w:sz="8" w:color="CCEEFF"/>
            </w:tcBorders>
            <w:gridSpan w:val="5"/>
          </w:tcPr>
          <w:p>
            <w:pPr>
              <w:spacing w:after="0"/>
              <w:rPr>
                <w:sz w:val="14"/>
                <w:szCs w:val="14"/>
                <w:color w:val="auto"/>
              </w:rPr>
            </w:pPr>
          </w:p>
        </w:tc>
        <w:tc>
          <w:tcPr>
            <w:tcW w:w="1120" w:type="dxa"/>
            <w:vAlign w:val="bottom"/>
            <w:tcBorders>
              <w:top w:val="single" w:sz="8" w:color="CCEEFF"/>
            </w:tcBorders>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CCEEFF"/>
            </w:tcBorders>
            <w:gridSpan w:val="2"/>
          </w:tcPr>
          <w:p>
            <w:pPr>
              <w:jc w:val="center"/>
              <w:ind w:right="2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660" w:type="dxa"/>
            <w:vAlign w:val="bottom"/>
            <w:tcBorders>
              <w:top w:val="single" w:sz="8" w:color="0000EE"/>
              <w:bottom w:val="single" w:sz="8" w:color="0000EE"/>
            </w:tcBorders>
            <w:gridSpan w:val="4"/>
          </w:tcPr>
          <w:p>
            <w:pPr>
              <w:spacing w:after="0" w:line="183" w:lineRule="exact"/>
              <w:rPr>
                <w:rFonts w:ascii="Times New Roman" w:cs="Times New Roman" w:eastAsia="Times New Roman" w:hAnsi="Times New Roman"/>
                <w:sz w:val="16"/>
                <w:szCs w:val="16"/>
                <w:color w:val="0000EE"/>
              </w:rPr>
            </w:pPr>
            <w:hyperlink w:anchor="page113">
              <w:r>
                <w:rPr>
                  <w:rFonts w:ascii="Times New Roman" w:cs="Times New Roman" w:eastAsia="Times New Roman" w:hAnsi="Times New Roman"/>
                  <w:sz w:val="16"/>
                  <w:szCs w:val="16"/>
                  <w:color w:val="0000EE"/>
                </w:rPr>
                <w:t>Group, Ltd., pursuant to 18 U.S.C. Section 1350, as adopted pursuant to</w:t>
              </w:r>
            </w:hyperlink>
          </w:p>
        </w:tc>
        <w:tc>
          <w:tcPr>
            <w:tcW w:w="200" w:type="dxa"/>
            <w:vAlign w:val="bottom"/>
            <w:tcBorders>
              <w:top w:val="single" w:sz="8" w:color="0000EE"/>
            </w:tcBorders>
          </w:tcPr>
          <w:p>
            <w:pPr>
              <w:spacing w:after="0"/>
              <w:rPr>
                <w:sz w:val="15"/>
                <w:szCs w:val="15"/>
                <w:color w:val="auto"/>
              </w:rPr>
            </w:pPr>
          </w:p>
        </w:tc>
        <w:tc>
          <w:tcPr>
            <w:tcW w:w="480" w:type="dxa"/>
            <w:vAlign w:val="bottom"/>
            <w:gridSpan w:val="10"/>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340" w:type="dxa"/>
            <w:vAlign w:val="bottom"/>
            <w:gridSpan w:val="15"/>
          </w:tcPr>
          <w:p>
            <w:pPr>
              <w:spacing w:after="0" w:line="183" w:lineRule="exact"/>
              <w:rPr>
                <w:rFonts w:ascii="Times New Roman" w:cs="Times New Roman" w:eastAsia="Times New Roman" w:hAnsi="Times New Roman"/>
                <w:sz w:val="16"/>
                <w:szCs w:val="16"/>
                <w:color w:val="0000EE"/>
              </w:rPr>
            </w:pPr>
            <w:hyperlink w:anchor="page113">
              <w:r>
                <w:rPr>
                  <w:rFonts w:ascii="Times New Roman" w:cs="Times New Roman" w:eastAsia="Times New Roman" w:hAnsi="Times New Roman"/>
                  <w:sz w:val="16"/>
                  <w:szCs w:val="16"/>
                  <w:color w:val="0000EE"/>
                </w:rPr>
                <w:t>Section 906 of the Sarbanes-Oxley Act of 2002, in connection with G-III Apparel</w:t>
              </w:r>
            </w:hyperlink>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5280" w:type="dxa"/>
            <w:vAlign w:val="bottom"/>
            <w:tcBorders>
              <w:top w:val="single" w:sz="8" w:color="0000EE"/>
            </w:tcBorders>
            <w:gridSpan w:val="13"/>
          </w:tcPr>
          <w:p>
            <w:pPr>
              <w:spacing w:after="0" w:line="183" w:lineRule="exact"/>
              <w:rPr>
                <w:rFonts w:ascii="Times New Roman" w:cs="Times New Roman" w:eastAsia="Times New Roman" w:hAnsi="Times New Roman"/>
                <w:sz w:val="16"/>
                <w:szCs w:val="16"/>
                <w:color w:val="0000EE"/>
              </w:rPr>
            </w:pPr>
            <w:hyperlink w:anchor="page113">
              <w:r>
                <w:rPr>
                  <w:rFonts w:ascii="Times New Roman" w:cs="Times New Roman" w:eastAsia="Times New Roman" w:hAnsi="Times New Roman"/>
                  <w:sz w:val="16"/>
                  <w:szCs w:val="16"/>
                  <w:color w:val="0000EE"/>
                </w:rPr>
                <w:t>Group, Ltd.’s Annual Report on Form 10-K for the fiscal year ended January 31,</w:t>
              </w:r>
            </w:hyperlink>
          </w:p>
        </w:tc>
        <w:tc>
          <w:tcPr>
            <w:tcW w:w="6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360" w:type="dxa"/>
            <w:vAlign w:val="bottom"/>
            <w:tcBorders>
              <w:top w:val="single" w:sz="8" w:color="0000EE"/>
            </w:tcBorders>
            <w:gridSpan w:val="2"/>
          </w:tcPr>
          <w:p>
            <w:pPr>
              <w:spacing w:after="0" w:line="183" w:lineRule="exact"/>
              <w:rPr>
                <w:rFonts w:ascii="Times New Roman" w:cs="Times New Roman" w:eastAsia="Times New Roman" w:hAnsi="Times New Roman"/>
                <w:sz w:val="16"/>
                <w:szCs w:val="16"/>
                <w:color w:val="0000EE"/>
              </w:rPr>
            </w:pPr>
            <w:hyperlink w:anchor="page113">
              <w:r>
                <w:rPr>
                  <w:rFonts w:ascii="Times New Roman" w:cs="Times New Roman" w:eastAsia="Times New Roman" w:hAnsi="Times New Roman"/>
                  <w:sz w:val="16"/>
                  <w:szCs w:val="16"/>
                  <w:color w:val="0000EE"/>
                </w:rPr>
                <w:t>2020.</w:t>
              </w:r>
            </w:hyperlink>
          </w:p>
        </w:tc>
        <w:tc>
          <w:tcPr>
            <w:tcW w:w="280" w:type="dxa"/>
            <w:vAlign w:val="bottom"/>
            <w:tcBorders>
              <w:top w:val="single" w:sz="8" w:color="0000EE"/>
            </w:tcBorders>
          </w:tcPr>
          <w:p>
            <w:pPr>
              <w:spacing w:after="0"/>
              <w:rPr>
                <w:sz w:val="15"/>
                <w:szCs w:val="15"/>
                <w:color w:val="auto"/>
              </w:rPr>
            </w:pPr>
          </w:p>
        </w:tc>
        <w:tc>
          <w:tcPr>
            <w:tcW w:w="30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32.2**</w:t>
            </w:r>
          </w:p>
        </w:tc>
        <w:tc>
          <w:tcPr>
            <w:tcW w:w="5340" w:type="dxa"/>
            <w:vAlign w:val="bottom"/>
            <w:gridSpan w:val="15"/>
            <w:shd w:val="clear" w:color="auto" w:fill="CCEEFF"/>
          </w:tcPr>
          <w:p>
            <w:pPr>
              <w:spacing w:after="0" w:line="162" w:lineRule="exact"/>
              <w:rPr>
                <w:rFonts w:ascii="Times New Roman" w:cs="Times New Roman" w:eastAsia="Times New Roman" w:hAnsi="Times New Roman"/>
                <w:sz w:val="16"/>
                <w:szCs w:val="16"/>
                <w:color w:val="0000EE"/>
              </w:rPr>
            </w:pPr>
            <w:hyperlink w:anchor="page114">
              <w:r>
                <w:rPr>
                  <w:rFonts w:ascii="Times New Roman" w:cs="Times New Roman" w:eastAsia="Times New Roman" w:hAnsi="Times New Roman"/>
                  <w:sz w:val="16"/>
                  <w:szCs w:val="16"/>
                  <w:color w:val="0000EE"/>
                </w:rPr>
                <w:t>Certification by Neal S. Nackman, Chief Financial Officer of G-III Apparel</w:t>
              </w:r>
            </w:hyperlink>
          </w:p>
        </w:tc>
        <w:tc>
          <w:tcPr>
            <w:tcW w:w="1120" w:type="dxa"/>
            <w:vAlign w:val="bottom"/>
            <w:gridSpan w:val="2"/>
            <w:shd w:val="clear" w:color="auto" w:fill="CCEEFF"/>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right="2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2"/>
        </w:trPr>
        <w:tc>
          <w:tcPr>
            <w:tcW w:w="9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660" w:type="dxa"/>
            <w:vAlign w:val="bottom"/>
            <w:tcBorders>
              <w:top w:val="single" w:sz="8" w:color="0000EE"/>
              <w:bottom w:val="single" w:sz="8" w:color="0000EE"/>
            </w:tcBorders>
            <w:gridSpan w:val="4"/>
            <w:shd w:val="clear" w:color="auto" w:fill="CCEEFF"/>
          </w:tcPr>
          <w:p>
            <w:pPr>
              <w:spacing w:after="0" w:line="183" w:lineRule="exact"/>
              <w:rPr>
                <w:rFonts w:ascii="Times New Roman" w:cs="Times New Roman" w:eastAsia="Times New Roman" w:hAnsi="Times New Roman"/>
                <w:sz w:val="16"/>
                <w:szCs w:val="16"/>
                <w:color w:val="0000EE"/>
              </w:rPr>
            </w:pPr>
            <w:hyperlink w:anchor="page114">
              <w:r>
                <w:rPr>
                  <w:rFonts w:ascii="Times New Roman" w:cs="Times New Roman" w:eastAsia="Times New Roman" w:hAnsi="Times New Roman"/>
                  <w:sz w:val="16"/>
                  <w:szCs w:val="16"/>
                  <w:color w:val="0000EE"/>
                </w:rPr>
                <w:t>Group, Ltd., pursuant to 18 U.S.C. Section 1350, as adopted pursuant to</w:t>
              </w:r>
            </w:hyperlink>
          </w:p>
        </w:tc>
        <w:tc>
          <w:tcPr>
            <w:tcW w:w="220" w:type="dxa"/>
            <w:vAlign w:val="bottom"/>
            <w:tcBorders>
              <w:top w:val="single" w:sz="8" w:color="0000EE"/>
              <w:bottom w:val="single" w:sz="8" w:color="CCEEFF"/>
            </w:tcBorders>
            <w:gridSpan w:val="2"/>
            <w:shd w:val="clear" w:color="auto" w:fill="CCEEFF"/>
          </w:tcPr>
          <w:p>
            <w:pPr>
              <w:spacing w:after="0"/>
              <w:rPr>
                <w:sz w:val="15"/>
                <w:szCs w:val="15"/>
                <w:color w:val="auto"/>
              </w:rPr>
            </w:pPr>
          </w:p>
        </w:tc>
        <w:tc>
          <w:tcPr>
            <w:tcW w:w="46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Borders>
              <w:right w:val="single" w:sz="8" w:color="CCEEFF"/>
            </w:tcBorders>
            <w:shd w:val="clear" w:color="auto" w:fill="CCEEFF"/>
          </w:tcPr>
          <w:p>
            <w:pPr>
              <w:spacing w:after="0"/>
              <w:rPr>
                <w:sz w:val="15"/>
                <w:szCs w:val="15"/>
                <w:color w:val="auto"/>
              </w:rPr>
            </w:pPr>
          </w:p>
        </w:tc>
        <w:tc>
          <w:tcPr>
            <w:tcW w:w="5340" w:type="dxa"/>
            <w:vAlign w:val="bottom"/>
            <w:gridSpan w:val="15"/>
            <w:shd w:val="clear" w:color="auto" w:fill="CCEEFF"/>
          </w:tcPr>
          <w:p>
            <w:pPr>
              <w:spacing w:after="0" w:line="183" w:lineRule="exact"/>
              <w:rPr>
                <w:rFonts w:ascii="Times New Roman" w:cs="Times New Roman" w:eastAsia="Times New Roman" w:hAnsi="Times New Roman"/>
                <w:sz w:val="16"/>
                <w:szCs w:val="16"/>
                <w:color w:val="0000EE"/>
              </w:rPr>
            </w:pPr>
            <w:hyperlink w:anchor="page114">
              <w:r>
                <w:rPr>
                  <w:rFonts w:ascii="Times New Roman" w:cs="Times New Roman" w:eastAsia="Times New Roman" w:hAnsi="Times New Roman"/>
                  <w:sz w:val="16"/>
                  <w:szCs w:val="16"/>
                  <w:color w:val="0000EE"/>
                </w:rPr>
                <w:t>Section 906 of the Sarbanes-Oxley Act of 2002, in connection with G-III Apparel</w:t>
              </w:r>
            </w:hyperlink>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right w:val="single" w:sz="8" w:color="CCEEFF"/>
            </w:tcBorders>
            <w:shd w:val="clear" w:color="auto" w:fill="CCEEFF"/>
          </w:tcPr>
          <w:p>
            <w:pPr>
              <w:spacing w:after="0"/>
              <w:rPr>
                <w:sz w:val="17"/>
                <w:szCs w:val="17"/>
                <w:color w:val="auto"/>
              </w:rPr>
            </w:pPr>
          </w:p>
        </w:tc>
        <w:tc>
          <w:tcPr>
            <w:tcW w:w="5280" w:type="dxa"/>
            <w:vAlign w:val="bottom"/>
            <w:tcBorders>
              <w:top w:val="single" w:sz="8" w:color="0000EE"/>
            </w:tcBorders>
            <w:gridSpan w:val="13"/>
            <w:shd w:val="clear" w:color="auto" w:fill="CCEEFF"/>
          </w:tcPr>
          <w:p>
            <w:pPr>
              <w:spacing w:after="0" w:line="183" w:lineRule="exact"/>
              <w:rPr>
                <w:rFonts w:ascii="Times New Roman" w:cs="Times New Roman" w:eastAsia="Times New Roman" w:hAnsi="Times New Roman"/>
                <w:sz w:val="16"/>
                <w:szCs w:val="16"/>
                <w:color w:val="0000EE"/>
              </w:rPr>
            </w:pPr>
            <w:hyperlink w:anchor="page114">
              <w:r>
                <w:rPr>
                  <w:rFonts w:ascii="Times New Roman" w:cs="Times New Roman" w:eastAsia="Times New Roman" w:hAnsi="Times New Roman"/>
                  <w:sz w:val="16"/>
                  <w:szCs w:val="16"/>
                  <w:color w:val="0000EE"/>
                </w:rPr>
                <w:t>Group, Ltd.’s Annual Report on Form 10-K for the year ended January 31, 2020.</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52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auto"/>
              </w:rPr>
              <w:t>iXBRL Instance Document.</w:t>
            </w:r>
          </w:p>
        </w:tc>
        <w:tc>
          <w:tcPr>
            <w:tcW w:w="120" w:type="dxa"/>
            <w:vAlign w:val="bottom"/>
            <w:tcBorders>
              <w:top w:val="single" w:sz="8" w:color="CCEEFF"/>
            </w:tcBorders>
            <w:gridSpan w:val="4"/>
          </w:tcPr>
          <w:p>
            <w:pPr>
              <w:spacing w:after="0"/>
              <w:rPr>
                <w:sz w:val="17"/>
                <w:szCs w:val="17"/>
                <w:color w:val="auto"/>
              </w:rPr>
            </w:pPr>
          </w:p>
        </w:tc>
        <w:tc>
          <w:tcPr>
            <w:tcW w:w="1120" w:type="dxa"/>
            <w:vAlign w:val="bottom"/>
            <w:tcBorders>
              <w:top w:val="single" w:sz="8" w:color="CCEEFF"/>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CCEEFF"/>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3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iXBRL Schema Document.</w:t>
            </w:r>
          </w:p>
        </w:tc>
        <w:tc>
          <w:tcPr>
            <w:tcW w:w="11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3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iXBRL Calculation Linkbase Document.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3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iXBRL Extension Definition.</w:t>
            </w:r>
          </w:p>
        </w:tc>
        <w:tc>
          <w:tcPr>
            <w:tcW w:w="11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3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iXBRL Label Linkbase Document.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3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iXBRL Presentation Linkbase Document.</w:t>
            </w:r>
          </w:p>
        </w:tc>
        <w:tc>
          <w:tcPr>
            <w:tcW w:w="11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3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-3622040</wp:posOffset>
            </wp:positionV>
            <wp:extent cx="2540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-3622040</wp:posOffset>
            </wp:positionV>
            <wp:extent cx="2540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-3622040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-3622040</wp:posOffset>
            </wp:positionV>
            <wp:extent cx="82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106680</wp:posOffset>
            </wp:positionV>
            <wp:extent cx="1414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37" w:lineRule="exact"/>
        <w:rPr>
          <w:sz w:val="20"/>
          <w:szCs w:val="20"/>
          <w:color w:val="auto"/>
        </w:rPr>
      </w:pPr>
    </w:p>
    <w:p>
      <w:pPr>
        <w:ind w:left="360" w:hanging="310"/>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380" w:right="79" w:hanging="330"/>
        <w:spacing w:after="0" w:line="266" w:lineRule="auto"/>
        <w:tabs>
          <w:tab w:leader="none" w:pos="3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Exhibits have been included in copies of this Report filed with the Securities and Exchange Commission. We will provide, without charge, a copy of these exhibits to each stockholder upon the written request of any such stockholder. All such requests should be directed to Investor Relations, G-III Apparel Group, Ltd., 512 Seventh Avenue, 31st floor, New York, New York 10018.</w:t>
      </w:r>
    </w:p>
    <w:p>
      <w:pPr>
        <w:spacing w:after="0" w:line="176"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180" w:type="dxa"/>
            <w:vAlign w:val="bottom"/>
            <w:gridSpan w:val="3"/>
          </w:tcPr>
          <w:p>
            <w:pPr>
              <w:ind w:left="20"/>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Subsidiaries of G-III.</w:t>
              </w:r>
            </w:hyperlink>
          </w:p>
        </w:tc>
        <w:tc>
          <w:tcPr>
            <w:tcW w:w="1400" w:type="dxa"/>
            <w:vAlign w:val="bottom"/>
            <w:tcBorders>
              <w:top w:val="single" w:sz="8" w:color="auto"/>
            </w:tcBorders>
          </w:tcPr>
          <w:p>
            <w:pPr>
              <w:spacing w:after="0"/>
              <w:rPr>
                <w:sz w:val="24"/>
                <w:szCs w:val="24"/>
                <w:color w:val="auto"/>
              </w:rPr>
            </w:pPr>
          </w:p>
        </w:tc>
        <w:tc>
          <w:tcPr>
            <w:tcW w:w="3660" w:type="dxa"/>
            <w:vAlign w:val="bottom"/>
            <w:gridSpan w:val="6"/>
          </w:tcPr>
          <w:p>
            <w:pPr>
              <w:spacing w:after="0"/>
              <w:rPr>
                <w:sz w:val="24"/>
                <w:szCs w:val="24"/>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240" w:type="dxa"/>
            <w:vAlign w:val="bottom"/>
            <w:gridSpan w:val="10"/>
          </w:tcPr>
          <w:p>
            <w:pPr>
              <w:ind w:left="20"/>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Consent of Independent Registered Public Accounting Firm, Ernst &amp; Young LLP.</w:t>
              </w:r>
            </w:hyperlink>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60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Certification by Morris Goldfarb, Chief Executive Officer of G-III Apparel Group, Ltd., pursuant to</w:t>
              </w:r>
            </w:hyperlink>
          </w:p>
        </w:tc>
      </w:tr>
      <w:tr>
        <w:trPr>
          <w:trHeight w:val="196"/>
        </w:trPr>
        <w:tc>
          <w:tcPr>
            <w:tcW w:w="1560" w:type="dxa"/>
            <w:vAlign w:val="bottom"/>
          </w:tcPr>
          <w:p>
            <w:pPr>
              <w:spacing w:after="0"/>
              <w:rPr>
                <w:sz w:val="17"/>
                <w:szCs w:val="17"/>
                <w:color w:val="auto"/>
              </w:rPr>
            </w:pPr>
          </w:p>
        </w:tc>
        <w:tc>
          <w:tcPr>
            <w:tcW w:w="7200" w:type="dxa"/>
            <w:vAlign w:val="bottom"/>
            <w:tcBorders>
              <w:top w:val="single" w:sz="8" w:color="0000EE"/>
            </w:tcBorders>
            <w:gridSpan w:val="9"/>
          </w:tcPr>
          <w:p>
            <w:pPr>
              <w:ind w:left="20"/>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Rule 13a – 14(a) or Rule 15d – 14(a) of the Securities Exchange Act of 1934, as amended, in</w:t>
              </w:r>
            </w:hyperlink>
          </w:p>
        </w:tc>
        <w:tc>
          <w:tcPr>
            <w:tcW w:w="4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38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connection with G-III Apparel Group, Ltd.’s Annual Report on Form 10-K for the fiscal year ended</w:t>
              </w:r>
            </w:hyperlink>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180" w:type="dxa"/>
            <w:vAlign w:val="bottom"/>
            <w:tcBorders>
              <w:top w:val="single" w:sz="8" w:color="0000EE"/>
            </w:tcBorders>
            <w:gridSpan w:val="8"/>
          </w:tcPr>
          <w:p>
            <w:pPr>
              <w:ind w:left="20"/>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January 31, 2022.</w:t>
              </w:r>
            </w:hyperlink>
          </w:p>
        </w:tc>
        <w:tc>
          <w:tcPr>
            <w:tcW w:w="60" w:type="dxa"/>
            <w:vAlign w:val="bottom"/>
            <w:gridSpan w:val="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Certification by Neal S. Nackman, Chief Financial Officer of G-III Apparel Group, Ltd., pursuant to</w:t>
              </w:r>
            </w:hyperlink>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Rule 13a – 14(a) or Rule 15d – 14(a) of the Securities Exchange Act of 1934, as amended, in</w:t>
              </w:r>
            </w:hyperlink>
          </w:p>
        </w:tc>
      </w:tr>
      <w:tr>
        <w:trPr>
          <w:trHeight w:val="20"/>
        </w:trPr>
        <w:tc>
          <w:tcPr>
            <w:tcW w:w="1560" w:type="dxa"/>
            <w:vAlign w:val="bottom"/>
          </w:tcPr>
          <w:p>
            <w:pPr>
              <w:spacing w:after="0" w:line="20" w:lineRule="exact"/>
              <w:rPr>
                <w:sz w:val="1"/>
                <w:szCs w:val="1"/>
                <w:color w:val="auto"/>
              </w:rPr>
            </w:pPr>
          </w:p>
        </w:tc>
        <w:tc>
          <w:tcPr>
            <w:tcW w:w="666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connection with G-III Apparel Group, Ltd.’s Annual Report on Form 10-K for the fiscal year ended</w:t>
              </w:r>
            </w:hyperlink>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EE"/>
            </w:tcBorders>
            <w:gridSpan w:val="8"/>
          </w:tcPr>
          <w:p>
            <w:pPr>
              <w:ind w:left="20"/>
              <w:spacing w:after="0" w:line="19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January 31, 2022.</w:t>
              </w:r>
            </w:hyperlink>
          </w:p>
        </w:tc>
        <w:tc>
          <w:tcPr>
            <w:tcW w:w="60" w:type="dxa"/>
            <w:vAlign w:val="bottom"/>
            <w:gridSpan w:val="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rFonts w:ascii="Times New Roman" w:cs="Times New Roman" w:eastAsia="Times New Roman" w:hAnsi="Times New Roman"/>
                <w:sz w:val="18"/>
                <w:szCs w:val="18"/>
                <w:color w:val="0000EE"/>
                <w:w w:val="99"/>
              </w:rPr>
            </w:pPr>
            <w:hyperlink w:anchor="page113">
              <w:r>
                <w:rPr>
                  <w:rFonts w:ascii="Times New Roman" w:cs="Times New Roman" w:eastAsia="Times New Roman" w:hAnsi="Times New Roman"/>
                  <w:sz w:val="18"/>
                  <w:szCs w:val="18"/>
                  <w:color w:val="0000EE"/>
                  <w:w w:val="99"/>
                </w:rPr>
                <w:t>Certification by Morris Goldfarb, Chief Executive Officer of G-III Apparel Group, Ltd., pursuant to</w:t>
              </w:r>
            </w:hyperlink>
          </w:p>
        </w:tc>
      </w:tr>
      <w:tr>
        <w:trPr>
          <w:trHeight w:val="196"/>
        </w:trPr>
        <w:tc>
          <w:tcPr>
            <w:tcW w:w="1560" w:type="dxa"/>
            <w:vAlign w:val="bottom"/>
          </w:tcPr>
          <w:p>
            <w:pPr>
              <w:spacing w:after="0"/>
              <w:rPr>
                <w:sz w:val="17"/>
                <w:szCs w:val="17"/>
                <w:color w:val="auto"/>
              </w:rPr>
            </w:pPr>
          </w:p>
        </w:tc>
        <w:tc>
          <w:tcPr>
            <w:tcW w:w="7200" w:type="dxa"/>
            <w:vAlign w:val="bottom"/>
            <w:tcBorders>
              <w:top w:val="single" w:sz="8" w:color="0000EE"/>
            </w:tcBorders>
            <w:gridSpan w:val="9"/>
          </w:tcPr>
          <w:p>
            <w:pPr>
              <w:ind w:left="20"/>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18 U.S.C. Section 1350, as adopted pursuant to Section 906 of the Sarbanes-Oxley Act of 2002, in</w:t>
              </w:r>
            </w:hyperlink>
          </w:p>
        </w:tc>
        <w:tc>
          <w:tcPr>
            <w:tcW w:w="4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710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connection with G-III Apparel Group, Ltd.’s Annual Report on Form 10-K for the fiscal year ended</w:t>
              </w:r>
            </w:hyperlink>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180" w:type="dxa"/>
            <w:vAlign w:val="bottom"/>
            <w:tcBorders>
              <w:top w:val="single" w:sz="8" w:color="0000EE"/>
            </w:tcBorders>
            <w:gridSpan w:val="8"/>
          </w:tcPr>
          <w:p>
            <w:pPr>
              <w:ind w:left="20"/>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January 31, 2022.</w:t>
              </w:r>
            </w:hyperlink>
          </w:p>
        </w:tc>
        <w:tc>
          <w:tcPr>
            <w:tcW w:w="60" w:type="dxa"/>
            <w:vAlign w:val="bottom"/>
            <w:gridSpan w:val="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Certification by Neal S. Nackman, Chief Financial Officer of G-III Apparel Group, Ltd., pursuant to</w:t>
              </w:r>
            </w:hyperlink>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18 U.S.C. Section 1350, as adopted pursuant to Section 906 of the Sarbanes-Oxley Act of 2002, in</w:t>
              </w:r>
            </w:hyperlink>
          </w:p>
        </w:tc>
      </w:tr>
      <w:tr>
        <w:trPr>
          <w:trHeight w:val="20"/>
        </w:trPr>
        <w:tc>
          <w:tcPr>
            <w:tcW w:w="1560" w:type="dxa"/>
            <w:vAlign w:val="bottom"/>
          </w:tcPr>
          <w:p>
            <w:pPr>
              <w:spacing w:after="0" w:line="20" w:lineRule="exact"/>
              <w:rPr>
                <w:sz w:val="1"/>
                <w:szCs w:val="1"/>
                <w:color w:val="auto"/>
              </w:rPr>
            </w:pPr>
          </w:p>
        </w:tc>
        <w:tc>
          <w:tcPr>
            <w:tcW w:w="710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connection with G-III Apparel Group, Ltd.’s Annual Report on Form 10-K for the fiscal year ended</w:t>
              </w:r>
            </w:hyperlink>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180" w:type="dxa"/>
            <w:vAlign w:val="bottom"/>
            <w:tcBorders>
              <w:top w:val="single" w:sz="8" w:color="0000EE"/>
            </w:tcBorders>
            <w:gridSpan w:val="8"/>
          </w:tcPr>
          <w:p>
            <w:pPr>
              <w:ind w:left="20"/>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January 31, 2022.</w:t>
              </w:r>
            </w:hyperlink>
          </w:p>
        </w:tc>
        <w:tc>
          <w:tcPr>
            <w:tcW w:w="60" w:type="dxa"/>
            <w:vAlign w:val="bottom"/>
            <w:gridSpan w:val="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r>
      <w:tr>
        <w:trPr>
          <w:trHeight w:val="2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Instance Document.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Schema Document.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Calculation Linkbase Document.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Extension Definition.</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Label Linkbase Document.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Presentation Linkbase Document.</w:t>
            </w: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G-III APPAREL GROUP, LTD.</w:t>
      </w:r>
    </w:p>
    <w:p>
      <w:pPr>
        <w:spacing w:after="0" w:line="2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By: /s/ Morris Goldfarb</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-116205</wp:posOffset>
            </wp:positionV>
            <wp:extent cx="24345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March 28, 2022</w:t>
      </w:r>
    </w:p>
    <w:p>
      <w:pPr>
        <w:spacing w:after="0" w:line="221"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0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6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6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9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Morris Goldfarb</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 Chairman of the Board and Chief Executive</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Morris Goldfarb</w:t>
            </w:r>
          </w:p>
        </w:tc>
        <w:tc>
          <w:tcPr>
            <w:tcW w:w="160" w:type="dxa"/>
            <w:vAlign w:val="bottom"/>
          </w:tcPr>
          <w:p>
            <w:pPr>
              <w:spacing w:after="0"/>
              <w:rPr>
                <w:sz w:val="18"/>
                <w:szCs w:val="18"/>
                <w:color w:val="auto"/>
              </w:rPr>
            </w:pPr>
          </w:p>
        </w:tc>
        <w:tc>
          <w:tcPr>
            <w:tcW w:w="3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Officer (principal executive officer)</w:t>
            </w:r>
          </w:p>
        </w:tc>
        <w:tc>
          <w:tcPr>
            <w:tcW w:w="1920" w:type="dxa"/>
            <w:vAlign w:val="bottom"/>
          </w:tcPr>
          <w:p>
            <w:pPr>
              <w:spacing w:after="0"/>
              <w:rPr>
                <w:sz w:val="18"/>
                <w:szCs w:val="18"/>
                <w:color w:val="auto"/>
              </w:rPr>
            </w:pPr>
          </w:p>
        </w:tc>
      </w:tr>
      <w:tr>
        <w:trPr>
          <w:trHeight w:val="391"/>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Neal S. Nackman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Chief Financial Officer (principal financial and</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Neal S. Nackman</w:t>
            </w:r>
          </w:p>
        </w:tc>
        <w:tc>
          <w:tcPr>
            <w:tcW w:w="160" w:type="dxa"/>
            <w:vAlign w:val="bottom"/>
          </w:tcPr>
          <w:p>
            <w:pPr>
              <w:spacing w:after="0"/>
              <w:rPr>
                <w:sz w:val="18"/>
                <w:szCs w:val="18"/>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accounting officer)</w:t>
            </w:r>
          </w:p>
        </w:tc>
        <w:tc>
          <w:tcPr>
            <w:tcW w:w="1920" w:type="dxa"/>
            <w:vAlign w:val="bottom"/>
          </w:tcPr>
          <w:p>
            <w:pPr>
              <w:spacing w:after="0"/>
              <w:rPr>
                <w:sz w:val="18"/>
                <w:szCs w:val="18"/>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Sammy Aaron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 Vice Chairman and President</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Sammy Aaron</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J. Brosig</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Thomas J. Brosig</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Alan Feller</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Alan Feller</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Jeffrey Goldfarb</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Jeffrey Goldfarb</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Victor Herrero</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Victor Herrero</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L. Johnson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Robert L. Johnson</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Jeanette Nostra</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Jeanette Nostra</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Laura Pomerantz</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Laura Pomerantz</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Willem van Bokhorst</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Willem van Bokhorst</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Cheryl Vitali</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Cheryl Vitali</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White</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2022</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Richard White</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STATEMENT SCHEDULE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15(a)) G-III Apparel Group, Ltd. and Subsidiaries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300" w:type="dxa"/>
            <w:vAlign w:val="bottom"/>
            <w:gridSpan w:val="8"/>
            <w:vMerge w:val="restart"/>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 xml:space="preserve">Reports of Independent Registered Public Accounting Firm </w:t>
              </w:r>
            </w:hyperlink>
            <w:r>
              <w:rPr>
                <w:rFonts w:ascii="Times New Roman" w:cs="Times New Roman" w:eastAsia="Times New Roman" w:hAnsi="Times New Roman"/>
                <w:sz w:val="18"/>
                <w:szCs w:val="18"/>
                <w:color w:val="000000"/>
              </w:rPr>
              <w:t>(PCAOB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ID 42)</w:t>
            </w: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300" w:type="dxa"/>
            <w:vAlign w:val="bottom"/>
            <w:gridSpan w:val="8"/>
            <w:vMerge w:val="continue"/>
          </w:tcPr>
          <w:p>
            <w:pPr>
              <w:spacing w:after="0"/>
              <w:rPr>
                <w:sz w:val="14"/>
                <w:szCs w:val="14"/>
                <w:color w:val="auto"/>
              </w:rPr>
            </w:pPr>
          </w:p>
        </w:tc>
        <w:tc>
          <w:tcPr>
            <w:tcW w:w="60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42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Consolidated Balance Sheets</w:t>
              </w:r>
            </w:hyperlink>
          </w:p>
        </w:tc>
        <w:tc>
          <w:tcPr>
            <w:tcW w:w="4020" w:type="dxa"/>
            <w:vAlign w:val="bottom"/>
            <w:gridSpan w:val="2"/>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gridSpan w:val="8"/>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Consolidated Statements of Income and Comprehensive Income</w:t>
              </w:r>
            </w:hyperlink>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46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Stockholders’ Equity</w:t>
              </w:r>
            </w:hyperlink>
          </w:p>
        </w:tc>
        <w:tc>
          <w:tcPr>
            <w:tcW w:w="3680" w:type="dxa"/>
            <w:vAlign w:val="bottom"/>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Consolidated Statements of Cash Flows</w:t>
              </w:r>
            </w:hyperlink>
          </w:p>
        </w:tc>
        <w:tc>
          <w:tcPr>
            <w:tcW w:w="4760" w:type="dxa"/>
            <w:vAlign w:val="bottom"/>
            <w:gridSpan w:val="4"/>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gridSpan w:val="8"/>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Notes to Consolidated Financial Statements</w:t>
              </w:r>
            </w:hyperlink>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108">
              <w:r>
                <w:rPr>
                  <w:rFonts w:ascii="Times New Roman" w:cs="Times New Roman" w:eastAsia="Times New Roman" w:hAnsi="Times New Roman"/>
                  <w:sz w:val="18"/>
                  <w:szCs w:val="18"/>
                  <w:color w:val="0000EE"/>
                  <w:w w:val="98"/>
                </w:rPr>
                <w:t>SCHEDULE II — Valuation and Qualifying Accounts</w:t>
              </w:r>
            </w:hyperlink>
          </w:p>
        </w:tc>
        <w:tc>
          <w:tcPr>
            <w:tcW w:w="4400" w:type="dxa"/>
            <w:vAlign w:val="bottom"/>
            <w:gridSpan w:val="3"/>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regulations of the Securities and Exchange Commission are not required under the related instructions or are inapplicable and, accordingly, are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G-III Apparel Group, Ltd.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G-III Apparel Group, Ltd. and subsidiaries (the Company) as of January 31, 2022 and 2021, the related consolidated statements of income and comprehensive income, stockholders' equity and cash flows for each of the three years in the period ended January 31, 2022,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January 31, 2022 and 2021, and the results of its operations and its cash flows for each of the three years in the period ended January 31, 2022, in conformity with U.S. generally accepted accounting principles.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31, 2022, based on criteria established in Internal Control-Integrated Framework issued by the Committee of Sponsoring Organizations of the Treadway Commission (2013 framework) and our report dated March 28, 2022 expressed an unqualified opinion thereon.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Wholesale revenue variable consideration</w:t>
      </w:r>
    </w:p>
    <w:p>
      <w:pPr>
        <w:spacing w:after="0" w:line="227" w:lineRule="exact"/>
        <w:rPr>
          <w:sz w:val="20"/>
          <w:szCs w:val="20"/>
          <w:color w:val="auto"/>
        </w:rPr>
      </w:pPr>
    </w:p>
    <w:p>
      <w:pPr>
        <w:ind w:left="60"/>
        <w:spacing w:after="0"/>
        <w:tabs>
          <w:tab w:leader="none" w:pos="148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8"/>
          <w:szCs w:val="18"/>
          <w:color w:val="auto"/>
        </w:rPr>
        <w:t>As described in Note 1 and Note 2 to the consolidated financial statements, revenue is adjusted by</w:t>
      </w:r>
    </w:p>
    <w:p>
      <w:pPr>
        <w:spacing w:after="0" w:line="29" w:lineRule="exact"/>
        <w:rPr>
          <w:sz w:val="20"/>
          <w:szCs w:val="20"/>
          <w:color w:val="auto"/>
        </w:rPr>
      </w:pPr>
    </w:p>
    <w:p>
      <w:pPr>
        <w:jc w:val="both"/>
        <w:ind w:left="1500" w:right="79" w:hanging="1457"/>
        <w:spacing w:after="0" w:line="255" w:lineRule="auto"/>
        <w:tabs>
          <w:tab w:leader="none" w:pos="148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variable consideration arising from implicit or explicit obligations. The reserves for variable consideration are recorded as customer refund liabilities and totaled $86.8 million as of January 31, 2022.</w:t>
      </w:r>
    </w:p>
    <w:p>
      <w:pPr>
        <w:spacing w:after="0" w:line="186" w:lineRule="exact"/>
        <w:rPr>
          <w:sz w:val="20"/>
          <w:szCs w:val="20"/>
          <w:color w:val="auto"/>
        </w:rPr>
      </w:pPr>
    </w:p>
    <w:p>
      <w:pPr>
        <w:jc w:val="both"/>
        <w:ind w:left="1500" w:right="79"/>
        <w:spacing w:after="0" w:line="258" w:lineRule="auto"/>
        <w:rPr>
          <w:sz w:val="20"/>
          <w:szCs w:val="20"/>
          <w:color w:val="auto"/>
        </w:rPr>
      </w:pPr>
      <w:r>
        <w:rPr>
          <w:rFonts w:ascii="Times New Roman" w:cs="Times New Roman" w:eastAsia="Times New Roman" w:hAnsi="Times New Roman"/>
          <w:sz w:val="18"/>
          <w:szCs w:val="18"/>
          <w:color w:val="auto"/>
        </w:rPr>
        <w:t>Auditing the Company's measurement of variable consideration related to non-contractual markdowns and returns from wholesale customers is especially challenging because the method of calculation involves subjective management assumptions about estimates of the expected markdowns and returns. For example, in addition to historical experience, estimates of future markdown allowances and returns from wholesale customers are adjusted to reflect management’s assumptions about performance of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79"/>
        <w:spacing w:after="0" w:line="282" w:lineRule="auto"/>
        <w:rPr>
          <w:sz w:val="20"/>
          <w:szCs w:val="20"/>
          <w:color w:val="auto"/>
        </w:rPr>
      </w:pPr>
      <w:r>
        <w:rPr>
          <w:rFonts w:ascii="Times New Roman" w:cs="Times New Roman" w:eastAsia="Times New Roman" w:hAnsi="Times New Roman"/>
          <w:sz w:val="18"/>
          <w:szCs w:val="18"/>
          <w:color w:val="auto"/>
        </w:rPr>
        <w:t>Company’s merchandise, specific known events and industry trends. Changes in the assumptions can have a material effect on the amount of variable consideration recognized.</w:t>
      </w:r>
    </w:p>
    <w:p>
      <w:pPr>
        <w:sectPr>
          <w:pgSz w:w="11900" w:h="16838" w:orient="portrait"/>
          <w:cols w:equalWidth="0" w:num="1">
            <w:col w:w="9019"/>
          </w:cols>
          <w:pgMar w:left="1440" w:top="513" w:right="1440" w:bottom="1440" w:gutter="0" w:footer="0" w:header="0"/>
        </w:sectPr>
      </w:pPr>
    </w:p>
    <w:p>
      <w:pPr>
        <w:spacing w:after="0" w:line="160" w:lineRule="exact"/>
        <w:rPr>
          <w:sz w:val="20"/>
          <w:szCs w:val="20"/>
          <w:color w:val="auto"/>
        </w:rPr>
      </w:pPr>
    </w:p>
    <w:p>
      <w:pPr>
        <w:ind w:left="6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79"/>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for estimating variable consideration. For example, we tested controls over management’s review of the significant assumptions underlying the estimates of the refund liabilities for markdown allowances and returns from wholesale customers.</w:t>
      </w:r>
    </w:p>
    <w:p>
      <w:pPr>
        <w:spacing w:after="0" w:line="180" w:lineRule="exact"/>
        <w:rPr>
          <w:sz w:val="20"/>
          <w:szCs w:val="20"/>
          <w:color w:val="auto"/>
        </w:rPr>
      </w:pPr>
    </w:p>
    <w:p>
      <w:pPr>
        <w:sectPr>
          <w:pgSz w:w="11900" w:h="16838" w:orient="portrait"/>
          <w:cols w:equalWidth="0" w:num="2">
            <w:col w:w="1060" w:space="440"/>
            <w:col w:w="7519"/>
          </w:cols>
          <w:pgMar w:left="1440" w:top="513" w:right="1440" w:bottom="1440" w:gutter="0" w:footer="0" w:header="0"/>
          <w:type w:val="continuous"/>
        </w:sectPr>
      </w:pPr>
    </w:p>
    <w:p>
      <w:pPr>
        <w:jc w:val="both"/>
        <w:ind w:left="1500" w:right="79"/>
        <w:spacing w:after="0" w:line="254" w:lineRule="auto"/>
        <w:rPr>
          <w:sz w:val="20"/>
          <w:szCs w:val="20"/>
          <w:color w:val="auto"/>
        </w:rPr>
      </w:pPr>
      <w:r>
        <w:rPr>
          <w:rFonts w:ascii="Times New Roman" w:cs="Times New Roman" w:eastAsia="Times New Roman" w:hAnsi="Times New Roman"/>
          <w:sz w:val="18"/>
          <w:szCs w:val="18"/>
          <w:color w:val="auto"/>
        </w:rPr>
        <w:t>To test the Company’s measurement of variable consideration related to non-contractual markdowns and returns from wholesale customers, our audit procedures included, among others, evaluating the Company’s methodologies, evaluating the significant assumptions described above and testing the completeness and accuracy of the underlying data used in management's analyses. We compared the significant assumptions used by management to current market and economic trends, historical results and other relevant factors. Further, we performed sensitivity analyses to evaluate the changes in variable consideration that would result from changes in the significant assumptions. In addition, we performed a retrospective review of actual customer chargebacks for markdowns and returns to evaluate the historical accuracy of the Company’s estimates.</w:t>
      </w:r>
    </w:p>
    <w:p>
      <w:pPr>
        <w:sectPr>
          <w:pgSz w:w="11900" w:h="16838" w:orient="portrait"/>
          <w:cols w:equalWidth="0" w:num="1">
            <w:col w:w="9019"/>
          </w:cols>
          <w:pgMar w:left="1440" w:top="513" w:right="1440" w:bottom="1440" w:gutter="0" w:footer="0" w:header="0"/>
          <w:type w:val="continuous"/>
        </w:sectPr>
      </w:pP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28,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439" w:firstLine="1373"/>
        <w:spacing w:after="0" w:line="40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G-III Apparel Group, Ltd.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audited G-III Apparel Group, Ltd and subsidiaries’ internal control over financial reporting as of January 31, 2022, based on criteria established in Internal Control—Integrated Framework issued by the Committee of Sponsoring Organizations of the Treadway Commission (2013 framework) (the COSO criteria). In our opinion, G-III Apparel Group, Ltd. and subsidiaries (the Company) maintained, in all material respects, effective internal control over financial reporting as of January 31, 2022, based on the COSO criteria.</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31, 2022 and 2021, the related consolidated statements of income and comprehensive income, stockholders' equity and cash flows for each of the three years in the period ended January 31, 2022, and the related notes and financial statement schedule listed in the Index at Item 15(a) and our report dated March 28, 2022 expressed an unqualified opinion thereon.</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28,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8"/>
              </w:rPr>
              <w:t>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465,984</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$17.4 million and $17.5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million, respectively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512,155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income taxes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1,652,857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169,595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intangibles, net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Trademarks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453,329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262,527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2,742,528</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2,436,386</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portion of notes payable</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220" w:type="dxa"/>
            <w:vAlign w:val="bottom"/>
          </w:tcPr>
          <w:p>
            <w:pPr>
              <w:spacing w:after="0"/>
              <w:rPr>
                <w:sz w:val="17"/>
                <w:szCs w:val="17"/>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236,921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Customer refund 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86,788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payable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510,805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Notes payable, net of discount and unamortized issuance costs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1,222,145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1,099,181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Preferred stock; 1,000 shares authorized; no shares issued and outstanding</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 $0.01 par value; 120,000 shares authorized; 49,396 and 49,396 shares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issued, respectively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456,329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1,117,005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Common stock held in treasury, at cost - 1,480 and 1,019 shares, respectively</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1,519,912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1,336,241</w:t>
            </w:r>
          </w:p>
        </w:tc>
        <w:tc>
          <w:tcPr>
            <w:tcW w:w="0" w:type="dxa"/>
            <w:vAlign w:val="bottom"/>
          </w:tcPr>
          <w:p>
            <w:pPr>
              <w:spacing w:after="0"/>
              <w:rPr>
                <w:sz w:val="1"/>
                <w:szCs w:val="1"/>
                <w:color w:val="auto"/>
              </w:rPr>
            </w:pPr>
          </w:p>
        </w:tc>
      </w:tr>
      <w:tr>
        <w:trPr>
          <w:trHeight w:val="196"/>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stockholders' equity</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2,742,528</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080" w:type="dxa"/>
            <w:vAlign w:val="bottom"/>
            <w:gridSpan w:val="4"/>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w w:val="95"/>
              </w:rPr>
              <w:t>except per share</w:t>
            </w:r>
          </w:p>
        </w:tc>
        <w:tc>
          <w:tcPr>
            <w:tcW w:w="900" w:type="dxa"/>
            <w:vAlign w:val="bottom"/>
            <w:gridSpan w:val="2"/>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2,055,146</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3,160,464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1,310,704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2,042,524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Asset impairments, net of gain on lease terminations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Loss attributable to noncontrolling interests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2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143,837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9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6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PER COMMON SHARE ATTRIBUTABLE TO G-III</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APPAREL GROUP, LTD.: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Basic:</w:t>
            </w:r>
          </w:p>
        </w:tc>
        <w:tc>
          <w:tcPr>
            <w:tcW w:w="506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520" w:type="dxa"/>
            <w:vAlign w:val="bottom"/>
            <w:tcBorders>
              <w:top w:val="single" w:sz="8" w:color="CCEEFF"/>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48,242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Diluted:</w:t>
            </w:r>
          </w:p>
        </w:tc>
        <w:tc>
          <w:tcPr>
            <w:tcW w:w="4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520" w:type="dxa"/>
            <w:vAlign w:val="bottom"/>
            <w:tcBorders>
              <w:top w:val="single" w:sz="8" w:color="CCEEFF"/>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49,516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48,781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5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Comprehensive income attributable to G-III Apparel Group, Ltd.</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187,174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2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5"/>
          </w:tcPr>
          <w:p>
            <w:pPr>
              <w:jc w:val="right"/>
              <w:ind w:right="39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$ 464,112</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758,881</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(19,054)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1,189,009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(17,290)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effect of adoption of ASC 842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Group, Ltd.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143,837</w:t>
            </w:r>
          </w:p>
        </w:tc>
        <w:tc>
          <w:tcPr>
            <w:tcW w:w="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143,837</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452,142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893,138</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1,290,672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Group, Ltd.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448,417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916,683</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1,336,241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change in accounting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principle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Group, Ltd.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$ 456,329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1,117,005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(39,157)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1,519,912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G-III Apparel Group, Ltd.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January 31,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6"/>
        </w:trPr>
        <w:tc>
          <w:tcPr>
            <w:tcW w:w="5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28"/>
        </w:trPr>
        <w:tc>
          <w:tcPr>
            <w:tcW w:w="5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attributable to G-III Apparel Group, Ltd.</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200,593</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23,545</w:t>
            </w:r>
          </w:p>
        </w:tc>
        <w:tc>
          <w:tcPr>
            <w:tcW w:w="2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143,837</w:t>
            </w:r>
          </w:p>
        </w:tc>
      </w:tr>
      <w:tr>
        <w:trPr>
          <w:trHeight w:val="126"/>
        </w:trPr>
        <w:tc>
          <w:tcPr>
            <w:tcW w:w="57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 net of assets</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liabilities acquired: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49"/>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38,735</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fixed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operating lease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43,351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71,368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73,273</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on lease terminations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(2,541)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(2,415)</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 impairments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21,787</w:t>
            </w:r>
          </w:p>
        </w:tc>
      </w:tr>
      <w:tr>
        <w:trPr>
          <w:trHeight w:val="149"/>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Dividend received from unconsolidated affiliate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3,675</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Equity (gain)/loss in unconsolidated affiliates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fair value of equity investment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17,559</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financing charges and debt discount amortization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9,677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10,491</w:t>
            </w:r>
          </w:p>
        </w:tc>
      </w:tr>
      <w:tr>
        <w:trPr>
          <w:trHeight w:val="149"/>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Extinguishment of deferred financing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gains recorded in conjunction with Fabco acquisition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(2,693)</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(112,814)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(28,003)</w:t>
            </w: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24,465</w:t>
            </w:r>
          </w:p>
        </w:tc>
      </w:tr>
      <w:tr>
        <w:trPr>
          <w:trHeight w:val="149"/>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taxes, net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(13,795)</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w:t>
            </w: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8,373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15,929</w:t>
            </w:r>
          </w:p>
        </w:tc>
      </w:tr>
      <w:tr>
        <w:trPr>
          <w:trHeight w:val="148"/>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assets, net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Customer refund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(136,436)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(10,172)</w:t>
            </w:r>
          </w:p>
        </w:tc>
      </w:tr>
      <w:tr>
        <w:trPr>
          <w:trHeight w:val="148"/>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(86,448)</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(79,843)</w:t>
            </w:r>
          </w:p>
        </w:tc>
      </w:tr>
      <w:tr>
        <w:trPr>
          <w:trHeight w:val="149"/>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124,613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(94,228)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(18,564)</w:t>
            </w:r>
          </w:p>
        </w:tc>
      </w:tr>
      <w:tr>
        <w:trPr>
          <w:trHeight w:val="142"/>
        </w:trPr>
        <w:tc>
          <w:tcPr>
            <w:tcW w:w="574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185,798</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74,758</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209,021</w:t>
            </w:r>
          </w:p>
        </w:tc>
      </w:tr>
      <w:tr>
        <w:trPr>
          <w:trHeight w:val="142"/>
        </w:trPr>
        <w:tc>
          <w:tcPr>
            <w:tcW w:w="5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assets initial direct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(4,093)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(2,104)</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Minority investment in e-commerce retailer</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 of portion of investment in e-commerce retailer</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(18,261)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(16,035)</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(37,990)</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brand acquisition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574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(51,505)</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(20,128)</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(40,094)</w:t>
            </w:r>
          </w:p>
        </w:tc>
      </w:tr>
      <w:tr>
        <w:trPr>
          <w:trHeight w:val="142"/>
        </w:trPr>
        <w:tc>
          <w:tcPr>
            <w:tcW w:w="5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borrowings - revolving credit facility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(1,291,424)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(2,388,766)</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borrowings - revolving credit facility</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1,291,424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2,388,766</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borrowings - unsecured term loan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(300,530)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borrowings - unsecured term loan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8,883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3,362</w:t>
            </w: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borrowings - senior secured notes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financing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(13,551)</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loan from acquired brand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exercise of equity awards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treasury shares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(35,216)</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Taxes paid for net share settlements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(12,239)</w:t>
            </w:r>
          </w:p>
        </w:tc>
      </w:tr>
      <w:tr>
        <w:trPr>
          <w:trHeight w:val="142"/>
        </w:trPr>
        <w:tc>
          <w:tcPr>
            <w:tcW w:w="574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94,775</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(44,482)</w:t>
            </w:r>
          </w:p>
        </w:tc>
      </w:tr>
      <w:tr>
        <w:trPr>
          <w:trHeight w:val="142"/>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3,199</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5,157</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w:t>
            </w:r>
          </w:p>
        </w:tc>
      </w:tr>
      <w:tr>
        <w:trPr>
          <w:trHeight w:val="142"/>
        </w:trPr>
        <w:tc>
          <w:tcPr>
            <w:tcW w:w="5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114,050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154,562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127,234</w:t>
            </w:r>
          </w:p>
        </w:tc>
      </w:tr>
      <w:tr>
        <w:trPr>
          <w:trHeight w:val="149"/>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351,934</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197,372</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70,138</w:t>
            </w:r>
          </w:p>
        </w:tc>
      </w:tr>
      <w:tr>
        <w:trPr>
          <w:trHeight w:val="182"/>
        </w:trPr>
        <w:tc>
          <w:tcPr>
            <w:tcW w:w="57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465,984</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351,934</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197,372</w:t>
            </w:r>
          </w:p>
        </w:tc>
      </w:tr>
      <w:tr>
        <w:trPr>
          <w:trHeight w:val="129"/>
        </w:trPr>
        <w:tc>
          <w:tcPr>
            <w:tcW w:w="5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8"/>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payments: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net</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54,393</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16,418</w:t>
            </w:r>
          </w:p>
        </w:tc>
        <w:tc>
          <w:tcPr>
            <w:tcW w:w="2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34,311</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payments, net</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39,821</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39,020</w:t>
            </w:r>
          </w:p>
        </w:tc>
      </w:tr>
      <w:tr>
        <w:trPr>
          <w:trHeight w:val="188"/>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received from licensing agreement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2022, 2021 and 2020</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consolidated financial statements follows: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 Business Activity and Principles of Consolidation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consolidates the accounts of its wholly-owned and majority-owned subsidiaries. Fabco Holding B.V. (“Fabco”) is a Dutch joint venture limited liability company that was 49% owned by the Company through November 30, 2020 and was accounted for using the equity method of accounting. Effective December 1, 2020, the Company increased its ownership interest in Fabco to 75% and, as a result, Fabco is treated as a consolidated majority-owned subsidiary. KL North America B.V. (“KLNA”) is a Dutch joint venture limited liability company that is 49% owned by the Company. Karl Lagerfeld Holding B.V. (“KLH”) is a Dutch limited liability company that is 19% owned by the Company. The Company accounts for these two investments using the equity method of accounting. All material intercompany balances and transactions have been eliminated.</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October 2021, the Company purchased Sonia Rykiel, a wholly-owned operating subsidiary. The results of Sonia Rykiel are included in our consolidated financial statements beginning in the fourth quarter of fiscal 2022 (See Note 15 – Sonia Rykiel). Vilebrequin International SA (“Vilebrequin”), a Swiss corporation that is wholly-owned by the Company, KLH, KLNA, Fabco and Sonia Rykiel report results on a calendar year basis rather than on the January 31 fiscal year basis used by the Company. Accordingly, the results of Vilebrequin, KLH, KLNA, Fabco and Sonia Rykiel are, and will be, included in the financial statements for the year ended or ending closest to the Company’s fiscal year. For example, with respect to the Company’s results for the fiscal year ended January 31, 2022, the results of Vilebrequin, KLH, KLNA, Fabco and Sonia Rykiel are included for the year ended December 31, 2021. The Company’s retail operations segment reports results on a 52/53-week fiscal year. For fiscal 2022, 2021 and 2020, the fiscal years for the retail operations segment were each 52-week periods, ended on January 29, 2022, January 30, 2021 and February 1, 2020, respectively.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 Cash Equivalents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maturity of three months or less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 Revenue Recognition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Wholesale revenue is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The Company estimates the anticipated variable consideration and records this estimate as a reduction of revenue in the period the related product revenue is recognized.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Variable consideration is estimated based on historical experience, current contractual and statutory requirements, specific known events and industry trends. The reserves for variable consideration are recorded as customer refund liabilities. Historical return rates are calculated on a product line basis. The remainder of the historical rates for variable consideration are calculated by customer by product lines.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retail sales when the customer takes possession of the goods and tenders payment, generally at the point of sale. Digital revenues from customers through the Company’s digital platforms are recognized when the customer takes possession of the goods. The Company’s sales are recorded net of applicable sales taxes.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Both wholesale revenues and retail store revenues are shown net of returns, discounts and other allowances.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Licensing revenue is recognized at the higher of royalty earned or guaranteed minimum royalty.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 Accounts Receivable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extends credit to its wholesale customers based on pre-defined credit criteria. Accounts receivable are net of an allowance for doubtful accounts. In circumstances where the Company is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 See Note 3 – Allowance For Doubtful Accounts.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Inventories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Wholesale inventories are stated at the lower of cost (determined by the first-in, first-out method) or net realizable value, which comprises a significant portion of the Company’s inventory.</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Effective February 1, 2021, the Company elected to change its method of accounting for retail inventories from the lower of cost or market as determined by the retail inventory method to the lower of cost or net realizable value using the weighted average cost method. The Company believes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the Company manages its business with a focus on the actual margin realized.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determined that it was impractical to apply this change in accounting principle retrospectively due to a lack of available information. As a result, the Company applied the change prospectively as of February 1, 2021. The cumulative adjustment as of February 1, 2021 was a decrease of $0.3 million in both inventories and retained earnings. The change in accounting principle did not have a material effect on the Company’s consolidated financial statements as of and for the year ended January 31,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Vilebrequin inventories are stated at the lower of cost (determined by the weighted average method) or net realizable value.</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6. Goodwill and Other Intangibles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business combinations accounted for under the purchase method of accounting. Goodwill is subject to annual impairment tests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Intangible assets deemed to have indefinite lives are not amortized, but are subject to annual impairment tests using a qualitative evaluation or a quantitative test using a relief from royalty method, another form of the income approach. The relief from royalty method requires assumptions regarding industry economic factors and future profitability. Other intangibles with finite lives, including license agreements, trademarks and customer lists are amortized on a straight-line basis over the estimated useful lives of the assets (currently ranging from 5 to 17 years). Impairment charges, if any, on intangible assets with finite lives are recorded when indicators of impairment are present and the discounted cash flows estimated to be derived from those assets are less than the carrying amounts of the assets.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7. Leases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On February 1, 2019, the Company adopted ASC Topic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using the optional transition method to apply the standard as of the effective date. The Company determines if an arrangement is, or contains, a lease at contract inception. Leases with an initial term of 12 months or less are not recorded on the balance sheet.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 The Company has elected to account for lease and non-lease components as a single component.</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of the Company’s leases are classified as operating leases.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8. Depreciation and Amortization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and amortization are computed by the straight-line method over the estimated useful lives of the assets. Leasehold improvements are amortized using the straight-line method over the life of the lease or the useful life of the improvement, whichever is shorter.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9. Impairment of Long-Lived Assets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is less than the carrying value of the assets. A potential impairment has occurred if projected future undiscounted cash flows are less than the carrying value of the assets.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fiscal 2022, the Company recorded a $1.5 million impairment charge related to the leasehold improvements, furniture and fixtures and operating lease assets at certain DKNY, Karl Lagerfeld Paris and Vilebrequin stores as a result of the performance at these stores.</w:t>
      </w:r>
    </w:p>
    <w:p>
      <w:pPr>
        <w:spacing w:after="0" w:line="9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fiscal 2021, the Company recorded a $20.1 million impairment charge related to the operating lease assets, leasehold improvements and furniture and fixtures at certain Wilsons Leather and G.H. Bass stores, primarily due to the retail restructuring, as well as at certain DKNY and Vilebrequin stores as a result of the performance at these stores.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2020, the Company recorded a $21.8 million impairment charge primarily related to leasehold improvements, furniture and fixtures and operating lease assets at certain of its Wilsons Leather, G.H. Bass and DKNY stores as a result of the performance at these stores.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10. Income Taxes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income taxes and uncertain tax positions in accordance with 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Income taxes are accounted for under the liability method, which requires the recognition of deferred tax assets and liabilities for the expected future tax consequences of events that have been included in the financial statements. Under this method, deferred tax assets and liabilities are determined on the basis of differences between the tax bases of assets and liabilities and their financial reporting amounts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ASC 740 prescribes a recognition threshold and measurement attribute for the financial statement recognition and measurement of a tax position taken or expected to be taken in a return, as well as guidance on de-recognition, classification, interest and penalties and financial statement reporting disclosures. It is also the Company's policy to provide for uncertain tax positions and the related interest and penalties based upon management's assessment of whether a tax benefit is more likely than not to be sustained upon examination by tax authorities. To the extent the Company prevails in matters for which a liability for an unrecognized tax benefit is established, or is required to pay amounts in excess of the liability, or when other facts and circumstances change, the Company's effective tax rate in a given financial statement period may be materially affected.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United States government enacted the Coronavirus Aid, Relief, and Economic Security Act (the “CARES Act”) on March 27, 2020, which includes various income tax provisions aimed at providing economic relief. One of those provisions allows any loss generated in fiscal 2021 to be carried back to each of the 5 taxable years preceding the taxable year of such a loss. The Company has elected to use this relief and carried back the fiscal 2021 tax loss to a tax year with a 35% federal rate. Additionally, the CARES Act permits Qualified Improvement Property to qualify for 15-year depreciation and therefore be also eligible for 100 percent first-year bonus depreciation. The Company has elected to take 100% bonus depreciation for all qualified improvement property.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11. Net Income Per Common Share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11,000, 182,000 and 692,000 shares of common stock have been excluded from the diluted net income per share calculation for the years ended January 31, 2022, 2021 and 2020, respectively. All share-based payments outstanding that vest based on the achievement of performance conditions, and for which the respective performance conditions have not been achieved, have been excluded from the diluted per share calculation. The Company issued 0, 0 and 8,851 shares of common stock in connection with the exercise or vesting of equity awards during the years ended January 31, 2022, 2021 and 2020, respectively. In addition, the Company re-issued 194,965, 367,290 and 619,651 treasury shares in connection with the vesting of equity awards in fiscal 2022, 2021 and 2020,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calculation of basic and diluted net income per share:</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740" w:type="dxa"/>
            <w:vAlign w:val="bottom"/>
            <w:tcBorders>
              <w:bottom w:val="single" w:sz="8" w:color="auto"/>
            </w:tcBorders>
          </w:tcPr>
          <w:p>
            <w:pPr>
              <w:spacing w:after="0"/>
              <w:rPr>
                <w:sz w:val="15"/>
                <w:szCs w:val="15"/>
                <w:color w:val="auto"/>
              </w:rPr>
            </w:pPr>
          </w:p>
        </w:tc>
      </w:tr>
      <w:tr>
        <w:trPr>
          <w:trHeight w:val="169"/>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55"/>
        </w:trPr>
        <w:tc>
          <w:tcPr>
            <w:tcW w:w="5700" w:type="dxa"/>
            <w:vAlign w:val="bottom"/>
          </w:tcPr>
          <w:p>
            <w:pPr>
              <w:spacing w:after="0"/>
              <w:rPr>
                <w:sz w:val="13"/>
                <w:szCs w:val="13"/>
                <w:color w:val="auto"/>
              </w:rPr>
            </w:pPr>
          </w:p>
        </w:tc>
        <w:tc>
          <w:tcPr>
            <w:tcW w:w="2280" w:type="dxa"/>
            <w:vAlign w:val="bottom"/>
            <w:gridSpan w:val="6"/>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9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share amounts)</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143,837</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48,209</w:t>
            </w:r>
          </w:p>
        </w:tc>
      </w:tr>
      <w:tr>
        <w:trPr>
          <w:trHeight w:val="249"/>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197"/>
        </w:trPr>
        <w:tc>
          <w:tcPr>
            <w:tcW w:w="5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48,209</w:t>
            </w:r>
          </w:p>
        </w:tc>
      </w:tr>
      <w:tr>
        <w:trPr>
          <w:trHeight w:val="216"/>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Dilutive restricted stock unit awards and stock options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09"/>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common shares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48,895</w:t>
            </w:r>
          </w:p>
        </w:tc>
      </w:tr>
      <w:tr>
        <w:trPr>
          <w:trHeight w:val="20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12. Equity Award Compensation</w:t>
      </w:r>
    </w:p>
    <w:p>
      <w:pPr>
        <w:spacing w:after="0" w:line="22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requires all share-based payments to employees, including grants of restricted stock unit awards and employee stock options, to be recognized as compensation expense over the service period (generally the vesting period) based on their grant date fair values.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accounts for forfeited awards as they occur as permitted by ASC 718. Ultimately, the actual expense recognized over the vesting period will be for those shares that vested. Restricted stock units (“RSU’s”) are time based awards that do not have market or performance conditions and generally (i) cliff vest after three years or (ii) vest over a three year period. Performance based restricted stock units (“PRSU’s”) granted to executives prior to fiscal 2020 include</w:t>
      </w:r>
    </w:p>
    <w:p>
      <w:pPr>
        <w:spacing w:after="0" w:line="3" w:lineRule="exact"/>
        <w:rPr>
          <w:sz w:val="20"/>
          <w:szCs w:val="20"/>
          <w:color w:val="auto"/>
        </w:rPr>
      </w:pPr>
    </w:p>
    <w:p>
      <w:pPr>
        <w:jc w:val="both"/>
        <w:ind w:left="60" w:right="59" w:hanging="10"/>
        <w:spacing w:after="0" w:line="251" w:lineRule="auto"/>
        <w:tabs>
          <w:tab w:leader="none" w:pos="3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Performance stock units (“PSU’s”) were granted to executives in fiscal 2022 and 2020 and vest after a three year performance period during which certain earnings before interest and taxes and return on invested capital performance conditions must be satisfied for vesting to occur. The PSU’s granted in fiscal 2020 are also subject to a lock up period that prevents the sale, contract to sell or transfer of shares for two years subsequent to the date of vesting. RSU’s and employee stock options are expensed on a straight-line basis. PRSU’s are expensed under the accelerated attribution method. PSU’s are expensed under the accelerated attribution method and based on an estimated percentage of achievement of certain pre-established goals.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 is the Company’s policy to grant stock options at prices not less than the fair market value on the date of the grant.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Option terms, vesting and exercise periods vary, except that the term of an option may not exceed ten years.</w:t>
      </w:r>
    </w:p>
    <w:p>
      <w:pPr>
        <w:spacing w:after="0" w:line="20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Also, excess tax benefits arising from the lapse or exercise of an equity award are recognized in income tax expense. The assumed proceeds from applying the treasury stock method when computing net income per share is amended to exclude the amount of excess tax benefits that would be recognized in additional paid-in capital.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13. Cost of Goods Sold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Cost of goods sold includes the expenses incurred to acquire, produce and prepare inventory for sale, including product costs, warehouse staff wages, freight in, import costs, packaging materials, the cost of operating the overseas offices and royalty expense. Gross margins may not be directly comparable to those of the Company’s competitors, as income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statement classifications of certain expenses may vary by company. Additionally, costs expected to be incurred when products are returned should be accrued for upon the sale of the product as a component of cost of goods sold.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14. Shipping and Handling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Shipping and handling costs consist of warehouse facility costs, third party warehousing, freight out costs, and warehouse supervisory wages and are included in selling, general and administrative expenses. Shipping and handling costs included in selling, general and administrative expenses were $130.2 million, $111.8 million and $138.8 million for the years ended January 31, 2022, 2021 and 2020,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15. Advertising Costs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expenses advertising costs as incurred and includes these costs in selling, general and administrative expenses. Advertising paid as a percentage of sales under license agreements are expensed in the period in which the sales occur or are accrued to meet guaranteed minimum requirements under license agreements. Advertising expense was $93.1 million, $55.3 million and $94.7 million for the years ended January 31, 2022, 2021 and 2020, respectively. Prepaid advertising, which represents advance payments to licensors for minimum guaranteed payments for advertising under the Company’s licensing agreements, was $6.7 million and $8.0 million at January 31, 2022 and 2021,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16. Use of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preparing financial statements in conformity with accounting principles generally accepted in the United States (“GAAP”), management is required to make estimates and assumptions that affect the reported amounts of assets and liabilities, the disclosure of contingent assets and liabilities at the date of the financial statements, and the reported amounts of revenues and expenses during the reporting period. In determining these estimates, management must use amounts that are based upon its informed judgments and best estimates. The Company continually evaluates its estimates, including those related to customer allowances and discounts, product returns, bad debts, inventories, equity awards, income taxes, carrying values of intangible assets and long-lived assets including right of use assets. Estimates are based on historical experience and on various other assumptions that the Company believes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17. Fair Value of Financial Instruments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Level 1 — inputs to the valuation methodology based on quoted prices (unadjusted) for identical assets or liabilities in active markets.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Level 3 — inputs to the valuation methodology based on unobservable prices or valuation techniques that are significant to the fair value measurement.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20" w:type="dxa"/>
            <w:vAlign w:val="bottom"/>
          </w:tcPr>
          <w:p>
            <w:pPr>
              <w:spacing w:after="0"/>
              <w:rPr>
                <w:sz w:val="19"/>
                <w:szCs w:val="19"/>
                <w:color w:val="auto"/>
              </w:rPr>
            </w:pPr>
          </w:p>
        </w:tc>
        <w:tc>
          <w:tcPr>
            <w:tcW w:w="2460" w:type="dxa"/>
            <w:vAlign w:val="bottom"/>
            <w:gridSpan w:val="4"/>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7"/>
        </w:trPr>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January 31,</w:t>
            </w:r>
          </w:p>
        </w:tc>
      </w:tr>
      <w:tr>
        <w:trPr>
          <w:trHeight w:val="225"/>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issued to LVMH</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101,810</w:t>
            </w: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16"/>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debt instruments are recorded at their carrying values in its consolidated balance sheets, which may differ from their respective fair values. The fair value of the Company’s secured notes is based on their current market price as of January 31, 2022.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2% note in the principal amount of $125 million (the “LVMH Note”) issued to LVMH Moet Hennessy Louis Vuitton Inc. (“LVMH”) in connection with the acquisition of DKNY and Donna Karan was recorded on the balance sheet at a discount of $40.0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purposes of this fair value disclosure, the Company based its fair value estimate for the LVMH Note on the initial fair value as determined at the date of the acquisition of DKNY and Donna Karan and records the amortization using the effective interest method over the term of the LVMH Note.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the LVMH Note was considered a Level 3 valuation in the fair value hierarchy.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Non-Financial Assets and Liabilities</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212529"/>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fiscal 2022, the Company recorded a $1.5 million impairment charge primarily related to leasehold improvements, furniture and fixtures and operating lease assets at certain DKNY, Karl Lagerfeld Paris and Vilebrequin stores as a result of the performance at these stores. During fiscal 2021, the Company recorded a $20.1 million impairment charge primarily related to operating lease assets, leasehold improvements and furniture and fixtures at certain Wilsons Leather and G.H. Bass stores, primarily due to the retail restructuring, as well as at certain DKNY and Vilebrequin stores as a result of the performance at these stores. During fiscal 2020, the Company recorded a $21.8 million impairment charge primarily related to leasehold improvements, furniture and fixtures and operating lease assets at certain Wilsons Leather, G.H. Bass and DKNY stores as a result of the performance at these stores. In addition, during fiscal 2020, the Company recorded an impairment of $9.6 million, net of tax, in connection with the adoption of ASC 842 – </w:t>
      </w:r>
      <w:r>
        <w:rPr>
          <w:rFonts w:ascii="Times New Roman" w:cs="Times New Roman" w:eastAsia="Times New Roman" w:hAnsi="Times New Roman"/>
          <w:sz w:val="18"/>
          <w:szCs w:val="18"/>
          <w:i w:val="1"/>
          <w:iCs w:val="1"/>
          <w:color w:val="212529"/>
        </w:rPr>
        <w:t>Leases</w:t>
      </w:r>
      <w:r>
        <w:rPr>
          <w:rFonts w:ascii="Times New Roman" w:cs="Times New Roman" w:eastAsia="Times New Roman" w:hAnsi="Times New Roman"/>
          <w:sz w:val="18"/>
          <w:szCs w:val="18"/>
          <w:color w:val="212529"/>
        </w:rPr>
        <w:t xml:space="preserve"> (“ASC 842”) that was recognized through retained earnings.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18. Foreign Currency Translation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of the Company’s international subsidiaries use different functional currencies, which are, for the most part, the local currency. In accordance with the authoritative guidance, assets and liabilities of the Company’s foreign operations are translated from foreign currency into U.S. dollars at period-end rates, while income and expenses are translated at the weighted average exchange rates for the period. The related translation adjustments are reflected as a foreign currency translation adjustment in accumulated other comprehensive loss within stockholders’ equity.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19. Effects of Recently Adopted and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new accounting guidance adopted during the year ended January 31, 2022.</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Accounting Guidance Issued Being Evaluated for Adoption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reviewed all recently issued accounting pronouncements and concluded that they were either not applicable or not expected to have a significant impact to the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 RECOGNITION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Wholesale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The Company estimates the anticipated variable consideration and records this estimate as a reduction of revenue in the period the related product revenue is recognized.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liability recorded in connection with variable consideration, except for cooperative advertising, has been classified as a current liability under “Customer refund liabilities” in the Consolidated Balance Sheet. The Company classifies cooperative advertising as a reduction of net sales in the Consolidated Statements of Income and Comprehensive Income. Costs expected to be incurred when products are returned should be accrued for upon the sale of the product as a component of cost of goods sold.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accordance with ASC 606, the Company elected to disclose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identified the wholesale operations segment and the retail operations segment as distinct sources of revenue.</w:t>
      </w:r>
    </w:p>
    <w:p>
      <w:pPr>
        <w:spacing w:after="0" w:line="1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Wholesale Operations Segment. </w:t>
      </w:r>
      <w:r>
        <w:rPr>
          <w:rFonts w:ascii="Times New Roman" w:cs="Times New Roman" w:eastAsia="Times New Roman" w:hAnsi="Times New Roman"/>
          <w:sz w:val="18"/>
          <w:szCs w:val="18"/>
          <w:color w:val="auto"/>
        </w:rPr>
        <w:t>Wholesale revenues include sales of products to retailers under owned, licensed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revenues from license agreements related to the DKNY, Donna Karan, G.H. Bass, Andrew Marc and Vilebrequin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trademarks owned by the Company. As of January 31, 2022, revenues from license agreements represented an insignificant portion of wholesale revenues.</w:t>
      </w:r>
    </w:p>
    <w:p>
      <w:pPr>
        <w:spacing w:after="0" w:line="16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Retail Operations Segment. </w:t>
      </w:r>
      <w:r>
        <w:rPr>
          <w:rFonts w:ascii="Times New Roman" w:cs="Times New Roman" w:eastAsia="Times New Roman" w:hAnsi="Times New Roman"/>
          <w:sz w:val="18"/>
          <w:szCs w:val="18"/>
          <w:color w:val="auto"/>
        </w:rPr>
        <w:t>Retail store revenues are generated by direct sales to consumers through company-operated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product sales through the Company’s digital channels for the DKNY, Donna Karan, G.H. Bass, Karl Lagerfeld Paris, Andrew Marc and Wilsons Leather businesses. Prior to completion of the restructuring in fiscal 2021, retail stores primarily consisted of Wilsons Leather, G.H. Bass, DKNY and Karl Lagerfeld Paris retail stores, substantially all of which are operated as outlet stores. The Company’s Wilsons Leather and G.H. Bass stores were closed in fiscal 2021 as a result of the retail restructuring.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Variable Consideration</w:t>
      </w:r>
      <w:r>
        <w:rPr>
          <w:rFonts w:ascii="Times New Roman" w:cs="Times New Roman" w:eastAsia="Times New Roman" w:hAnsi="Times New Roman"/>
          <w:sz w:val="18"/>
          <w:szCs w:val="18"/>
          <w:color w:val="auto"/>
        </w:rPr>
        <w:t>. The difference between the amount initially billed and the amount collected represents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may provide customers with discounts, rebates, credit returns and price reductions. The Company may also contribute to customers’ promotional activities or incur charges for compliance violations. These adjustments to the initial selling price often occur after the sales process is completed.</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identified the following elements of variable consideration:</w:t>
      </w:r>
    </w:p>
    <w:p>
      <w:pPr>
        <w:spacing w:after="0" w:line="22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Markdowns</w:t>
      </w:r>
      <w:r>
        <w:rPr>
          <w:rFonts w:ascii="Times New Roman" w:cs="Times New Roman" w:eastAsia="Times New Roman" w:hAnsi="Times New Roman"/>
          <w:sz w:val="18"/>
          <w:szCs w:val="18"/>
          <w:color w:val="auto"/>
        </w:rPr>
        <w:t>. Markdown allowances consist of accommodations in the form of price reductions to wholesale customers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merchandise. In general, markdowns are granted to full price customers, such as department stores. Markdowns may vary year-over-year and are granted based on the performance of Company merchandise at a customer’s retail stores.</w:t>
      </w:r>
    </w:p>
    <w:p>
      <w:pPr>
        <w:spacing w:after="0" w:line="173"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Discounts. </w:t>
      </w:r>
      <w:r>
        <w:rPr>
          <w:rFonts w:ascii="Times New Roman" w:cs="Times New Roman" w:eastAsia="Times New Roman" w:hAnsi="Times New Roman"/>
          <w:sz w:val="18"/>
          <w:szCs w:val="18"/>
          <w:color w:val="auto"/>
        </w:rPr>
        <w:t>Term discounts represent a discount from the initial wholesale sales price to certain wholesale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customary industry practice.</w:t>
      </w:r>
    </w:p>
    <w:p>
      <w:pPr>
        <w:spacing w:after="0" w:line="158"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Sales Allowances</w:t>
      </w:r>
      <w:r>
        <w:rPr>
          <w:rFonts w:ascii="Times New Roman" w:cs="Times New Roman" w:eastAsia="Times New Roman" w:hAnsi="Times New Roman"/>
          <w:sz w:val="18"/>
          <w:szCs w:val="18"/>
          <w:color w:val="auto"/>
        </w:rPr>
        <w:t>. Sales allowances are reductions of the selling price agreed upon with wholesale customers.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may be contractual or may be granted on a case-by-case basis. Non-contractual sales allowances may be granted in connection with billing adjustments and, in some cases, for product related issues.</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Advertising Allowances</w:t>
      </w:r>
      <w:r>
        <w:rPr>
          <w:rFonts w:ascii="Times New Roman" w:cs="Times New Roman" w:eastAsia="Times New Roman" w:hAnsi="Times New Roman"/>
          <w:sz w:val="18"/>
          <w:szCs w:val="18"/>
          <w:color w:val="auto"/>
        </w:rPr>
        <w:t>. Advertising allowances consist of the Company’s financial participation in the promotional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wholesale customers. Wholesale customers may charge back a portion of the advertising expense incurred against open invoices. Advertising programs are generally agreed upon at the beginning of a season.</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Other Allowances</w:t>
      </w:r>
      <w:r>
        <w:rPr>
          <w:rFonts w:ascii="Times New Roman" w:cs="Times New Roman" w:eastAsia="Times New Roman" w:hAnsi="Times New Roman"/>
          <w:sz w:val="18"/>
          <w:szCs w:val="18"/>
          <w:color w:val="auto"/>
        </w:rPr>
        <w:t>. General allowances consist of price reductions granted to a wholesale customer and may relate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participation in costs incurred by the customer during the sales process, as well as price differences, shortages and charges for operational non-compliance.</w:t>
      </w:r>
    </w:p>
    <w:p>
      <w:pPr>
        <w:spacing w:after="0" w:line="17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Return of Merchandise</w:t>
      </w:r>
      <w:r>
        <w:rPr>
          <w:rFonts w:ascii="Times New Roman" w:cs="Times New Roman" w:eastAsia="Times New Roman" w:hAnsi="Times New Roman"/>
          <w:sz w:val="18"/>
          <w:szCs w:val="18"/>
          <w:color w:val="auto"/>
        </w:rPr>
        <w:t>. For wholesale customers, the Company may make accommodations for returns of merchandise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underperforming at a customer’s retail stores. For retail customers, as a matter of Company policy, whether merchandise is purchased at the Company’s stores or on its digital platforms, the consumer generally has up to 90 days to return merchandise from the date of purchase.</w:t>
      </w:r>
    </w:p>
    <w:p>
      <w:pPr>
        <w:spacing w:after="0" w:line="18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As of January 31, 2022 and 2021, customer refund liabilities amounted to $86.8 million and $99.4 million, respectively. Historical return rates are calculated on a product line basis. The remainder of the historical rates for variable consideration are calculated by customer by product lines.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contract liabilities, which are recorded within accrued expenses in the accompanying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$5.1 million and $5.9 million at January 31, 2022 and 2021, respectively. The Company recognized $4.9 million in revenue for the year ended January 31, 2022 which related to contract liabilities that existed at January 31, 2021. There were no contract assets recorded as of January 31, 2022 and January 31, 2021. Substantially all of the advance payments from licenses as of January 31, 2022 are expected to be recognized as revenue within the next twelve months.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ALLOWANCE FOR DOUBTFUL ACCOUNTS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1, 2020, the Company adopted Accounting Standards Update (“ASU”) 2016-13, “Financial Instruments-Credit Losses (Topic 326): Measurement of Credit Losses on Financial Instruments” which had no material impact on the Company’s financial statements. 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accounts receivable and allowance for doubtful accounts as of January 31, 2022 and 2021 were: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622,903</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(17,307)</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Pr>
          <w:p>
            <w:pPr>
              <w:spacing w:after="0"/>
              <w:rPr>
                <w:sz w:val="18"/>
                <w:szCs w:val="18"/>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603,430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605,512</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3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510,157</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(17,429)</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0" w:type="dxa"/>
            <w:vAlign w:val="bottom"/>
          </w:tcPr>
          <w:p>
            <w:pPr>
              <w:spacing w:after="0"/>
              <w:rPr>
                <w:sz w:val="18"/>
                <w:szCs w:val="18"/>
                <w:color w:val="auto"/>
              </w:rPr>
            </w:pPr>
          </w:p>
        </w:tc>
      </w:tr>
      <w:tr>
        <w:trPr>
          <w:trHeight w:val="20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491,581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492,698</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debts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January 31, 2021, the Company recorded a $16.7 million increase in its allowance for doubtful accounts primarily due to allowances recorded against the outstanding receivables of certain department store customers that have publicly announced bankruptcy filings or possible bankruptcy filings. The Company had the following activity in its allowance for credit losses: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(16,934)</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0" w:type="dxa"/>
            <w:vAlign w:val="bottom"/>
            <w:tcBorders>
              <w:bottom w:val="single" w:sz="8" w:color="auto"/>
            </w:tcBorders>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Wholesale inventories, which comprise a significant portion of the Company’s inventory, are stated at the lower of cost (determined by the first-in, first-out method) or net realizable value. Prior to February 1, 2021, retail inventories were valued at the lower of cost or market as determined by the retail inventory method. Effective February 1, 2021, the Company elected to change its method of accounting for retail inventories to the lower of cost (determined by the weighted average method) or net realizable value. See Note 1 – Significant Accounting Policies for more details on the preferability and application of this change in accounting principle. Vilebrequin inventories are stated at the lower of cost (determined by the weighted average method) or net realizable value. Substantially all of the Company’s inventories consist of finished goods.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inventory return asset, which consists of the amount of goods that are anticipated to be returned by customers, was $18.9 million and $22.5 million at January 31, 2022 and 2021, respectively. The inventory return asset is recorded within prepaid expenses and other current assets on the consolidated balance sheets as of January 31, 2022 and 2021.</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Inventory held on consignment by the Company’s customers totaled $4.5 million and $3.5 million at January 31, 2022 and 2021, respectively. Consignment inventory is stored at the facilities of the Company’s customers. The Company reflects this inventory on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consist of:</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480" w:type="dxa"/>
            <w:vAlign w:val="bottom"/>
            <w:vMerge w:val="restart"/>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4"/>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3-13 years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3-10 years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100,572</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2-5 years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40,255</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225,670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(176,865)</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(160,085)</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wrote off fixed assets of $0.2 million and $0.4 million, net of accumulated depreciation, for the years ended January 31, 2022 and 2021. Depreciation expense was $23.6 million, $34.0 million and $33.8 million for the years ended January 31, 2022, 2021 and 2020, respectively. For the year ended January 31, 2022, the Company recorded a $1.3 million impairment charge related to leasehold improvements and furniture and fixtures of certain DKNY and Karl Lagerfeld Paris stores as a result of the performance of these stores. For the year ended January 31, 2021, the Company recorded an $0.8 million impairment charge related to leasehold improvements and furniture and fixtures of certain Wilsons Leather and G.H. Bass stores, primarily due to the retail restructuring, as well as at certain DKNY stores as a result of the performance of these stores. For the year ended January 31, 2020, the Company recorded an $11.5 million impairment charge related to leasehold improvements and furniture and fixtures of certain Wilsons Leather, G.H. Bass and DKNY stores as a result of the performance of these stores.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evaluates long-lived assets, which consist primarily of property and equipment and operating lease assets, for impairment whenever events or changes in circumstances indicate that the carrying amount of an asset may not be recoverable. In the evaluation process, the Company first compares the carrying value of the asset to the estimated future cash flows (undiscounted and without interest charges plus proceeds expected from disposition, if any). If the estimated undiscounted cash flows are less than the carrying value of the asset, the Company needs to determine the fair value of the assets. The Company compares the carrying value of the asset or asset group to its estimated fair value. If the fair value is less than the carrying value, the Company recognizes an impairment charge. The carrying amount of the asset or asset group is reduced to the estimated fair value based on a discounted cash flow valuation. Assets to be disposed of are reported at the lower of the carrying amount of the asset or fair value less costs to sell. The Company reviews retail store assets for potential impairment based on historical cash flows, lease termination provisions and forecasted future retail store operating results. If the Company recognizes an impairment charge for a depreciable long-lived asset, the adjusted carrying amount of the asset becomes its new cost basis and will be depreciated (amortized) over the remaining useful life of that asset.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February 1, 2019, the Company adopted ASC 842 using the optional transition method to apply the standard as of the effective date and, therefore, the standard has not been applied retroactively to the comparative periods presented in its financial statements. The Company has elected the transition package of three practical expedients permitted within the standard, which eliminates the requirements to reassess prior conclusions about lease identification, lease classification and initial direct costs. Further,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contract inception. The Company leases certain retail stores, warehouses, distribution centers, office space and equipment. Leases with an initial term of 12 months or less are not recorded on the balance sheet. The Company recognizes lease expense for these leases on a straight-line basis over the lease term.</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Total rent payable is recorded during the lease term, including rent escalations in which the amount of future rent is certain or fixed on the straight-line basis over the term of the lease (including any rent holiday periods beginning upon control of the premises and any fixed payments stated in the lease).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or payable at commencement. The difference between the minimum rents paid and the straight-line rent (deferred rent) is reflected within the associated operating lease asset.</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retail store, warehouse, distribution center and office leases are classified as operating leases. The Company does not have any finance leases. Operating lease expense is generally recognized on a straight-line basis over the lease term.</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of the Company’s lease agreements include contingent rental payments based on a percentage of retail sales over contractual levels and others include rental payments adjusted periodically for inflation. Contingent rent is accrued each period as the liabilities are incurred. The Company’s leases do not contain any material residual value guarantees or material restrictive covenants.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assets and liabilities as of January 31, 2022 and 2021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January 31, 2021</w:t>
            </w:r>
          </w:p>
        </w:tc>
      </w:tr>
      <w:tr>
        <w:trPr>
          <w:trHeight w:val="142"/>
        </w:trPr>
        <w:tc>
          <w:tcPr>
            <w:tcW w:w="2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gridSpan w:val="4"/>
          </w:tcPr>
          <w:p>
            <w:pPr>
              <w:jc w:val="right"/>
              <w:ind w:right="11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2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186,070</w:t>
            </w:r>
          </w:p>
        </w:tc>
      </w:tr>
      <w:tr>
        <w:trPr>
          <w:trHeight w:val="209"/>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2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169,595</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186,070</w:t>
            </w:r>
          </w:p>
        </w:tc>
      </w:tr>
      <w:tr>
        <w:trPr>
          <w:trHeight w:val="20"/>
        </w:trPr>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w:t>
            </w:r>
          </w:p>
        </w:tc>
      </w:tr>
      <w:tr>
        <w:trPr>
          <w:trHeight w:val="216"/>
        </w:trPr>
        <w:tc>
          <w:tcPr>
            <w:tcW w:w="2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142,868</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161,668</w:t>
            </w:r>
          </w:p>
        </w:tc>
      </w:tr>
      <w:tr>
        <w:trPr>
          <w:trHeight w:val="21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185,631</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205,228</w:t>
            </w:r>
          </w:p>
        </w:tc>
      </w:tr>
      <w:tr>
        <w:trPr>
          <w:trHeight w:val="20"/>
        </w:trPr>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fiscal 2022, the Company recorded a $0.2 million impairment charge related to the operating lease assets at certain Vilebrequin and DKNY stores as a result of the performance at these stores. During fiscal 2021, the Company recorded a $19.4 million impairment charge related to the operating lease assets at certain Wilsons Leather and G.H. Bass stores, primarily due to the retail restructuring, as well as at certain DKNY and Vilebrequin stores as a result of the performance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these stores. During fiscal 2020, the Company recorded a $9.9 million impairment charge related to the operating lease assets at certain of our Wilsons Leather, G.H. Bass and DKNY stores as a result of the performance of these stores. The Company determines the fair value of operating lease assets by discounting the estimated market rental rates over the remaining term of the lease.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leases do not provide the rate of interest implicit in the lease. Therefore, the Company uses its incremental borrowing rate based on the information available at commencement date of each lease in determining the present value of lease payments. For transition purposes, the incremental borrowing rate on February 1, 2019 was used for operating leases that commenced prior to that date.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recorded lease costs of $55.7 million, $92.4 million and $98.4 million during the years ended January 31, 2022, 2021 and 2020, respectively. Lease costs are recorded within selling, general and administrative expenses in the Company’s consolidated statements of income and comprehensive income. The Company recorded variable lease costs and short-term lease costs of $10.5 million, $6.7 million and $16.8 million for the years ended January 31, 2022, 2021 and 2020, respectively. Short-term lease costs are immaterial.</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January 31, 2022, the Company’s maturity of operating lease liabilities in the years ending up to January 31, 2027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55,830</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44,473</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37,382</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29,726</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2027</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40,440</w:t>
            </w: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231,457</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45,826</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185,631</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January 31, 2022, there are no material leases that are legally binding but have not yet commenced.</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January 31, 2022, the weighted average remaining lease term related to operating leases is 5.3 years. The weighted average discount rate related to operating leases is 8.4%.</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is $60.1 million and $108.9 million as of January 31, 2022 and 2021, respectively. Right-of-use assets obtained in exchange for lease obligations were $30.8 million and $56.6 million during the years ended January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consist of:</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gridSpan w:val="3"/>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2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200" w:type="dxa"/>
            <w:vAlign w:val="bottom"/>
            <w:vMerge w:val="restart"/>
          </w:tcPr>
          <w:p>
            <w:pPr>
              <w:spacing w:after="0"/>
              <w:rPr>
                <w:sz w:val="13"/>
                <w:szCs w:val="13"/>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(20,224)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453,329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0" w:type="dxa"/>
            <w:vAlign w:val="bottom"/>
          </w:tcPr>
          <w:p>
            <w:pPr>
              <w:spacing w:after="0"/>
              <w:rPr>
                <w:sz w:val="24"/>
                <w:szCs w:val="24"/>
                <w:color w:val="auto"/>
              </w:rPr>
            </w:pPr>
          </w:p>
        </w:tc>
        <w:tc>
          <w:tcPr>
            <w:tcW w:w="4000" w:type="dxa"/>
            <w:vAlign w:val="bottom"/>
            <w:gridSpan w:val="3"/>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20" w:type="dxa"/>
            <w:vAlign w:val="bottom"/>
            <w:vMerge w:val="restart"/>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200" w:type="dxa"/>
            <w:vAlign w:val="bottom"/>
            <w:vMerge w:val="restart"/>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(17,843)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443,612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expense with respect to finite-lived intangibles amounted to $3.7 million, $4.3 million and $4.5 million for the years ended January 31, 2022, 2021 and 2020,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amortization expense with respect to intangibles for the next five years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42"/>
        </w:trPr>
        <w:tc>
          <w:tcPr>
            <w:tcW w:w="20" w:type="dxa"/>
            <w:vAlign w:val="bottom"/>
          </w:tcPr>
          <w:p>
            <w:pPr>
              <w:spacing w:after="0"/>
              <w:rPr>
                <w:sz w:val="12"/>
                <w:szCs w:val="12"/>
                <w:color w:val="auto"/>
              </w:rPr>
            </w:pPr>
          </w:p>
        </w:tc>
        <w:tc>
          <w:tcPr>
            <w:tcW w:w="2900" w:type="dxa"/>
            <w:vAlign w:val="bottom"/>
            <w:tcBorders>
              <w:top w:val="single" w:sz="8" w:color="auto"/>
            </w:tcBorders>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86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180" w:type="dxa"/>
            <w:vAlign w:val="bottom"/>
            <w:gridSpan w:val="3"/>
          </w:tcPr>
          <w:p>
            <w:pPr>
              <w:jc w:val="right"/>
              <w:ind w:right="2460"/>
              <w:spacing w:after="0"/>
              <w:rPr>
                <w:sz w:val="20"/>
                <w:szCs w:val="20"/>
                <w:color w:val="auto"/>
              </w:rPr>
            </w:pPr>
            <w:r>
              <w:rPr>
                <w:rFonts w:ascii="Times New Roman" w:cs="Times New Roman" w:eastAsia="Times New Roman" w:hAnsi="Times New Roman"/>
                <w:sz w:val="18"/>
                <w:szCs w:val="18"/>
                <w:color w:val="auto"/>
              </w:rPr>
              <w:t>F-22</w:t>
            </w:r>
          </w:p>
        </w:tc>
        <w:tc>
          <w:tcPr>
            <w:tcW w:w="18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measured for impairment when events or circumstances indicate that the carrying value may be impaired.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Goodwill</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Changes in the amounts of goodwill for each of the years ended January 31, 2022 and 2021 are summarized by reportable segment as follows (in thousands):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2020</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260,622</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2021</w:t>
            </w:r>
          </w:p>
        </w:tc>
        <w:tc>
          <w:tcPr>
            <w:tcW w:w="1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263,135</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263,135</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Sonia Rykiel</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2022</w:t>
            </w:r>
          </w:p>
        </w:tc>
        <w:tc>
          <w:tcPr>
            <w:tcW w:w="1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262,527</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262,527</w:t>
            </w:r>
          </w:p>
        </w:tc>
      </w:tr>
      <w:tr>
        <w:trPr>
          <w:trHeight w:val="20"/>
        </w:trPr>
        <w:tc>
          <w:tcPr>
            <w:tcW w:w="3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 events or changes in circumstances indicate that the carrying amount of such assets may be impaired. The Company performs its goodwill test as of January 31 of each year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The Company also performs its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tests of its wholesale reporting unit and its indefinite-lived trademarks as of January 31, 2022, 2021 and 2020 and determined that no impairment existed at those dates. The results of the Company’s annual tests determined that the estimated fair values of its wholesale reporting unit and its indefinite-lived trademarks were substantially in excess of their carrying values.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indefinite-lived trademark balance is primarily composed of the Donna Karan/DKNY trademark that was acquired in fiscal 2017.</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the Company’s goodwill and indefinite-lived intangible assets are considered a Level 3 valuation in the fair value hierarchy.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NOTES PAYABLE AND OTHER LIABILITIES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January 31, 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2021</w:t>
            </w: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4"/>
          </w:tcPr>
          <w:p>
            <w:pPr>
              <w:ind w:left="4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w:t>
            </w:r>
          </w:p>
        </w:tc>
        <w:tc>
          <w:tcPr>
            <w:tcW w:w="21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issued to LVMH</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loans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facilities</w:t>
            </w:r>
          </w:p>
        </w:tc>
        <w:tc>
          <w:tcPr>
            <w:tcW w:w="1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09"/>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1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536,270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537,126</w:t>
            </w:r>
          </w:p>
        </w:tc>
      </w:tr>
      <w:tr>
        <w:trPr>
          <w:trHeight w:val="209"/>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Less: Net debt issuance costs </w:t>
            </w:r>
            <w:r>
              <w:rPr>
                <w:rFonts w:ascii="Times New Roman" w:cs="Times New Roman" w:eastAsia="Times New Roman" w:hAnsi="Times New Roman"/>
                <w:sz w:val="24"/>
                <w:szCs w:val="24"/>
                <w:color w:val="auto"/>
                <w:vertAlign w:val="superscript"/>
              </w:rPr>
              <w:t>(1)</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r>
      <w:tr>
        <w:trPr>
          <w:trHeight w:val="216"/>
        </w:trPr>
        <w:tc>
          <w:tcPr>
            <w:tcW w:w="20" w:type="dxa"/>
            <w:vAlign w:val="bottom"/>
          </w:tcPr>
          <w:p>
            <w:pPr>
              <w:spacing w:after="0"/>
              <w:rPr>
                <w:sz w:val="18"/>
                <w:szCs w:val="18"/>
                <w:color w:val="auto"/>
              </w:rPr>
            </w:pPr>
          </w:p>
        </w:tc>
        <w:tc>
          <w:tcPr>
            <w:tcW w:w="4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Debt discount</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(17,131)</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r>
      <w:tr>
        <w:trPr>
          <w:trHeight w:val="209"/>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Pr>
          <w:p>
            <w:pPr>
              <w:spacing w:after="0"/>
              <w:rPr>
                <w:sz w:val="18"/>
                <w:szCs w:val="18"/>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507,950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81" w:lineRule="exact"/>
        <w:rPr>
          <w:sz w:val="20"/>
          <w:szCs w:val="20"/>
          <w:color w:val="auto"/>
        </w:rPr>
      </w:pPr>
    </w:p>
    <w:p>
      <w:pPr>
        <w:ind w:left="380" w:right="179" w:hanging="330"/>
        <w:spacing w:after="0" w:line="229" w:lineRule="auto"/>
        <w:tabs>
          <w:tab w:leader="none" w:pos="38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Does not include the debt issuance costs, net of amortization, totaling $5.6 million and $7.2 million as of January 31, 2022 and 2021, respectively, related to the revolving credit facility. The debt issuance costs have been deferred and are classified in assets in the accompanying Consolidated Balance Sheets in accordance with ASC 835.</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1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have been used (i) to repay the $300 million that was outstanding under the Company’s prior term loan facility due 2022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 commencing on February 15, 2021.</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guarantors.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are also subject to the terms of the LVMH Note subordination agreement which governs the relative rights of the secured parties in respect of the LVMH Note, the ABL Facility and the Notes.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any time prior to August 15, 2022, the Company may redeem some or all of the Notes at a price equal to 100% of the principal amount of the Notes redeemed plus accrued and unpaid interest, if any, to, but excluding, the applicable redemption date plus a “make-whole” premium, as described in the Indenture. On or after August 15, 2022, the Company may redeem some or all of the Notes at any time and from time to time at the redemption prices set forth in the Indenture, plus accrued and unpaid interest, if any, to, but excluding, the applicable redemption date. In addition, at any time prior to August 15, 2022, the Company may redeem up to 40% of the aggregate principal amount of the Notes with the proceeds of certain equity offerings at the redemption price set forth in the Indenture, plus accrued and unpaid interest, if any, to, but excluding, the applicable redemption date. In addition, at any time prior to August 15, 2022, during any twelve month period, the Company may redeem up to 10% of the aggregate principal amount of the Notes at a redemption price equal to 103% of the principal amount of the Notes redeemed plus accrued and unpaid interest, if any, to, but excluding, the applicable redemption date.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incurred debt issuance costs totaling $8.5 million related to the Notes that will be amortized over the term of the Notes. In accordance with ASC 835, the debt issuance costs have been deferred and are presented as a contra-liability, offsetting the outstanding balance of the Notes, and are amortized over the remaining life of the Notes. In addition, the Company had unamortized debt issuance costs of $6.1 million associated with the Term Loan. Upon repayment of the Term Loan, these debt issuance costs were fully extinguished and charged to interest expense in the Company’s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its subsidiaries, G-III Apparel Canada ULC, Gabrielle Studio, Inc., Donna Karan International Inc. and Donna Karan Studio LLC (the “Guarantors”), are Loan Guarantors under the ABL Credit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extended the maturity date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January 31, 2022, the Company was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2022, the Company had no borrowings outstanding under the ABL Credit Agreement. The ABL credit agreement also includes amounts available for letters of credit. As of January 31, 2022, there were outstanding trade and standby letters of credit amounting to $10.0 million and $4.0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debt issuance costs related to its ABL Credit Agreement. As permitted under ASC 835, the debt issuance costs have been deferred and are presented as an asset which is amortized ratably over the term of the ABL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portion of the consideration for the acquisition of DKNY and Donna Karan, the Company issued to LVMH a junior lien secured promissory note in the principal amount of $125.0 million that bears interest at the rate of 2% per year. $75.0 million of the principal amount of the LVMH Note is due and payable on June 1, 2023 and $50.0 million of such principal amount is due and payable on December 1, 2023.</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LVMH Note, LVMH entered into (i) a subordination agreement providing that the Company’s obligations under the LVMH Note are subordinate and junior to the Company’s obligations under the revolving credit facility and the Term Loan, and (ii) a pledge and security agreement with the Company and its subsidiary,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G-III Leather Fashions, Inc., pursuant to which the Company and G-III Leather Fashions, Inc. granted to LVMH a security interest in specified collateral to secure the Company’s payment and performance of the Company’s obligations under the LVMH Note that are subordinate and junior to the security interest granted by the Company with respect to the Company’s obligations under the revolving credit facility agreement and Term Loan.</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2020 and fiscal 2021, T.R.B International SA (“TRB”), a subsidiary of Vilebrequin, borrowed funds under several unsecured loans. A portion of the unsecured loans were to provide funding for operations in the normal course of business, while other unsecured loans were various European state backed loans as part of COVID-19 relief programs. Additionally, Sonia Rykiel borrowed funds pursuant to European state backed loans that were part of COVID-19 relief programs. In the aggregate, the Company is currently required to make quarterly installment payments of €0.2 million under these loans. Interest on the outstanding principal amount of the unsecured loans accrues at a fixed rate equal to 0% to 2.0% per annum, payable on either a quarterly or monthly basis. As of January 31, 2022, the Company had an aggregate outstanding balance of €7.4 million ($8.4 million) under these various unsecured loans.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January 31, 2022, TRB had an aggregate of €2.6 million ($2.9 million) drawn under these various facilities.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Debt Maturities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January 31, 2022, the Company’s mandatory debt repayments mature in the years ending up to January 31, 2026 or thereafter.</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100" w:type="dxa"/>
            <w:vAlign w:val="bottom"/>
          </w:tcPr>
          <w:p>
            <w:pPr>
              <w:spacing w:after="0"/>
              <w:rPr>
                <w:sz w:val="15"/>
                <w:szCs w:val="15"/>
                <w:color w:val="auto"/>
              </w:rPr>
            </w:pP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7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126,790</w:t>
            </w: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401,764</w:t>
            </w:r>
          </w:p>
        </w:tc>
      </w:tr>
      <w:tr>
        <w:trPr>
          <w:trHeight w:val="216"/>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160" w:type="dxa"/>
            <w:vAlign w:val="bottom"/>
          </w:tcPr>
          <w:p>
            <w:pPr>
              <w:spacing w:after="0"/>
              <w:rPr>
                <w:sz w:val="15"/>
                <w:szCs w:val="15"/>
                <w:color w:val="auto"/>
              </w:rPr>
            </w:pPr>
          </w:p>
        </w:tc>
        <w:tc>
          <w:tcPr>
            <w:tcW w:w="1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6"/>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50,119</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78,005</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9 — INCOME TAXES</w:t>
            </w: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income tax provision is comprised of the following:</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39,283</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00" w:type="dxa"/>
            <w:vAlign w:val="bottom"/>
          </w:tcPr>
          <w:p>
            <w:pPr>
              <w:spacing w:after="0"/>
              <w:rPr>
                <w:sz w:val="18"/>
                <w:szCs w:val="18"/>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 and city</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and city</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234,034</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Non-United States</w:t>
            </w: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36,942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United States government enacted the Coronavirus Aid, Relief, and Economic Security Act (the “CARES Act”) on March 27, 2020, which includes various income tax provisions aimed at providing economic relief. One of those provisions allows any loss generated in fiscal 2021 to be carried back to each of the 5 taxable years preceding the taxable year of such a loss. The Company has elected to use this relief and carried back the fiscal 2021 tax loss to a tax year with a 35% federal rate. Additionally, the CARES Act permits Qualified Improvement Property to qualify for 15-year depreciation and therefore be also eligible for 100 percent first-year bonus depreciation. The Company has elected to take 100% bonus depreciation for all qualified improvement property.</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Effective January 1, 2018, TCJA subjects a U.S. parent company to current tax on its global intangible low-taxed income (“GILTI”). For fiscal 2022, the Company has elected to treat the tax effect of GILTI as a current period expense.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significant components of the Company’s net deferred tax asset at January 31, 2022 and 2021 are summarized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tcPr>
          <w:p>
            <w:pPr>
              <w:spacing w:after="0"/>
              <w:rPr>
                <w:sz w:val="15"/>
                <w:szCs w:val="15"/>
                <w:color w:val="auto"/>
              </w:rPr>
            </w:pPr>
          </w:p>
        </w:tc>
        <w:tc>
          <w:tcPr>
            <w:tcW w:w="186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bad debts and sales allowances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Supplemental employee retirement plan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(14,481)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(56,901)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(27,272)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(95,634)</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total undistributed earnings of the Company’s foreign subsidiaries are approximately $131.0 million for the fiscal year ended January 31, 2022. Upon distribution of those earnings in the form of dividends, the Company does not anticipate any material tax costs. As such, no deferred taxes have been provided for withholding taxes or other taxes that would result upon repatriation of undistributed foreign earnings. Those earnings are considered indefinitely reinvested. Even though the undistributed earnings could have been distributed back generally without U.S. federal income tax as a result of the one-time transition tax under the TCJA regime, the Company does not expect to change its indefinite reinvestment categorization with respect to those earnings.</w:t>
      </w:r>
    </w:p>
    <w:p>
      <w:pPr>
        <w:spacing w:after="0" w:line="189" w:lineRule="exact"/>
        <w:rPr>
          <w:sz w:val="20"/>
          <w:szCs w:val="20"/>
          <w:color w:val="auto"/>
        </w:rPr>
      </w:pPr>
    </w:p>
    <w:p>
      <w:pPr>
        <w:jc w:val="both"/>
        <w:ind w:left="60" w:right="79"/>
        <w:spacing w:after="0" w:line="278" w:lineRule="auto"/>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effective rate reported in the financial statements for the years ended January 31:</w:t>
      </w:r>
    </w:p>
    <w:tbl>
      <w:tblPr>
        <w:tblLayout w:type="fixed"/>
        <w:tblInd w:w="40" w:type="dxa"/>
        <w:tblCellMar>
          <w:top w:w="0" w:type="dxa"/>
          <w:left w:w="0" w:type="dxa"/>
          <w:bottom w:w="0" w:type="dxa"/>
          <w:right w:w="0" w:type="dxa"/>
        </w:tblCellMar>
      </w:tblPr>
      <w:tr>
        <w:trPr>
          <w:trHeight w:val="173"/>
        </w:trPr>
        <w:tc>
          <w:tcPr>
            <w:tcW w:w="6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taxes at the statutory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18"/>
                <w:szCs w:val="18"/>
                <w:color w:val="auto"/>
              </w:rPr>
            </w:pP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 resulting in Federal taxable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(0.3)</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payments</w:t>
            </w:r>
          </w:p>
        </w:tc>
        <w:tc>
          <w:tcPr>
            <w:tcW w:w="9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carryback</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(18.6)</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provision for income taxes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effective tax rate decreased 8.0% percent in fiscal 2022 compared to fiscal 2021. This decrease in the Company’s effective tax rate is primarily the result of the Company’s significant increase in pretax book income in relation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its tax expense. The Company’s effective tax rate increased 13.2% percent in fiscal 2021 as compared to fiscal 2020. The increase in the Company’s fiscal 2021 effective tax rate compared to the fiscal 2020 effective tax rate is primarily the result of the Company’s significant reduction in pretax book income in relation to its tax expense.</w:t>
      </w:r>
    </w:p>
    <w:p>
      <w:pPr>
        <w:spacing w:after="0" w:line="176"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Valuation allowances represent deferred tax benefits where management is uncertain if the Company will have the ability to recognize those benefits in the future. During the year ended January 31, 2022, the Company recorded an additional valuation allowance of $1.2 million against its deferred tax assets for its standalone state tax losses and foreign retail losses.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(excluding interest and penalties)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 as follows:</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28"/>
        </w:trPr>
        <w:tc>
          <w:tcPr>
            <w:tcW w:w="4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1,</w:t>
            </w:r>
          </w:p>
        </w:tc>
        <w:tc>
          <w:tcPr>
            <w:tcW w:w="1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Lapses of statues of limitations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31,</w:t>
            </w:r>
          </w:p>
        </w:tc>
        <w:tc>
          <w:tcPr>
            <w:tcW w:w="15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0"/>
        </w:trPr>
        <w:tc>
          <w:tcPr>
            <w:tcW w:w="4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uncertain income tax positions in accordance with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files income tax returns in the U.S. federal jurisdiction and various state and foreign jurisdictions. As of January 31, 2022, there was an increase in the unrecognized tax position reserve of $0.2 million related to recent state and local tax return filings.</w:t>
      </w:r>
    </w:p>
    <w:p>
      <w:pPr>
        <w:spacing w:after="0" w:line="18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policy on classification is to include interest in interest and financing charges, net and penalties in selling, general and administrative expenses in the accompanying Consolidated Statements of Income and Comprehensive Income. The Company and certain of its subsidiaries are subject to U.S. Federal income tax as well as the income tax of multiple state, local, and foreign jurisdictions.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the major jurisdictions, the Company and its subsidiaries are subject to examination in the United States and various foreign jurisdictions for fiscal year 2014 and forward. The Company is currently under audit examination by New York, New Jersey and Canada for fiscal years 2016 through 2019. The Company believes that it is reasonably possible there will be no change to its unrecognized income tax position reserves during the next twelve months due to the applicable statues of limitations.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entered into license agreements that provide for royalty payments based on net sales of licensed products. The Company incurred royalty expense (included in cost of goods sold) of $145.1 million, $116.8 million and $178.8 million for the years ended January 31, 2022, 2021 and 2020, respectively. Contractual advertising expense, which is included in selling, general and administrative expenses and is normally based on a percentage of net sales associated with certain license agreements, was $41.2 million, $29.5 million and $48.3 million for the years ended January 31,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2021 and 2020, respectively. Based on minimum net sales requirements, future minimum royalty and advertising payments required under these agreements are: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7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91,167</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33,345</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269,400</w:t>
            </w:r>
          </w:p>
        </w:tc>
      </w:tr>
      <w:tr>
        <w:trPr>
          <w:trHeight w:val="20"/>
        </w:trPr>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periodic claims, investigations and lawsuits. Although the Company cannot predict with certainty the ultimate resolution of claims, investigations and lawsuits, asserted against the Company, it does not believe that any currently pending legal proceeding or proceedings to which it is a party could have a material adverse effect on its business, financial condition or results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Canadian Customs Duty Examination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w:t>
      </w:r>
    </w:p>
    <w:p>
      <w:pPr>
        <w:spacing w:after="0" w:line="3" w:lineRule="exact"/>
        <w:rPr>
          <w:sz w:val="20"/>
          <w:szCs w:val="20"/>
          <w:color w:val="auto"/>
        </w:rPr>
      </w:pPr>
    </w:p>
    <w:p>
      <w:pPr>
        <w:ind w:left="60" w:right="79" w:hanging="10"/>
        <w:spacing w:after="0" w:line="260" w:lineRule="auto"/>
        <w:tabs>
          <w:tab w:leader="none" w:pos="2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to the vendor. The CBSA has also requested that G-III Canada change the valuation method used to pay duties with respect to goods imported in the future.</w:t>
      </w:r>
    </w:p>
    <w:p>
      <w:pPr>
        <w:spacing w:after="0" w:line="1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under the new valuation method. This amount was paid to the CBSA. Beginning February 1, 2018, the Company began paying duties based on the new valuation method. There were no amounts paid and deferred during the year ended January 31, 2022 related to the higher dutiable values, however, the Company paid interest in the amount of CAD$1.0 million ($0.8 million) on the additional duties for the period January 15, 2018 through November 25, 2020, the date of the CBSA’s final decision as discussed below. Cumulative amounts paid and deferred through January 31, 2022, related to the higher dutiable values, were CAD$14.7 million ($11.6 million).</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CBSA has issued its final decision denying the appeal filed by G-III Canada with the President’s Office of the CBSA. G-III Canada has filed a Notice of Appeal with the Canadian International Trade Tribunal (the “Tribunal”) further appealing the CBSA decision. A hearing on the appeal was held on December 7,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G-III Canada, based on the advice of counsel, believes it has positions that support its valuations for duty as declared and therefore its ability to receive a refund of amounts claimed to be owed to the CBSA on appeal and intends to vigorously contest the findings of the CBSA.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had authorized a share repurchase program of 5,000,000 shares. The timing and actual number of shares repurchased, if any, will depend on a number of factors, including market conditions and prevailing stock prices, and are subject to compliance with certain covenants contained in the loan agreement. Share repurchases may take place on the open market, in privately negotiated transactions or by other means, and would be made in accordance with applicable securities laws.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fiscal 2022, pursuant to this program, the Company acquired 656,213 shares of its common stock for an aggregate purchase price of $17.3 million. No shares of common stock were acquired pursuant to this program during fiscal 2021. During fiscal 2020, pursuant to this program, the Company acquired 1,327,566 shares of its common stock for an aggregate purchase price of $35.2 million. As of January 31, 2022, we had 2,293,149 authorized shares remaining under this program. In March 2022, the Board increased the number of authorized shares under this program to 10,000,000.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January 31, 2022, the Company had 2,119,382 shares available for grant under its long-term incentive plan. The plan provides for the grant of equity and cash awards, including restricted stock awards, stock options and other stock unit awards to directors, officers and employees. RSU’s generally (i) cliff vest after three years or (ii) vest over a three year period. PRSU’s granted to executives prior to fiscal 2020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PSU’s granted to executives in fiscal 2020 vest after a three year performance period during which certain earnings before interest and taxes and return on invested capital performance standards must be satisfied for vesting to occur. PSU’s are also subject to a lock up period that prevents the sale, contract to sell or transfer of shares for two years subsequent to the date of vesting. It is the Company’s policy to grant stock options at prices not less than the fair market value on the date of the grant. Option terms, vesting and exercise periods vary, except that the term of an option may not exceed ten years.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Based Restricted Stock Units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9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Based Restricted Stock Units</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34.56</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1,539,794</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30.15</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142,594</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37.74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332,651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35.77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(168,781)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32.32</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(810,655)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24.58</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(12,695)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35.09</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42.41</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37.95</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1,058,710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36.15</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1,280,664</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10.25</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(107,917)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37.96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(279,053)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32.43</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(22,422)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39.41</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(312,827)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42.41</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1,393,268</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466,830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34.17</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326,791</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31.52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176,212</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(201,260)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20.43</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(125,934)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30.23</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33.46</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1,516,149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15.48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34.20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Restricted stock units (“RSU’s”) are time based awards that do not have market or performance conditions and (i) cliff vest after three years or (ii)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Based Restricted Stock Units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Performance based restricted stock units consist of both performance based restricted stock units (“PRSU’s”) and performance stock units (“PSU’s”).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accelerated attribution method.</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PSU’s were granted in fiscal 2020 and fiscal 2022 to executives that vest after a three year performance period during which certain earnings before interest and taxes and return on invested capital performance conditions must be satisfied for vesting to occur. The PSU’s granted to executives in fiscal 2020 are also subject to a lock up period that prevents the sale, contract to sell or transfer shares for two years subsequent to the date of vesting. PSU’s are expensed over the service period under the accelerated attribution method and based on an estimated percentage of achievement of certain pre-established goals.</w:t>
      </w:r>
    </w:p>
    <w:p>
      <w:pPr>
        <w:spacing w:after="0" w:line="17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forfeited awards as they occur as permitted by ASC 718. Ultimately, the actual expense recognized over the vesting period will be for those shares that vest.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recognized $17.4 million, $6.1 million and $17.6 million in share-based compensation expense for the years ended January 31, 2022, 2021 and 2020 respectively, related to restricted stock unit grants. At January 31, 2022, 2021 and 2020, unrecognized costs related to the restricted stock units totaled $21.2 million, $12.9 million and $18.7 million, respectively. The total fair value of awards for which restrictions lapsed was $10.8 million, $5.0 million and $31.0 million as of January 31, 2022, 2021 and 2020,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at beginning of year</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 or forfeited</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at end of year</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w:t>
            </w: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vMerge w:val="continue"/>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18.11</w:t>
            </w:r>
          </w:p>
        </w:tc>
        <w:tc>
          <w:tcPr>
            <w:tcW w:w="18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18,245</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23.63</w:t>
            </w:r>
          </w:p>
        </w:tc>
        <w:tc>
          <w:tcPr>
            <w:tcW w:w="20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35,188</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as 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0"/>
        </w:trPr>
        <w:tc>
          <w:tcPr>
            <w:tcW w:w="2820" w:type="dxa"/>
            <w:vAlign w:val="bottom"/>
            <w:gridSpan w:val="3"/>
            <w:vMerge w:val="continue"/>
          </w:tcPr>
          <w:p>
            <w:pPr>
              <w:spacing w:after="0"/>
              <w:rPr>
                <w:sz w:val="15"/>
                <w:szCs w:val="15"/>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84"/>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1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$18.11</w:t>
            </w:r>
          </w:p>
        </w:tc>
        <w:tc>
          <w:tcPr>
            <w:tcW w:w="5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0.97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18.11</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w w:val="97"/>
              </w:rPr>
              <w:t>Stock Options</w:t>
            </w:r>
          </w:p>
        </w:tc>
        <w:tc>
          <w:tcPr>
            <w:tcW w:w="1820" w:type="dxa"/>
            <w:vAlign w:val="bottom"/>
            <w:gridSpan w:val="2"/>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000" w:type="dxa"/>
            <w:vAlign w:val="bottom"/>
            <w:tcBorders>
              <w:bottom w:val="single" w:sz="8" w:color="auto"/>
            </w:tcBorders>
            <w:vMerge w:val="continue"/>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Compensation expense for employee stock options is recognized in the consolidated financial statements over the service period (generally the vesting period) based on their fair value. Stock options are valued using the Black-Scholes option pricing model. The Black-Scholes model requires subjective assumptions regarding dividend yields, expected volatility, expected life of options and risk-free interest rates. These assumptions reflect management’s best estimates. Changes in these inputs and assumptions can materially affect the estimate of fair value and the amount of our compensation expenses for stock options. No stock options were granted during the years ended January 31, 2022, January 31, 2021 and January 31, 2020.</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forfeited awards as they occur as permitted by ASC 718. Ultimately, the actual expense recognized over the vesting period will be for those shares that vest.</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weighted average remaining term for stock options outstanding was 1.0 years at January 31, 2022. The aggregate intrinsic value at January 31, 2022 was $0.1 million for stock options outstanding and $0.1 million for stock options exercisable. The intrinsic value for stock options is calculated based on the exercise price of the underlying awards and the market price of the Company’s common stock as of January 31, 2022, the reporting date.</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There were no stock options exercised during the year ended January 31, 2022. Proceeds received from the exercise of stock options were $0.3 million during the year ended January 31, 2021. The intrinsic value of stock options exercised was $0.1 million for the year ended January 31, 2021. A portion of this amount is currently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did not recognize compensation expense for year ended January 31, 2022 related to stock options. The Company recognized $0.1 million in compensation expense for both the years ended January 31, 2021 and 2020 related to stock options.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CONCENTRATION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Three customers in the wholesale operations segment accounted for approximately 23.9%, 14.8% and 12.7%, respectively, of the Company’s net sales for the year ended January 31, 2022. Two customers in the wholesale operations segment accounted for approximately 20.9% and 12.9%, respectively, of the Company’s net sales for the year ended January 31, 2021. Two customers in the wholesale operations segment accounted for 26.3% and 13.2% of the Company’s net sales for the year ended January 31, 2020. Three customers in the wholesale operations segment accounted for approximately 26.4%, 15.5% and 11.3%, respectively, of the Company’s net accounts receivable as of January 31, 2022. Four customers in the wholesale operations segment accounted for approximately 19.8%, 19.5%, 15.1% and 10.1%, respectively, of the Company’s net accounts receivable as of January 31, 2021.</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EMPLOYEE BENEFIT PLANS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maintains a 401(k) plan (the “GIII Plan”) and trust for non-union employees. The Plan provides for a Safe Harbor (non-discretionary) matching contribution of 100% of the first 3% of the participant’s contributed pay plus 50% of the next 2% of the participant’s contributed pay. The Company made matching contributions of $0.3 million, $1.5 million and $4.7 million for the years ended January 31, 2022, 2021 and 2020, respectively. Effective May 2020, the Company temporarily suspended 401(k) matching contributions due to the COVID-19 pandemic. The Company reinstated 401(k) matching contributions effective January 1,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SEGMENTS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which, prior to the completion of the retail restructuring in fiscal 2021, consisted primarily of Wilsons Leather, G.H. Bass, DKNY and Karl Lagerfeld Paris stores, substantially all of which are operated as outlet stores. Sales through Company-owned digital channels, with the exception of Vilebrequin, are also included in the retail operations segment. As a result of the restructuring of the Company’s retail operations, the Company closed its Wilsons Leather, G.H. Bass and Calvin Klein Performance retail stores during fiscal 2021. After completion of the restructuring, the Company’s retail operations segment consists of DKNY and Karl Lagerfeld Paris stores, as well as the digital channels for DKNY, Donna Karan, Karl Lagerfeld Paris, G.H Bass, Andrew Marc and Wilsons Leather.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segment information, in thousands, is presented for the fiscal years ended: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2,766,538</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1,782,533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1,778,349</w:t>
            </w:r>
          </w:p>
        </w:tc>
      </w:tr>
      <w:tr>
        <w:trPr>
          <w:trHeight w:val="209"/>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988,189</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648,015</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27,626</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Asset impairments, net of gain on lease terminations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335,914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2,055,146</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1,229,548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113,194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1,310,704</w:t>
            </w:r>
          </w:p>
        </w:tc>
      </w:tr>
      <w:tr>
        <w:trPr>
          <w:trHeight w:val="209"/>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744,442</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605,102</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w:t>
            </w: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2,862,889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3,160,464</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1,925,062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2,042,524</w:t>
            </w: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1,117,940</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832,180</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38,735</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19,371</w:t>
            </w: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302,232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227,654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15" w:lineRule="exact"/>
        <w:rPr>
          <w:sz w:val="20"/>
          <w:szCs w:val="20"/>
          <w:color w:val="auto"/>
        </w:rPr>
      </w:pPr>
    </w:p>
    <w:p>
      <w:pPr>
        <w:ind w:left="380" w:hanging="330"/>
        <w:spacing w:after="0"/>
        <w:tabs>
          <w:tab w:leader="none" w:pos="38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intersegment sales to the Company’s retail operations segment.</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by licensed and proprietary product sales for each of the Company’s reportable segments are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86"/>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1,820,491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1,390,112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2,045,480</w:t>
            </w: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526,651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817,409</w:t>
            </w:r>
          </w:p>
        </w:tc>
      </w:tr>
      <w:tr>
        <w:trPr>
          <w:trHeight w:val="21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net sales</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2,710,787</w:t>
            </w:r>
          </w:p>
        </w:tc>
        <w:tc>
          <w:tcPr>
            <w:tcW w:w="3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1,916,763</w:t>
            </w:r>
          </w:p>
        </w:tc>
        <w:tc>
          <w:tcPr>
            <w:tcW w:w="4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2,862,889</w:t>
            </w: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27,338</w:t>
            </w: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358,572</w:t>
            </w:r>
          </w:p>
        </w:tc>
      </w:tr>
      <w:tr>
        <w:trPr>
          <w:trHeight w:val="21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sales</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117,656</w:t>
            </w:r>
          </w:p>
        </w:tc>
        <w:tc>
          <w:tcPr>
            <w:tcW w:w="3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170,421</w:t>
            </w:r>
          </w:p>
        </w:tc>
        <w:tc>
          <w:tcPr>
            <w:tcW w:w="4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385,910</w:t>
            </w: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allocates overhead to its business segments on various bases, which include units shipped, space utilization, inventory levels, and relative sales levels, among other factors. The method of allocation has been applied consistently on a year-to-year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assets for each of the Company’s reportable segments, as well as assets not allocated to a segment, are as follows: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33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33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1"/>
                <w:szCs w:val="1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26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2,073,834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1,844,682</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85,625</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506,079</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2,742,528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2,436,386</w:t>
            </w:r>
          </w:p>
        </w:tc>
      </w:tr>
      <w:tr>
        <w:trPr>
          <w:trHeight w:val="20"/>
        </w:trPr>
        <w:tc>
          <w:tcPr>
            <w:tcW w:w="3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and long-lived assets by geographic region are as follows: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spacing w:after="0"/>
              <w:rPr>
                <w:sz w:val="16"/>
                <w:szCs w:val="16"/>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Pr>
          <w:p>
            <w:pPr>
              <w:spacing w:after="0"/>
              <w:rPr>
                <w:sz w:val="16"/>
                <w:szCs w:val="16"/>
                <w:color w:val="auto"/>
              </w:rPr>
            </w:pPr>
          </w:p>
        </w:tc>
      </w:tr>
      <w:tr>
        <w:trPr>
          <w:trHeight w:val="131"/>
        </w:trPr>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w w:val="99"/>
              </w:rPr>
              <w:t>Long-Lived</w:t>
            </w:r>
          </w:p>
        </w:tc>
        <w:tc>
          <w:tcPr>
            <w:tcW w:w="1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1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9"/>
              </w:rPr>
              <w:t>Long-Lived</w:t>
            </w:r>
          </w:p>
        </w:tc>
      </w:tr>
      <w:tr>
        <w:trPr>
          <w:trHeight w:val="173"/>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2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$ 2,365,919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938,947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$ 1,755,791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834,181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$ 2,774,492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964,476</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Non-United States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299,355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258,165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385,972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231,973</w:t>
            </w:r>
          </w:p>
        </w:tc>
      </w:tr>
      <w:tr>
        <w:trPr>
          <w:trHeight w:val="210"/>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$ 2,766,538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$ 2,055,146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$ 3,160,464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1,196,449</w:t>
            </w: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Capital expenditures for locations outside of the United States totaled $4.3 million, $3.0 million and $4.6 million for the years ended January 31, 2022, 2021 and 2020,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SONIA RYKIEL</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 October 2021, the Company purchased all of the issued and outstanding shares of European luxury fashion brand Sonia Rykiel. Sonia Rykiel, who created this iconic brand, was one of the leading figures of Parisian fashion. The Company plans to accelerate the relaunch of the brand in France in the fall of 2022, and then expand into Europe and other areas. The Company believes this purchase further enables it to expand into the luxury space and that there is untapped potential for this brand.</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Sonia Rykiel acquisition, which was immaterial, was accounted for under the acquisition method of accounting. Accordingly, the purchase price was allocated to the acquired assets based on their estimated fair values. The operating results for Sonia Rykiel are included in the Company’s consolidated financial statements beginning in the fourth quarter of fiscal 2022 from the effective date of the Sonia Rykiel acquisition.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 EQUITY INVESTMENTS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Karl Lagerfeld Holding B.V.</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February 2016, the Company acquired a 19% minority interest in KLH, the parent company of the group that holds the worldwide rights to the Karl Lagerfeld brand. The Company paid €32.5 million (equal to $35.4 million at the date of the transaction) for this interest. This investment was intended to expand the partnership between the Company and the owners of Karl Lagerfeld brand and extend their business development opportunities on a global scale. The investment in KLH, which is being accounted for under the equity method of accounting, is reflected in Investment in Unconsolidated Affiliates on the Consolidated Balance Sheets at January 31, 2022 and 2021.</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KL North America</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June 2015, the Company entered into a joint venture agreement with Karl Lagerfeld Group BV (“KLBV”). The Company paid KLBV $25.0 million for a 49% ownership interest in KLNA. KLNA holds brand rights to all Karl Lagerfeld trademarks, including the Karl Lagerfeld Paris brand the Company currently uses, for all consumer products (except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eyewear, fragrance, cosmetics, watches, jewelry, and hospitality services) and apparel in the United States, Canada and Mexico. The investment in KLNA, which is being accounted for under the equity method of accounting, is reflected in Investment in Unconsolidated Affiliates on the Consolidated Balance Sheets at January 31, 2022 and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with Fabco</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December 1, 2020, G-III owned a 49% ownership interest in Fabco and was considered a related party of Fabco. The Company sells inventory to Fabco and granted Fabco’s subsidiary the right to use certain Donna Karan and DKNY trademarks. In fiscal 2021 and 2020, the Company sold $2.7 million and $4.4 million in inventory to Fabco, respectively. The Company recorded $0.9 million of licensing revenue from Fabco during the period of fiscal 2021 prior to Fabco becoming a consolidated majority-owned subsidiary of the Company. The Company recorded $3.1 million of licensing revenue from Fabco during the year ended January 31, 2020.</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with KL North America</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G-III owns a 49% ownership interest in KLNA and is considered a related party of KLNA (see Note 16). The Company entered into a licensing agreement to use the brand rights to certain Karl Lagerfeld trademarks held by KLNA. The Company incurred royalty and advertising expense of $8.1 million, $3.5 million and $6.8 million for the years ended January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SCHEDULE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VALUATION AND QUALIFYING ACCOUNTS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January 31, 2022, 2021 and 2020</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 and</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 xml:space="preserve">Deductions </w:t>
            </w:r>
            <w:r>
              <w:rPr>
                <w:rFonts w:ascii="Times New Roman" w:cs="Times New Roman" w:eastAsia="Times New Roman" w:hAnsi="Times New Roman"/>
                <w:sz w:val="21"/>
                <w:szCs w:val="21"/>
                <w:b w:val="1"/>
                <w:bCs w:val="1"/>
                <w:color w:val="auto"/>
                <w:w w:val="96"/>
                <w:vertAlign w:val="superscript"/>
              </w:rPr>
              <w:t>(1)</w:t>
            </w:r>
          </w:p>
        </w:tc>
        <w:tc>
          <w:tcPr>
            <w:tcW w:w="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478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January 31, 2022</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0" w:type="dxa"/>
            <w:vAlign w:val="bottom"/>
          </w:tcPr>
          <w:p>
            <w:pPr>
              <w:spacing w:after="0"/>
              <w:rPr>
                <w:sz w:val="1"/>
                <w:szCs w:val="1"/>
                <w:color w:val="auto"/>
              </w:rPr>
            </w:pPr>
          </w:p>
        </w:tc>
      </w:tr>
      <w:tr>
        <w:trPr>
          <w:trHeight w:val="216"/>
        </w:trPr>
        <w:tc>
          <w:tcPr>
            <w:tcW w:w="4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 for returns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30,821</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Reserve for sales allowances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116,814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137,237</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149,872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104,179</w:t>
            </w:r>
          </w:p>
        </w:tc>
        <w:tc>
          <w:tcPr>
            <w:tcW w:w="0" w:type="dxa"/>
            <w:vAlign w:val="bottom"/>
          </w:tcPr>
          <w:p>
            <w:pPr>
              <w:spacing w:after="0"/>
              <w:rPr>
                <w:sz w:val="1"/>
                <w:szCs w:val="1"/>
                <w:color w:val="auto"/>
              </w:rPr>
            </w:pPr>
          </w:p>
        </w:tc>
      </w:tr>
      <w:tr>
        <w:trPr>
          <w:trHeight w:val="224"/>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January 31, 2021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0" w:type="dxa"/>
            <w:vAlign w:val="bottom"/>
          </w:tcPr>
          <w:p>
            <w:pPr>
              <w:spacing w:after="0"/>
              <w:rPr>
                <w:sz w:val="1"/>
                <w:szCs w:val="1"/>
                <w:color w:val="auto"/>
              </w:rPr>
            </w:pPr>
          </w:p>
        </w:tc>
      </w:tr>
      <w:tr>
        <w:trPr>
          <w:trHeight w:val="216"/>
        </w:trPr>
        <w:tc>
          <w:tcPr>
            <w:tcW w:w="4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 for returns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40,704</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Reserve for sales allowances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229,615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234,128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159,567</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276,881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116,814</w:t>
            </w:r>
          </w:p>
        </w:tc>
        <w:tc>
          <w:tcPr>
            <w:tcW w:w="0" w:type="dxa"/>
            <w:vAlign w:val="bottom"/>
          </w:tcPr>
          <w:p>
            <w:pPr>
              <w:spacing w:after="0"/>
              <w:rPr>
                <w:sz w:val="1"/>
                <w:szCs w:val="1"/>
                <w:color w:val="auto"/>
              </w:rPr>
            </w:pPr>
          </w:p>
        </w:tc>
      </w:tr>
      <w:tr>
        <w:trPr>
          <w:trHeight w:val="223"/>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January 31, 2020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returns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46,489</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gridSpan w:val="3"/>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Reserve for sales allowances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181,312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422,628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417,011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186,929</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478,996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489,382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80" w:hanging="332"/>
        <w:spacing w:after="0"/>
        <w:tabs>
          <w:tab w:leader="none" w:pos="48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Accounts written off as uncollectible, net of recoveries.</w:t>
      </w:r>
    </w:p>
    <w:p>
      <w:pPr>
        <w:spacing w:after="0" w:line="23" w:lineRule="exact"/>
        <w:rPr>
          <w:rFonts w:ascii="Times New Roman" w:cs="Times New Roman" w:eastAsia="Times New Roman" w:hAnsi="Times New Roman"/>
          <w:sz w:val="24"/>
          <w:szCs w:val="24"/>
          <w:color w:val="auto"/>
          <w:vertAlign w:val="superscript"/>
        </w:rPr>
      </w:pPr>
    </w:p>
    <w:p>
      <w:pPr>
        <w:ind w:left="480" w:hanging="332"/>
        <w:spacing w:after="0" w:line="188" w:lineRule="auto"/>
        <w:tabs>
          <w:tab w:leader="none" w:pos="48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See Note 1 in the accompanying Notes to Consolidated Financial Statements for a description of sales allowances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tbl>
      <w:tblPr>
        <w:tblLayout w:type="fixed"/>
        <w:tblInd w:w="4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432"/>
        </w:trPr>
        <w:tc>
          <w:tcPr>
            <w:tcW w:w="578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Subsidiaries of G-III</w:t>
            </w: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09"/>
        </w:trPr>
        <w:tc>
          <w:tcPr>
            <w:tcW w:w="5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G-III Leather Fashions, Inc.</w:t>
            </w:r>
          </w:p>
        </w:tc>
        <w:tc>
          <w:tcPr>
            <w:tcW w:w="34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AM Retail Group, Inc.</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CK Outerwear LLC</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G-III Apparel Canada ULC</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Columbia, Canada</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G-III Hong Kong Limited</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Kostroma Limited</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Hangzhou G-III Apparel Trading Co., Ltd</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G-III License Company, LLC</w:t>
            </w:r>
          </w:p>
        </w:tc>
        <w:tc>
          <w:tcPr>
            <w:tcW w:w="31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Riviera Sun, Inc.</w:t>
            </w:r>
          </w:p>
        </w:tc>
        <w:tc>
          <w:tcPr>
            <w:tcW w:w="31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G-III Brands, Ltd.</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Vilebrequin International SA</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GKL Holdings B.V.</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8"/>
              </w:rPr>
              <w:t>G-III Foreign Holdings B.V.</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Sonia R. Properties SA</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Sonia Rykiel International SA</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Sonia Rykiel Creation Paris SAS</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Vilebrequin Saint Martin</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T.R.B. International SA</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Tropezina S.L.</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Vilebrequin France SAS</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TRB (Singapore) S.E. Asia PTE Ltd.</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Lobst SAS</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TRB Belgique SPRL</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Riley SA</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Sole SRL</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La Plage Ltd.</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T.R.B. Hong Kong Ltd.</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TRB Macao Ltd.</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Macao</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Riley &amp; Cie S.C.S.</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Monaco</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TRB Portugal, Comercio de Vestuario Unipessoal LDA</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Vilebrequin Shanghai Apparel and Accessory Co., Ltd.</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Naiman GmbH</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Vilebrequin Sint Maarten N.V. LLC</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 Maarten</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Vilebrequin Deutschland GmbH</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Donna Karan International LLC</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Gabrielle Studio, Inc.</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The Donna Karan Company Store LLC</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Donna Karan Studio LLC</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Donna Karan Services Company B.V.</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Donna Karan Company Store Ireland Limited</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Donna Karan Company Stores UK Holding Ltd.</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The Donna Karan Company Store (UK) Limited</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Donna Karan Company Stores UK Retail Ltd.</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Donna Karan Management Company UK Ltd.</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Donna Karan Company Store (Germany) GmbH</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DKNY Stores (Spain), S.L.</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DKNY Stores (Portugal), Unipessoal Lda</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G-III UK Wholesale Limited</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Donna Karan Company Store Belgium B.V.</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20" w:type="dxa"/>
            <w:vAlign w:val="bottom"/>
          </w:tcPr>
          <w:p>
            <w:pPr>
              <w:spacing w:after="0"/>
              <w:rPr>
                <w:sz w:val="18"/>
                <w:szCs w:val="18"/>
                <w:color w:val="auto"/>
              </w:rPr>
            </w:pPr>
          </w:p>
        </w:tc>
      </w:tr>
      <w:tr>
        <w:trPr>
          <w:trHeight w:val="216"/>
        </w:trPr>
        <w:tc>
          <w:tcPr>
            <w:tcW w:w="5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Fabco Holding B.V.</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Vilebrequin Mexico SA de C.V.</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20" w:type="dxa"/>
            <w:vAlign w:val="bottom"/>
          </w:tcPr>
          <w:p>
            <w:pPr>
              <w:spacing w:after="0"/>
              <w:rPr>
                <w:sz w:val="18"/>
                <w:szCs w:val="18"/>
                <w:color w:val="auto"/>
              </w:rPr>
            </w:pPr>
          </w:p>
        </w:tc>
      </w:tr>
      <w:tr>
        <w:trPr>
          <w:trHeight w:val="776"/>
        </w:trPr>
        <w:tc>
          <w:tcPr>
            <w:tcW w:w="5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9" w:name="page110"/>
    <w:bookmarkEnd w:id="10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360" w:hanging="662"/>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333-125804) of G-III Apparel Group, Ltd.,</w:t>
      </w:r>
    </w:p>
    <w:p>
      <w:pPr>
        <w:spacing w:after="0" w:line="27" w:lineRule="exact"/>
        <w:rPr>
          <w:rFonts w:ascii="Times New Roman" w:cs="Times New Roman" w:eastAsia="Times New Roman" w:hAnsi="Times New Roman"/>
          <w:sz w:val="18"/>
          <w:szCs w:val="18"/>
          <w:color w:val="auto"/>
        </w:rPr>
      </w:pPr>
    </w:p>
    <w:p>
      <w:pPr>
        <w:ind w:left="1360" w:hanging="662"/>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333-143974) of G-III Apparel Group, Ltd.,</w:t>
      </w:r>
    </w:p>
    <w:p>
      <w:pPr>
        <w:spacing w:after="0" w:line="9" w:lineRule="exact"/>
        <w:rPr>
          <w:rFonts w:ascii="Times New Roman" w:cs="Times New Roman" w:eastAsia="Times New Roman" w:hAnsi="Times New Roman"/>
          <w:sz w:val="18"/>
          <w:szCs w:val="18"/>
          <w:color w:val="auto"/>
        </w:rPr>
      </w:pPr>
    </w:p>
    <w:p>
      <w:pPr>
        <w:ind w:left="1360" w:hanging="662"/>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333-160056) of G-III Apparel Group, Ltd.,</w:t>
      </w:r>
    </w:p>
    <w:p>
      <w:pPr>
        <w:spacing w:after="0" w:line="9" w:lineRule="exact"/>
        <w:rPr>
          <w:rFonts w:ascii="Times New Roman" w:cs="Times New Roman" w:eastAsia="Times New Roman" w:hAnsi="Times New Roman"/>
          <w:sz w:val="18"/>
          <w:szCs w:val="18"/>
          <w:color w:val="auto"/>
        </w:rPr>
      </w:pPr>
    </w:p>
    <w:p>
      <w:pPr>
        <w:ind w:left="1360" w:hanging="662"/>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333-205602) of G-III Apparel Group, Ltd.,</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333-232338) of G-III Apparel Group, Ltd., and</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333-257255) of G-III Apparel Group, Ltd.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of our reports dated March 28, 2022, with respect to the consolidated financial statements and schedule of G-III Apparel Group, Ltd. and subsidiaries and the effectiveness of internal control over financial reporting of G-III Apparel Group, Ltd. and subsidiaries included in this Annual Report (Form 10-K) of G-III Apparel Group, Ltd. and subsidiaries for the year ended January 31, 2022.</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0" w:name="page111"/>
    <w:bookmarkEnd w:id="11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CERTIFICATION PURSUANT TO RULE 13a – 14(a) OR RULE 15d – 14(a)</w:t>
      </w:r>
    </w:p>
    <w:p>
      <w:pPr>
        <w:spacing w:after="0" w:line="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Morris Goldfarb, certify that:</w:t>
      </w:r>
    </w:p>
    <w:p>
      <w:pPr>
        <w:spacing w:after="0" w:line="158" w:lineRule="exact"/>
        <w:rPr>
          <w:sz w:val="20"/>
          <w:szCs w:val="20"/>
          <w:color w:val="auto"/>
        </w:rPr>
      </w:pPr>
    </w:p>
    <w:p>
      <w:pPr>
        <w:ind w:left="780" w:hanging="367"/>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G-III Apparel Group, Ltd.;</w:t>
      </w:r>
    </w:p>
    <w:p>
      <w:pPr>
        <w:spacing w:after="0" w:line="157" w:lineRule="exact"/>
        <w:rPr>
          <w:rFonts w:ascii="Times New Roman" w:cs="Times New Roman" w:eastAsia="Times New Roman" w:hAnsi="Times New Roman"/>
          <w:sz w:val="18"/>
          <w:szCs w:val="18"/>
          <w:color w:val="auto"/>
        </w:rPr>
      </w:pPr>
    </w:p>
    <w:p>
      <w:pPr>
        <w:ind w:left="780" w:right="219" w:hanging="367"/>
        <w:spacing w:after="0" w:line="266" w:lineRule="auto"/>
        <w:tabs>
          <w:tab w:leader="none" w:pos="7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80" w:right="99" w:hanging="367"/>
        <w:spacing w:after="0" w:line="266" w:lineRule="auto"/>
        <w:tabs>
          <w:tab w:leader="none" w:pos="7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780" w:right="139" w:hanging="367"/>
        <w:spacing w:after="0" w:line="266" w:lineRule="auto"/>
        <w:tabs>
          <w:tab w:leader="none" w:pos="7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140" w:right="99" w:hanging="364"/>
        <w:spacing w:after="0" w:line="261" w:lineRule="auto"/>
        <w:tabs>
          <w:tab w:leader="none" w:pos="11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140" w:right="199" w:hanging="364"/>
        <w:spacing w:after="0" w:line="261" w:lineRule="auto"/>
        <w:tabs>
          <w:tab w:leader="none" w:pos="11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140" w:right="119" w:hanging="364"/>
        <w:spacing w:after="0" w:line="266" w:lineRule="auto"/>
        <w:tabs>
          <w:tab w:leader="none" w:pos="11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140" w:right="139" w:hanging="364"/>
        <w:spacing w:after="0" w:line="261" w:lineRule="auto"/>
        <w:tabs>
          <w:tab w:leader="none" w:pos="11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780" w:right="299" w:hanging="367"/>
        <w:spacing w:after="0" w:line="266" w:lineRule="auto"/>
        <w:tabs>
          <w:tab w:leader="none" w:pos="7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140" w:right="179" w:hanging="364"/>
        <w:spacing w:after="0" w:line="266" w:lineRule="auto"/>
        <w:tabs>
          <w:tab w:leader="none" w:pos="114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140" w:right="279" w:hanging="364"/>
        <w:spacing w:after="0" w:line="282" w:lineRule="auto"/>
        <w:tabs>
          <w:tab w:leader="none" w:pos="11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28, 2022</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1" w:name="page112"/>
    <w:bookmarkEnd w:id="11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CERTIFICATION PURSUANT TO RULE 13a – 14(a) OR RULE 15d – 14(a)</w:t>
      </w:r>
    </w:p>
    <w:p>
      <w:pPr>
        <w:spacing w:after="0" w:line="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Neal S. Nackman, certify that:</w:t>
      </w:r>
    </w:p>
    <w:p>
      <w:pPr>
        <w:spacing w:after="0" w:line="225" w:lineRule="exact"/>
        <w:rPr>
          <w:sz w:val="20"/>
          <w:szCs w:val="20"/>
          <w:color w:val="auto"/>
        </w:rPr>
      </w:pPr>
    </w:p>
    <w:p>
      <w:pPr>
        <w:ind w:left="780" w:hanging="367"/>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G-III Apparel Group, Ltd.;</w:t>
      </w:r>
    </w:p>
    <w:p>
      <w:pPr>
        <w:spacing w:after="0" w:line="225" w:lineRule="exact"/>
        <w:rPr>
          <w:rFonts w:ascii="Times New Roman" w:cs="Times New Roman" w:eastAsia="Times New Roman" w:hAnsi="Times New Roman"/>
          <w:sz w:val="18"/>
          <w:szCs w:val="18"/>
          <w:color w:val="auto"/>
        </w:rPr>
      </w:pPr>
    </w:p>
    <w:p>
      <w:pPr>
        <w:ind w:left="780" w:right="219" w:hanging="367"/>
        <w:spacing w:after="0" w:line="266" w:lineRule="auto"/>
        <w:tabs>
          <w:tab w:leader="none" w:pos="7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80" w:right="99" w:hanging="367"/>
        <w:spacing w:after="0" w:line="266" w:lineRule="auto"/>
        <w:tabs>
          <w:tab w:leader="none" w:pos="7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80" w:right="139" w:hanging="367"/>
        <w:spacing w:after="0" w:line="266" w:lineRule="auto"/>
        <w:tabs>
          <w:tab w:leader="none" w:pos="7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99" w:hanging="364"/>
        <w:spacing w:after="0" w:line="261" w:lineRule="auto"/>
        <w:tabs>
          <w:tab w:leader="none" w:pos="11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140" w:right="199" w:hanging="364"/>
        <w:spacing w:after="0" w:line="261" w:lineRule="auto"/>
        <w:tabs>
          <w:tab w:leader="none" w:pos="11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140" w:right="119" w:hanging="364"/>
        <w:spacing w:after="0" w:line="266" w:lineRule="auto"/>
        <w:tabs>
          <w:tab w:leader="none" w:pos="11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140" w:right="139" w:hanging="364"/>
        <w:spacing w:after="0" w:line="261" w:lineRule="auto"/>
        <w:tabs>
          <w:tab w:leader="none" w:pos="11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80" w:right="299" w:hanging="367"/>
        <w:spacing w:after="0" w:line="266" w:lineRule="auto"/>
        <w:tabs>
          <w:tab w:leader="none" w:pos="7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40" w:right="179" w:hanging="364"/>
        <w:spacing w:after="0" w:line="266" w:lineRule="auto"/>
        <w:tabs>
          <w:tab w:leader="none" w:pos="114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140" w:right="279" w:hanging="364"/>
        <w:spacing w:after="0" w:line="282" w:lineRule="auto"/>
        <w:tabs>
          <w:tab w:leader="none" w:pos="11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28, 2022</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2" w:name="page113"/>
    <w:bookmarkEnd w:id="11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G-III Apparel Group, Ltd. (the “Company”) on Form 10-K for the fiscal year ended January 31, 2022 (the “Report”), I, Morris Goldfarb, Chief Executive Officer of the Company, certify, pursuant to 18 U.S.C. §1350, as adopted pursuant to §906 of the Sarbanes-Oxley Act of 2002, that: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March 28,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Morris Goldfarb</w:t>
            </w:r>
          </w:p>
        </w:tc>
      </w:tr>
      <w:tr>
        <w:trPr>
          <w:trHeight w:val="191"/>
        </w:trPr>
        <w:tc>
          <w:tcPr>
            <w:tcW w:w="44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Morris Goldfarb</w:t>
            </w:r>
          </w:p>
        </w:tc>
      </w:t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3" w:name="page114"/>
    <w:bookmarkEnd w:id="11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G-III Apparel Group, Ltd. (the “Company”) on Form 10-K for the fiscal year ended January 31, 2022 (the “Report”), I, Neal S. Nackman, Chief Financial Officer of the Company, certify, pursuant to 18 U.S.C. §1350, as adopted pursuant to §906 of the Sarbanes-Oxley Act of 2002, that: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March 28,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Neal S. Nackman</w:t>
            </w:r>
          </w:p>
        </w:tc>
      </w:tr>
      <w:tr>
        <w:trPr>
          <w:trHeight w:val="191"/>
        </w:trPr>
        <w:tc>
          <w:tcPr>
            <w:tcW w:w="44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Neal S. Nackman</w:t>
            </w:r>
          </w:p>
        </w:tc>
      </w:t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lvl w:ilvl="1">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upperLetter"/>
      <w:start w:val="6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lowerRoman"/>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upperLetter"/>
      <w:start w:val="6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33" Type="http://schemas.openxmlformats.org/officeDocument/2006/relationships/image" Target="media/image75.png"/><Relationship Id="rId134" Type="http://schemas.openxmlformats.org/officeDocument/2006/relationships/image" Target="media/image76.png"/><Relationship Id="rId135" Type="http://schemas.openxmlformats.org/officeDocument/2006/relationships/image" Target="media/image77.png"/><Relationship Id="rId136" Type="http://schemas.openxmlformats.org/officeDocument/2006/relationships/image" Target="media/image78.png"/><Relationship Id="rId137"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png"/><Relationship Id="rId143" Type="http://schemas.openxmlformats.org/officeDocument/2006/relationships/image" Target="media/image84.png"/><Relationship Id="rId144" Type="http://schemas.openxmlformats.org/officeDocument/2006/relationships/image" Target="media/image85.pn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77" Type="http://schemas.openxmlformats.org/officeDocument/2006/relationships/hyperlink" Target="https://www.sec.gov/Archives/edgar/data/821002/000157104916016885/t1601856_ex2-1.htm" TargetMode="External"/><Relationship Id="rId78" Type="http://schemas.openxmlformats.org/officeDocument/2006/relationships/hyperlink" Target="https://www.sec.gov/Archives/edgar/data/821002/000157104916020381/t1603005_ex10-1.htm" TargetMode="External"/><Relationship Id="rId79" Type="http://schemas.openxmlformats.org/officeDocument/2006/relationships/hyperlink" Target="https://www.sec.gov/Archives/edgar/data/821002/000095013606007680/file2.htm" TargetMode="External"/><Relationship Id="rId80" Type="http://schemas.openxmlformats.org/officeDocument/2006/relationships/hyperlink" Target="https://www.sec.gov/Archives/edgar/data/821002/000095012311057737/y04932exv3w1.htm" TargetMode="External"/><Relationship Id="rId81" Type="http://schemas.openxmlformats.org/officeDocument/2006/relationships/hyperlink" Target="https://www.sec.gov/Archives/edgar/data/821002/000157104915005420/t1501536_ex3-1.htm" TargetMode="External"/><Relationship Id="rId82" Type="http://schemas.openxmlformats.org/officeDocument/2006/relationships/hyperlink" Target="https://www.sec.gov/Archives/edgar/data/821002/000119312513107874/d503217dex31.htm" TargetMode="External"/><Relationship Id="rId83" Type="http://schemas.openxmlformats.org/officeDocument/2006/relationships/hyperlink" Target="https://www.sec.gov/Archives/edgar/data/821002/000157104916020381/t1603005_ex10-4.htm" TargetMode="External"/><Relationship Id="rId84" Type="http://schemas.openxmlformats.org/officeDocument/2006/relationships/hyperlink" Target="https://www.sec.gov/Archives/edgar/data/821002/000155837020009968/giii-20200807ex4123bca14.htm" TargetMode="External"/><Relationship Id="rId85" Type="http://schemas.openxmlformats.org/officeDocument/2006/relationships/hyperlink" Target="https://www.sec.gov/Archives/edgar/data/821002/000155837020003389/ex-4d2.htm" TargetMode="External"/><Relationship Id="rId86" Type="http://schemas.openxmlformats.org/officeDocument/2006/relationships/hyperlink" Target="https://www.sec.gov/Archives/edgar/data/821002/000095013606003565/file003.htm" TargetMode="External"/><Relationship Id="rId87" Type="http://schemas.openxmlformats.org/officeDocument/2006/relationships/hyperlink" Target="https://www.sec.gov/Archives/edgar/data/821002/000095013606003565/file004.htm" TargetMode="External"/><Relationship Id="rId88" Type="http://schemas.openxmlformats.org/officeDocument/2006/relationships/hyperlink" Target="https://www.sec.gov/Archives/edgar/data/821002/000095012309001831/y01044exv10w1.htm" TargetMode="External"/><Relationship Id="rId89" Type="http://schemas.openxmlformats.org/officeDocument/2006/relationships/hyperlink" Target="https://www.sec.gov/Archives/edgar/data/821002/000119312513107874/d503217dex102.htm" TargetMode="External"/><Relationship Id="rId90" Type="http://schemas.openxmlformats.org/officeDocument/2006/relationships/hyperlink" Target="https://www.sec.gov/Archives/edgar/data/821002/000157104914001406/t1400776_ex10-1.htm" TargetMode="External"/><Relationship Id="rId91" Type="http://schemas.openxmlformats.org/officeDocument/2006/relationships/hyperlink" Target="https://www.sec.gov/Archives/edgar/data/821002/000155837020009968/giii-20200807ex1015c0e37.htm" TargetMode="External"/><Relationship Id="rId92" Type="http://schemas.openxmlformats.org/officeDocument/2006/relationships/hyperlink" Target="https://www.sec.gov/Archives/edgar/data/821002/000095013606003565/file007.htm" TargetMode="External"/><Relationship Id="rId93" Type="http://schemas.openxmlformats.org/officeDocument/2006/relationships/hyperlink" Target="https://www.sec.gov/Archives/edgar/data/821002/000095013606003565/file008.htm" TargetMode="External"/><Relationship Id="rId94" Type="http://schemas.openxmlformats.org/officeDocument/2006/relationships/hyperlink" Target="https://www.sec.gov/Archives/edgar/data/821002/000095012310112815/y04204exv10w6.htm" TargetMode="External"/><Relationship Id="rId95" Type="http://schemas.openxmlformats.org/officeDocument/2006/relationships/hyperlink" Target="https://www.sec.gov/Archives/edgar/data/821002/000095013606003565/file009.htm" TargetMode="External"/><Relationship Id="rId96" Type="http://schemas.openxmlformats.org/officeDocument/2006/relationships/hyperlink" Target="https://www.sec.gov/Archives/edgar/data/821002/000095013606003565/file010.htm" TargetMode="External"/><Relationship Id="rId97" Type="http://schemas.openxmlformats.org/officeDocument/2006/relationships/hyperlink" Target="https://www.sec.gov/Archives/edgar/data/821002/000095012310112815/y04204exv10w5.htm" TargetMode="External"/><Relationship Id="rId98" Type="http://schemas.openxmlformats.org/officeDocument/2006/relationships/hyperlink" Target="https://www.sec.gov/Archives/edgar/data/821002/000095012310112815/y04204exv10w4.htm" TargetMode="External"/><Relationship Id="rId99" Type="http://schemas.openxmlformats.org/officeDocument/2006/relationships/hyperlink" Target="https://www.sec.gov/Archives/edgar/data/821002/000095012310112815/y04204exv10w7.htm" TargetMode="External"/><Relationship Id="rId100" Type="http://schemas.openxmlformats.org/officeDocument/2006/relationships/hyperlink" Target="https://www.sec.gov/Archives/edgar/data/821002/000119312513253469/d529922dex105e.htm" TargetMode="External"/><Relationship Id="rId106" Type="http://schemas.openxmlformats.org/officeDocument/2006/relationships/hyperlink" Target="https://www.sec.gov/Archives/edgar/data/821002/000157104914002294/t1401027_ex10-5xe.htm" TargetMode="External"/><Relationship Id="rId107" Type="http://schemas.openxmlformats.org/officeDocument/2006/relationships/hyperlink" Target="https://www.sec.gov/Archives/edgar/data/821002/000114420418018565/tv489439_ex10-4g.htm" TargetMode="External"/><Relationship Id="rId108" Type="http://schemas.openxmlformats.org/officeDocument/2006/relationships/hyperlink" Target="https://www.sec.gov/Archives/edgar/data/821002/000114420418033788/tv495005_ex10-1.htm" TargetMode="External"/><Relationship Id="rId109" Type="http://schemas.openxmlformats.org/officeDocument/2006/relationships/hyperlink" Target="https://www.sec.gov/Archives/edgar/data/821002/000095012310112815/y04204exv10w8.htm" TargetMode="External"/><Relationship Id="rId110" Type="http://schemas.openxmlformats.org/officeDocument/2006/relationships/hyperlink" Target="https://www.sec.gov/Archives/edgar/data/821002/000119312513107874/d503217dex101.htm" TargetMode="External"/><Relationship Id="rId111" Type="http://schemas.openxmlformats.org/officeDocument/2006/relationships/hyperlink" Target="https://www.sec.gov/Archives/edgar/data/821002/000095012309006668/y01491exv10w10wa.htm" TargetMode="External"/><Relationship Id="rId112" Type="http://schemas.openxmlformats.org/officeDocument/2006/relationships/hyperlink" Target="https://www.sec.gov/Archives/edgar/data/821002/000095013605003512/file002.htm" TargetMode="External"/><Relationship Id="rId113" Type="http://schemas.openxmlformats.org/officeDocument/2006/relationships/hyperlink" Target="https://www.sec.gov/Archives/edgar/data/0000821002/000155837021008235/giii-20210610xex10d1.htm" TargetMode="External"/><Relationship Id="rId114" Type="http://schemas.openxmlformats.org/officeDocument/2006/relationships/hyperlink" Target="https://www.sec.gov/Archives/edgar/data/821002/000155837019003185/ex-99d1.htm" TargetMode="External"/><Relationship Id="rId115" Type="http://schemas.openxmlformats.org/officeDocument/2006/relationships/hyperlink" Target="https://www.sec.gov/Archives/edgar/data/821002/000155837020007395/giii-20200430xex10d1.htm" TargetMode="External"/><Relationship Id="rId116" Type="http://schemas.openxmlformats.org/officeDocument/2006/relationships/hyperlink" Target="https://www.sec.gov/Archives/edgar/data/0000821002/000155837021008713/giii-20210628xex10d1.htm" TargetMode="External"/><Relationship Id="rId117" Type="http://schemas.openxmlformats.org/officeDocument/2006/relationships/hyperlink" Target="https://www.sec.gov/Archives/edgar/data/821002/000155837022004282/giii-20220318xex10d1.htm" TargetMode="External"/><Relationship Id="rId118" Type="http://schemas.openxmlformats.org/officeDocument/2006/relationships/hyperlink" Target="https://www.sec.gov/Archives/edgar/data/821002/000095012311014727/c12756exv10w1.htm" TargetMode="External"/><Relationship Id="rId119" Type="http://schemas.openxmlformats.org/officeDocument/2006/relationships/hyperlink" Target="https://www.sec.gov/Archives/edgar/data/821002/000095012310112815/y04204exv10w10.htm" TargetMode="External"/><Relationship Id="rId120" Type="http://schemas.openxmlformats.org/officeDocument/2006/relationships/hyperlink" Target="https://www.sec.gov/Archives/edgar/data/821002/000095012308012173/y00256exv10w1.htm" TargetMode="External"/><Relationship Id="rId121" Type="http://schemas.openxmlformats.org/officeDocument/2006/relationships/hyperlink" Target="https://www.sec.gov/Archives/edgar/data/821002/000095012309001831/y01044exv10w2.htm" TargetMode="External"/><Relationship Id="rId122" Type="http://schemas.openxmlformats.org/officeDocument/2006/relationships/hyperlink" Target="https://www.sec.gov/Archives/edgar/data/821002/000119312513107874/d503217dex103.htm" TargetMode="External"/><Relationship Id="rId123" Type="http://schemas.openxmlformats.org/officeDocument/2006/relationships/hyperlink" Target="https://www.sec.gov/Archives/edgar/data/821002/000157104914001406/t1400776_ex10-2.htm" TargetMode="External"/><Relationship Id="rId124" Type="http://schemas.openxmlformats.org/officeDocument/2006/relationships/hyperlink" Target="https://www.sec.gov/Archives/edgar/data/821002/000095013606007680/file3.htm" TargetMode="External"/><Relationship Id="rId125" Type="http://schemas.openxmlformats.org/officeDocument/2006/relationships/hyperlink" Target="https://www.sec.gov/Archives/edgar/data/821002/000155837019002565/giii-20190131ex1010bb073.htm" TargetMode="External"/><Relationship Id="rId126" Type="http://schemas.openxmlformats.org/officeDocument/2006/relationships/hyperlink" Target="https://www.sec.gov/Archives/edgar/data/821002/000095012310112815/y04204exv10w9.htm" TargetMode="External"/><Relationship Id="rId127" Type="http://schemas.openxmlformats.org/officeDocument/2006/relationships/hyperlink" Target="https://www.sec.gov/Archives/edgar/data/821002/000155837020014315/giii-20201031xex10d1.htm" TargetMode="External"/><Relationship Id="rId128" Type="http://schemas.openxmlformats.org/officeDocument/2006/relationships/hyperlink" Target="https://www.sec.gov/Archives/edgar/data/821002/000095012310112815/y04204exv10w1.htm" TargetMode="External"/><Relationship Id="rId129" Type="http://schemas.openxmlformats.org/officeDocument/2006/relationships/hyperlink" Target="https://www.sec.gov/Archives/edgar/data/821002/000157104916020647/t1603077_ex10-3.htm" TargetMode="External"/><Relationship Id="rId130" Type="http://schemas.openxmlformats.org/officeDocument/2006/relationships/hyperlink" Target="https://www.sec.gov/Archives/edgar/data/821002/000157104916020647/t1603077_ex10-4.htm" TargetMode="External"/><Relationship Id="rId131" Type="http://schemas.openxmlformats.org/officeDocument/2006/relationships/hyperlink" Target="https://www.sec.gov/Archives/edgar/data/821002/000157104916020647/t1603077_ex10-5.htm" TargetMode="External"/><Relationship Id="rId132" Type="http://schemas.openxmlformats.org/officeDocument/2006/relationships/hyperlink" Target="https://www.sec.gov/Archives/edgar/data/821002/000157104917003132/t1700141_ex10-18.htm" TargetMode="External"/><Relationship Id="rId138" Type="http://schemas.openxmlformats.org/officeDocument/2006/relationships/hyperlink" Target="https://www.sec.gov/Archives/edgar/data/821002/000157104917003132/t1700141_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2022-03-28T16:19:19Z</dcterms:created>
  <dcterms:modified xsi:type="dcterms:W3CDTF">2022-03-28T16:19:19Z</dcterms:modified>
</cp:coreProperties>
</file>