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18"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0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October 31, 2020</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0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0"/>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8906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214630"/>
                    </a:xfrm>
                    <a:prstGeom prst="rect">
                      <a:avLst/>
                    </a:prstGeom>
                    <a:noFill/>
                  </pic:spPr>
                </pic:pic>
              </a:graphicData>
            </a:graphic>
          </wp:anchor>
        </w:drawing>
      </w:r>
    </w:p>
    <w:p>
      <w:pPr>
        <w:spacing w:after="0" w:line="50"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1630045</wp:posOffset>
            </wp:positionH>
            <wp:positionV relativeFrom="paragraph">
              <wp:posOffset>-119380</wp:posOffset>
            </wp:positionV>
            <wp:extent cx="78105" cy="79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-119380</wp:posOffset>
            </wp:positionV>
            <wp:extent cx="78105" cy="79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473075</wp:posOffset>
            </wp:positionH>
            <wp:positionV relativeFrom="paragraph">
              <wp:posOffset>-119380</wp:posOffset>
            </wp:positionV>
            <wp:extent cx="78105" cy="79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847090</wp:posOffset>
            </wp:positionH>
            <wp:positionV relativeFrom="paragraph">
              <wp:posOffset>-119380</wp:posOffset>
            </wp:positionV>
            <wp:extent cx="78105" cy="79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1477645</wp:posOffset>
            </wp:positionH>
            <wp:positionV relativeFrom="paragraph">
              <wp:posOffset>-377825</wp:posOffset>
            </wp:positionV>
            <wp:extent cx="78105" cy="79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-377825</wp:posOffset>
            </wp:positionV>
            <wp:extent cx="78105" cy="79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-248920</wp:posOffset>
            </wp:positionV>
            <wp:extent cx="78105" cy="79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-248920</wp:posOffset>
            </wp:positionV>
            <wp:extent cx="78105" cy="79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-120650</wp:posOffset>
            </wp:positionV>
            <wp:extent cx="78105" cy="79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6" w:lineRule="exact"/>
        <w:rPr>
          <w:sz w:val="24"/>
          <w:szCs w:val="24"/>
          <w:color w:val="auto"/>
        </w:rPr>
      </w:pPr>
    </w:p>
    <w:p>
      <w:pPr>
        <w:jc w:val="both"/>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3957320</wp:posOffset>
            </wp:positionH>
            <wp:positionV relativeFrom="paragraph">
              <wp:posOffset>-120015</wp:posOffset>
            </wp:positionV>
            <wp:extent cx="78105" cy="79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7" w:lineRule="exact"/>
        <w:rPr>
          <w:sz w:val="24"/>
          <w:szCs w:val="24"/>
          <w:color w:val="auto"/>
        </w:rPr>
      </w:pPr>
    </w:p>
    <w:p>
      <w:pPr>
        <w:ind w:left="10" w:right="18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December 4, 2020, there were 48,358,688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-306070</wp:posOffset>
            </wp:positionV>
            <wp:extent cx="78105" cy="79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-306070</wp:posOffset>
            </wp:positionV>
            <wp:extent cx="78105" cy="79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840" w:type="dxa"/>
            <w:vAlign w:val="bottom"/>
            <w:vMerge w:val="restart"/>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60" w:type="dxa"/>
            <w:vAlign w:val="bottom"/>
          </w:tcPr>
          <w:p>
            <w:pPr>
              <w:spacing w:after="0"/>
              <w:rPr>
                <w:sz w:val="24"/>
                <w:szCs w:val="24"/>
                <w:color w:val="auto"/>
              </w:rPr>
            </w:pPr>
          </w:p>
        </w:tc>
        <w:tc>
          <w:tcPr>
            <w:tcW w:w="7320" w:type="dxa"/>
            <w:vAlign w:val="bottom"/>
            <w:gridSpan w:val="10"/>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gridSpan w:val="10"/>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60" w:type="dxa"/>
            <w:vAlign w:val="bottom"/>
          </w:tcPr>
          <w:p>
            <w:pPr>
              <w:spacing w:after="0"/>
              <w:rPr>
                <w:sz w:val="18"/>
                <w:szCs w:val="18"/>
                <w:color w:val="auto"/>
              </w:rPr>
            </w:pPr>
          </w:p>
        </w:tc>
        <w:tc>
          <w:tcPr>
            <w:tcW w:w="732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90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October 31, 2020, October 31, 2019 and January 31,</w:t>
              </w:r>
            </w:hyperlink>
          </w:p>
        </w:tc>
        <w:tc>
          <w:tcPr>
            <w:tcW w:w="42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360" w:type="dxa"/>
            <w:vAlign w:val="bottom"/>
            <w:tcBorders>
              <w:bottom w:val="single" w:sz="8" w:color="0000EE"/>
            </w:tcBorders>
          </w:tcPr>
          <w:p>
            <w:pPr>
              <w:jc w:val="right"/>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2020</w:t>
              </w:r>
            </w:hyperlink>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gridSpan w:val="10"/>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Income and Comprehensive Income - For the Three and</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October 31, 2020 and 2019 (Unaudited)</w:t>
              </w:r>
            </w:hyperlink>
          </w:p>
        </w:tc>
        <w:tc>
          <w:tcPr>
            <w:tcW w:w="42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gridSpan w:val="10"/>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Stockholders’ Equity – October 31, 2020 and October 31,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(Unaudited)</w:t>
              </w:r>
            </w:hyperlink>
          </w:p>
        </w:tc>
        <w:tc>
          <w:tcPr>
            <w:tcW w:w="3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For the Nine Months Ended October 31, 2020</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2019 (Unaudited)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7380" w:type="dxa"/>
            <w:vAlign w:val="bottom"/>
            <w:gridSpan w:val="11"/>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220" w:type="dxa"/>
            <w:vAlign w:val="bottom"/>
            <w:gridSpan w:val="12"/>
          </w:tcPr>
          <w:p>
            <w:pPr>
              <w:ind w:left="2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20" w:type="dxa"/>
            <w:vAlign w:val="bottom"/>
            <w:gridSpan w:val="12"/>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220" w:type="dxa"/>
            <w:vAlign w:val="bottom"/>
            <w:gridSpan w:val="12"/>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84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w:t>
              </w:r>
            </w:hyperlink>
          </w:p>
        </w:tc>
        <w:tc>
          <w:tcPr>
            <w:tcW w:w="60" w:type="dxa"/>
            <w:vAlign w:val="bottom"/>
          </w:tcPr>
          <w:p>
            <w:pPr>
              <w:spacing w:after="0"/>
              <w:rPr>
                <w:sz w:val="24"/>
                <w:szCs w:val="24"/>
                <w:color w:val="auto"/>
              </w:rPr>
            </w:pPr>
          </w:p>
        </w:tc>
        <w:tc>
          <w:tcPr>
            <w:tcW w:w="7320" w:type="dxa"/>
            <w:vAlign w:val="bottom"/>
            <w:gridSpan w:val="10"/>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gridSpan w:val="12"/>
          </w:tcPr>
          <w:p>
            <w:pPr>
              <w:ind w:left="260"/>
              <w:spacing w:after="0"/>
              <w:rPr>
                <w:rFonts w:ascii="Arial" w:cs="Arial" w:eastAsia="Arial" w:hAnsi="Arial"/>
                <w:sz w:val="18"/>
                <w:szCs w:val="18"/>
                <w:color w:val="0000EE"/>
              </w:rPr>
            </w:pPr>
            <w:hyperlink w:anchor="page35">
              <w:r>
                <w:rPr>
                  <w:rFonts w:ascii="Arial" w:cs="Arial" w:eastAsia="Arial" w:hAnsi="Arial"/>
                  <w:sz w:val="18"/>
                  <w:szCs w:val="18"/>
                  <w:u w:val="single" w:color="auto"/>
                  <w:color w:val="0000EE"/>
                </w:rPr>
                <w:t>Item 1A</w:t>
              </w:r>
              <w:r>
                <w:rPr>
                  <w:rFonts w:ascii="Arial" w:cs="Arial" w:eastAsia="Arial" w:hAnsi="Arial"/>
                  <w:sz w:val="18"/>
                  <w:szCs w:val="18"/>
                  <w:color w:val="0000EE"/>
                </w:rPr>
                <w:t>.</w:t>
              </w:r>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0" w:type="dxa"/>
            <w:vAlign w:val="bottom"/>
          </w:tcPr>
          <w:p>
            <w:pPr>
              <w:ind w:left="2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6.</w:t>
              </w:r>
            </w:hyperlink>
          </w:p>
        </w:tc>
        <w:tc>
          <w:tcPr>
            <w:tcW w:w="60" w:type="dxa"/>
            <w:vAlign w:val="bottom"/>
          </w:tcPr>
          <w:p>
            <w:pPr>
              <w:spacing w:after="0"/>
              <w:rPr>
                <w:sz w:val="20"/>
                <w:szCs w:val="20"/>
                <w:color w:val="auto"/>
              </w:rPr>
            </w:pPr>
          </w:p>
        </w:tc>
        <w:tc>
          <w:tcPr>
            <w:tcW w:w="7320" w:type="dxa"/>
            <w:vAlign w:val="bottom"/>
            <w:gridSpan w:val="10"/>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62"/>
        </w:trPr>
        <w:tc>
          <w:tcPr>
            <w:tcW w:w="840" w:type="dxa"/>
            <w:vAlign w:val="bottom"/>
          </w:tcPr>
          <w:p>
            <w:pPr>
              <w:spacing w:after="0"/>
              <w:rPr>
                <w:sz w:val="24"/>
                <w:szCs w:val="24"/>
                <w:color w:val="auto"/>
              </w:rPr>
            </w:pPr>
          </w:p>
        </w:tc>
        <w:tc>
          <w:tcPr>
            <w:tcW w:w="4560" w:type="dxa"/>
            <w:vAlign w:val="bottom"/>
            <w:gridSpan w:val="7"/>
          </w:tcPr>
          <w:p>
            <w:pPr>
              <w:jc w:val="right"/>
              <w:ind w:right="81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8"/>
          </w:tcPr>
          <w:p>
            <w:pPr>
              <w:jc w:val="right"/>
              <w:ind w:right="45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55,801</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tcPr>
          <w:p>
            <w:pPr>
              <w:ind w:left="80"/>
              <w:spacing w:after="0" w:line="185" w:lineRule="exact"/>
              <w:rPr>
                <w:sz w:val="20"/>
                <w:szCs w:val="20"/>
                <w:color w:val="auto"/>
              </w:rPr>
            </w:pPr>
            <w:r>
              <w:rPr>
                <w:rFonts w:ascii="Arial" w:cs="Arial" w:eastAsia="Arial" w:hAnsi="Arial"/>
                <w:sz w:val="17"/>
                <w:szCs w:val="17"/>
                <w:color w:val="auto"/>
                <w:w w:val="98"/>
              </w:rPr>
              <w:t>Accounts receivable, net of allowance for doubtful accounts of $15.5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million, $0.9 million and $0.7 million, respectively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720,975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899,029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530,137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650,633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1,371,806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1,685,733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1,368,688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60,973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90,830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181,187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Other assets,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36,722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34,389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437,247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261,684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259,926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2,469,416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2,928,607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2,565,137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4,083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655</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215,217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125,675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137,402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65,554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66,850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32,029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482,084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713,249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504,328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674,741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396,794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157,983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260,010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1,159,149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1,668,305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1,274,465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tcPr>
          <w:p>
            <w:pPr>
              <w:ind w:left="80"/>
              <w:spacing w:after="0" w:line="185" w:lineRule="exact"/>
              <w:rPr>
                <w:sz w:val="20"/>
                <w:szCs w:val="20"/>
                <w:color w:val="auto"/>
              </w:rPr>
            </w:pPr>
            <w:r>
              <w:rPr>
                <w:rFonts w:ascii="Arial" w:cs="Arial" w:eastAsia="Arial" w:hAnsi="Arial"/>
                <w:sz w:val="17"/>
                <w:szCs w:val="17"/>
                <w:color w:val="auto"/>
                <w:w w:val="96"/>
              </w:rPr>
              <w:t>Common stock - $0.01 par value; 120,000 shares authorized; 49,396,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49,395 and, 49,396 shares issued, respectively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457,278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867,850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893,138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tcPr>
          <w:p>
            <w:pPr>
              <w:ind w:left="80"/>
              <w:spacing w:after="0" w:line="185" w:lineRule="exact"/>
              <w:rPr>
                <w:sz w:val="20"/>
                <w:szCs w:val="20"/>
                <w:color w:val="auto"/>
              </w:rPr>
            </w:pPr>
            <w:r>
              <w:rPr>
                <w:rFonts w:ascii="Arial" w:cs="Arial" w:eastAsia="Arial" w:hAnsi="Arial"/>
                <w:sz w:val="17"/>
                <w:szCs w:val="17"/>
                <w:color w:val="auto"/>
                <w:w w:val="92"/>
              </w:rPr>
              <w:t>Common stock held in treasury, at cost - 1,037, 1,570 and 1,386 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1,310,267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1,260,302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1,290,672</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2,469,416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2,928,607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2,565,137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October 31,</w:t>
            </w:r>
          </w:p>
        </w:tc>
        <w:tc>
          <w:tcPr>
            <w:tcW w:w="20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Nine Months Ended October 31,</w:t>
            </w: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820" w:type="dxa"/>
            <w:vAlign w:val="bottom"/>
          </w:tcPr>
          <w:p>
            <w:pPr>
              <w:spacing w:after="0"/>
              <w:rPr>
                <w:sz w:val="17"/>
                <w:szCs w:val="17"/>
                <w:color w:val="auto"/>
              </w:rPr>
            </w:pP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1,128,403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1,528,904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2,405,847</w:t>
            </w:r>
          </w:p>
        </w:tc>
      </w:tr>
      <w:tr>
        <w:trPr>
          <w:trHeight w:val="216"/>
        </w:trPr>
        <w:tc>
          <w:tcPr>
            <w:tcW w:w="46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528,806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972,055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1,538,995</w:t>
            </w:r>
          </w:p>
        </w:tc>
      </w:tr>
      <w:tr>
        <w:trPr>
          <w:trHeight w:val="209"/>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866,852</w:t>
            </w:r>
          </w:p>
        </w:tc>
      </w:tr>
      <w:tr>
        <w:trPr>
          <w:trHeight w:val="216"/>
        </w:trPr>
        <w:tc>
          <w:tcPr>
            <w:tcW w:w="462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246,580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644,887</w:t>
            </w:r>
          </w:p>
        </w:tc>
      </w:tr>
      <w:tr>
        <w:trPr>
          <w:trHeight w:val="216"/>
        </w:trPr>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r>
      <w:tr>
        <w:trPr>
          <w:trHeight w:val="216"/>
        </w:trPr>
        <w:tc>
          <w:tcPr>
            <w:tcW w:w="4620" w:type="dxa"/>
            <w:vAlign w:val="bottom"/>
            <w:gridSpan w:val="4"/>
          </w:tcPr>
          <w:p>
            <w:pPr>
              <w:ind w:left="20"/>
              <w:spacing w:after="0"/>
              <w:rPr>
                <w:sz w:val="20"/>
                <w:szCs w:val="20"/>
                <w:color w:val="auto"/>
              </w:rPr>
            </w:pPr>
            <w:r>
              <w:rPr>
                <w:rFonts w:ascii="Arial" w:cs="Arial" w:eastAsia="Arial" w:hAnsi="Arial"/>
                <w:sz w:val="18"/>
                <w:szCs w:val="18"/>
                <w:color w:val="auto"/>
                <w:w w:val="96"/>
              </w:rPr>
              <w:t>Asset impairments, net of loss (gain) on lease modifications</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(2,346)</w:t>
            </w: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195,348</w:t>
            </w:r>
          </w:p>
        </w:tc>
      </w:tr>
      <w:tr>
        <w:trPr>
          <w:trHeight w:val="216"/>
        </w:trPr>
        <w:tc>
          <w:tcPr>
            <w:tcW w:w="4620" w:type="dxa"/>
            <w:vAlign w:val="bottom"/>
            <w:gridSpan w:val="4"/>
          </w:tcPr>
          <w:p>
            <w:pPr>
              <w:ind w:left="20"/>
              <w:spacing w:after="0"/>
              <w:rPr>
                <w:sz w:val="20"/>
                <w:szCs w:val="20"/>
                <w:color w:val="auto"/>
              </w:rPr>
            </w:pPr>
            <w:r>
              <w:rPr>
                <w:rFonts w:ascii="Arial" w:cs="Arial" w:eastAsia="Arial" w:hAnsi="Arial"/>
                <w:sz w:val="18"/>
                <w:szCs w:val="18"/>
                <w:color w:val="auto"/>
              </w:rPr>
              <w:t>Other income (loss)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and financing charges, net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(38,237)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(33,623)</w:t>
            </w:r>
          </w:p>
        </w:tc>
      </w:tr>
      <w:tr>
        <w:trPr>
          <w:trHeight w:val="209"/>
        </w:trPr>
        <w:tc>
          <w:tcPr>
            <w:tcW w:w="120" w:type="dxa"/>
            <w:vAlign w:val="bottom"/>
          </w:tcPr>
          <w:p>
            <w:pPr>
              <w:spacing w:after="0"/>
              <w:rPr>
                <w:sz w:val="18"/>
                <w:szCs w:val="18"/>
                <w:color w:val="auto"/>
              </w:rPr>
            </w:pP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91,604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131,021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161,003</w:t>
            </w:r>
          </w:p>
        </w:tc>
      </w:tr>
      <w:tr>
        <w:trPr>
          <w:trHeight w:val="216"/>
        </w:trPr>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42,454</w:t>
            </w:r>
          </w:p>
        </w:tc>
      </w:tr>
      <w:tr>
        <w:trPr>
          <w:trHeight w:val="250"/>
        </w:trPr>
        <w:tc>
          <w:tcPr>
            <w:tcW w:w="46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118,549</w:t>
            </w:r>
          </w:p>
        </w:tc>
      </w:tr>
      <w:tr>
        <w:trPr>
          <w:trHeight w:val="196"/>
        </w:trPr>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462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46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48,359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47,768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48,201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48,333</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5"/>
        </w:trPr>
        <w:tc>
          <w:tcPr>
            <w:tcW w:w="46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48,809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48,356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48,589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49,056</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118,549</w:t>
            </w:r>
          </w:p>
        </w:tc>
      </w:tr>
      <w:tr>
        <w:trPr>
          <w:trHeight w:val="216"/>
        </w:trPr>
        <w:tc>
          <w:tcPr>
            <w:tcW w:w="4620" w:type="dxa"/>
            <w:vAlign w:val="bottom"/>
            <w:gridSpan w:val="4"/>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r>
      <w:tr>
        <w:trPr>
          <w:trHeight w:val="210"/>
        </w:trPr>
        <w:tc>
          <w:tcPr>
            <w:tcW w:w="46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w:t>
            </w:r>
          </w:p>
        </w:tc>
      </w:tr>
      <w:tr>
        <w:trPr>
          <w:trHeight w:val="209"/>
        </w:trPr>
        <w:tc>
          <w:tcPr>
            <w:tcW w:w="4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110,683</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Held In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tcPr>
          <w:p>
            <w:pPr>
              <w:jc w:val="right"/>
              <w:ind w:right="331"/>
              <w:spacing w:after="0" w:line="133"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$ 444,384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$ 838,867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(27,506)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$ 1,237,749</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63,174</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63,174</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$ 446,662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$ 902,041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(27,506)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$ 1,310,267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$ 456,195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$ 772,463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(44,254)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$ 1,167,820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(2,224)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95,387</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95,387</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$ 457,278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$ 867,850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(42,030)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$ 1,260,302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$ 452,142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$ 893,138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(36,864)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$ 1,290,672</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(9,178)</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8,903</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$ 446,662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$ 902,041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(27,506)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$ 1,310,267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$ 464,112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$ 758,881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(19,054)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$ 1,189,009</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(12,124)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12,240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(8,367)</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(35,216)</w:t>
            </w:r>
          </w:p>
        </w:tc>
        <w:tc>
          <w:tcPr>
            <w:tcW w:w="920" w:type="dxa"/>
            <w:vAlign w:val="bottom"/>
          </w:tcPr>
          <w:p>
            <w:pPr>
              <w:jc w:val="right"/>
              <w:spacing w:after="0"/>
              <w:rPr>
                <w:sz w:val="20"/>
                <w:szCs w:val="20"/>
                <w:color w:val="auto"/>
              </w:rPr>
            </w:pPr>
            <w:r>
              <w:rPr>
                <w:rFonts w:ascii="Arial" w:cs="Arial" w:eastAsia="Arial" w:hAnsi="Arial"/>
                <w:sz w:val="18"/>
                <w:szCs w:val="18"/>
                <w:color w:val="auto"/>
              </w:rPr>
              <w:t>(35,216)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Cumulative effect of adoption of ASC 842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118,549</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118,549</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$ 457,278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$ 867,850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(42,030)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$ 1,260,302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4"/>
          </w:tcPr>
          <w:p>
            <w:pPr>
              <w:jc w:val="center"/>
              <w:ind w:right="119"/>
              <w:spacing w:after="0" w:line="119"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8,903</w:t>
            </w:r>
          </w:p>
        </w:tc>
        <w:tc>
          <w:tcPr>
            <w:tcW w:w="3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fixed assets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Non-cash operating lease costs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59,643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lease modifications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Asset impairments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Equity gain in unconsolidated affiliates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Deferred financing charges and debt discount amortization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Extinguishment of deferred financing costs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(190,838)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Income taxes, net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Other assets, net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refund liabilities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Operating lease liabilities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(61,822)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accrued expenses and other liabilities</w:t>
            </w:r>
          </w:p>
        </w:tc>
        <w:tc>
          <w:tcPr>
            <w:tcW w:w="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operating activities</w:t>
            </w:r>
          </w:p>
        </w:tc>
        <w:tc>
          <w:tcPr>
            <w:tcW w:w="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(127,571)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 assets initial direct costs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Capital expenditures</w:t>
            </w:r>
          </w:p>
        </w:tc>
        <w:tc>
          <w:tcPr>
            <w:tcW w:w="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Repayment of borrowings - revolving facility</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(878,083)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(1,536,448)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revolving facility</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878,083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Repayment of borrowings - unsecured term loan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(300,262)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unsecured term loan</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Proceeds from borrowings - senior secured notes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Payment of financing costs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Proceeds from exercise of equity awards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of treasury shares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Taxes paid for net share settlements</w:t>
            </w:r>
          </w:p>
        </w:tc>
        <w:tc>
          <w:tcPr>
            <w:tcW w:w="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93,428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239,455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Net decrease in cash and cash equivalents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(47,627)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197,372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70,138</w:t>
            </w:r>
          </w:p>
        </w:tc>
        <w:tc>
          <w:tcPr>
            <w:tcW w:w="0" w:type="dxa"/>
            <w:vAlign w:val="bottom"/>
          </w:tcPr>
          <w:p>
            <w:pPr>
              <w:spacing w:after="0"/>
              <w:rPr>
                <w:sz w:val="1"/>
                <w:szCs w:val="1"/>
                <w:color w:val="auto"/>
              </w:rPr>
            </w:pPr>
          </w:p>
        </w:tc>
      </w:tr>
      <w:tr>
        <w:trPr>
          <w:trHeight w:val="236"/>
        </w:trPr>
        <w:tc>
          <w:tcPr>
            <w:tcW w:w="592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900" w:type="dxa"/>
            <w:vAlign w:val="bottom"/>
          </w:tcPr>
          <w:p>
            <w:pPr>
              <w:spacing w:after="0"/>
              <w:rPr>
                <w:sz w:val="20"/>
                <w:szCs w:val="20"/>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149,745</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payments: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Interest, net</w:t>
            </w:r>
          </w:p>
        </w:tc>
        <w:tc>
          <w:tcPr>
            <w:tcW w:w="108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14,864</w:t>
            </w:r>
          </w:p>
        </w:tc>
        <w:tc>
          <w:tcPr>
            <w:tcW w:w="3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payments, net</w:t>
            </w:r>
          </w:p>
        </w:tc>
        <w:tc>
          <w:tcPr>
            <w:tcW w:w="10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consolidates the accounts of its wholly-owned and majority-owned subsidiaries. KL North America B.V. (“KLNA”) and Fabco Holding B.V. (“Fabco”) are Dutch joint venture limited liability companies, each of which is 49% owned by the Company. See Note 16 – Subsequent Events with respect to an increase in the ownership of Fabco by the Company. Karl Lagerfeld Holding B.V. (“KLH”) is a Dutch limited liability company that is 19% owned by the Company. These investments are accounted for using the equity method of accounting. All material intercompany balances and transactions have been eliminated.</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nine-month period ended October 31, 2020, the results of Vilebrequin, KLH, KLNA and Fabco are included for the nine-month period ended September 30, 2020. The Company’s retail operations segment reports on a 52/53-week fiscal year. The Company’s three and nine-month periods ended October 31, 2020 and 2019 were each 13-week and 39-week periods, respectively, for the retail operations segment. For fiscal 2021 and 2020, the three and nine-month periods for the retail operations segment ended on October 31, 2020 and November 2, 2019, respectively.</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results for the three and nine months ended October 31, 2020 are not necessarily indicative of the results expected for the entire fiscal year, given the seasonal nature of the Company’s business and the significant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2020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Policies</w:t>
      </w:r>
    </w:p>
    <w:p>
      <w:pPr>
        <w:spacing w:after="0" w:line="225"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On April 10, 2020, the Financial Accounting Standards Board (“FASB”) issued a Staff Q&amp;A to respond to frequently asked questions about accounting for lease concessions related to the effects of the COVID-19 outbreak. Consequently, for lease concessions related to the effects of the COVID-19 outbreak, an entity will not have to analyze each lease to determine whether the enforceable rights and obligations for concessions exist in the contract and can elect to apply or not apply the lease modification guidance to those leases. Entities may make the elections for any lessor-provided concessions related to the effects of the outbreak (e.g., deferrals of lease payments, lease payment forgiveness, cash payments made to the lessee or reduced future lease payments) as long as the concession does not result in a substantial increase in the rights of the lessor or the obligations of the lessee. The Company has elected to not apply the lease modification guidance for contracts with COVID-19 related rent concessions. As of October 31, 2020, the Company has $11.0 million of deferred lease payments recorded within accounts payable on its 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 and Impact of COVID-19</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relies on its cash flows generated from operations and the borrowing capacity under its credit facilities to meet the cash requirements of its business. The primary cash requirements of its business are the seasonal buildup in inventory, compensation paid to employees, payments to suppliers in the normal course of business, capital expenditures, maturities of debt and related interest payments and income tax payments. The rapid expansion of the COVID-19 pandemic resulted in a sharp decline in net sales in the first, second and, to a lesser extent, third quarters of fiscal 2021. It also resulted in the Company recognizing a net loss in the first and second quarters and a significant reduction in net income in the third quarter. The Company is focused on preserving its liquidity and managing its cash flow during these unprecedented conditions. The Company had taken preemptive actions to enhance its ability to meet its short-term liquidity needs, including, but not limited to, reducing payroll costs through employee furloughs, job eliminations, salary reductions, reductions in marketing and other discretionary spending, deferring certain lease payments and deferral of capital projects. During the quarter ended October 31, 2020, certain furloughed employees were reinstated and salaries that had been reduced were increased to their pre-pandemic levels. The Company has received royalty relief from certain licensors and continues to negotiate with licensors for additional relief.</w:t>
      </w:r>
    </w:p>
    <w:p>
      <w:pPr>
        <w:spacing w:after="0" w:line="18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October 31, 2020, the Company had cash and cash equivalents of $149.7 million and availability under its revolving credit facility in excess of $600.0 million. The Company believes it has adequate cash flows to meet the cash requirements of its business. As of October 31, 2020, the Company was in compliance with all covenants under its senior secured notes and revolving credit facility. On August 7, 2020, the Company refinanced its term loan and revolving credit facility. See Note 9 – Notes Payable.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2 – Retail Restructuring</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June 2020, the Company announced the restructuring of its retail operations segment including the closing of all Wilsons Leather and G.H. Bass stores. Additionally, the Company is also closing its Calvin Klein Performance stores. In connection with the restructuring of the retail operations segment, the Company expects to incur an aggregate charge of approximately $100 million related to store operating costs, landlord termination fees, severance costs, store liquidation and closing costs, write-offs related to right-of-use assets and legal and professional fees. The Company expects the net cash outflow from the retail restructuring to be approximately $65 million.</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a result of the restructuring of the Company’s retail operations, the Company recorded an aggregate charge of $2.2 million during the nine months ended October 31, 2020. The charge consisted primarily of severance payments, benefit continuation costs and store closing costs. Restructuring charges are recorded within selling, general and administrative expenses in the Company’s condensed consolidated statements of income and comprehensive income. The following is a reconciliation of the accrual for the quarter ended October 31, 2020:</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Severance and Benefit</w:t>
            </w:r>
          </w:p>
        </w:tc>
        <w:tc>
          <w:tcPr>
            <w:tcW w:w="120" w:type="dxa"/>
            <w:vAlign w:val="bottom"/>
          </w:tcPr>
          <w:p>
            <w:pPr>
              <w:spacing w:after="0"/>
              <w:rPr>
                <w:sz w:val="14"/>
                <w:szCs w:val="14"/>
                <w:color w:val="auto"/>
              </w:rPr>
            </w:pPr>
          </w:p>
        </w:tc>
        <w:tc>
          <w:tcPr>
            <w:tcW w:w="16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Store Closing Costs</w:t>
            </w:r>
          </w:p>
        </w:tc>
        <w:tc>
          <w:tcPr>
            <w:tcW w:w="360" w:type="dxa"/>
            <w:vAlign w:val="bottom"/>
          </w:tcPr>
          <w:p>
            <w:pPr>
              <w:spacing w:after="0"/>
              <w:rPr>
                <w:sz w:val="14"/>
                <w:szCs w:val="14"/>
                <w:color w:val="auto"/>
              </w:rPr>
            </w:pPr>
          </w:p>
        </w:tc>
        <w:tc>
          <w:tcPr>
            <w:tcW w:w="11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30, 2020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Amounts charged to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Balance at July 31, 2020</w:t>
            </w: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charged to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 xml:space="preserve">The Company has accounted for the remaining rent and termination payments under Accounting Standards Codification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of October 31, 2020, the total operating lease liability related to Wilsons Leather, G.H Bass, and Calvin Klein Performance stores is $28.0 million and will be paid during the fiscal quarter ending January 31, 2021.</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3 – Allowance for Doubtful Accounts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February 1, 2020, the Company adopted Accounting Standards Update (“ASU”) 2016-13, “Financial Instruments-Credit Losses (Topic 326): Measurement of Credit Losses on Financial Instruments” which had no material impact on the Company’s financial statements. 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accounts receivable and allowance for doubtful accounts as of October 31, 2020 were: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October 31, 2020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736,449</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(15,437)</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(15,474)</w:t>
            </w:r>
          </w:p>
        </w:tc>
        <w:tc>
          <w:tcPr>
            <w:tcW w:w="20" w:type="dxa"/>
            <w:vAlign w:val="bottom"/>
          </w:tcPr>
          <w:p>
            <w:pPr>
              <w:spacing w:after="0"/>
              <w:rPr>
                <w:sz w:val="18"/>
                <w:szCs w:val="18"/>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719,044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720,975</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three and nine months ended October 31, 2020, the Company recorded a $4.3 million and $14.9 million increase in its allowance for doubtful accounts primarily due to allowances recorded against the outstanding receivables of certain department store customers that have publicly announced bankruptcy filings or possible bankruptcy filings. The Company had the following activity in its allowance for credit losses for the nine months ended October 31, 2020:</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October 31, 2020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(14,919)</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(14,874)</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October 31, 2020</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(15,437)</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(15,474)</w:t>
            </w:r>
          </w:p>
        </w:tc>
        <w:tc>
          <w:tcPr>
            <w:tcW w:w="20" w:type="dxa"/>
            <w:vAlign w:val="bottom"/>
            <w:tcBorders>
              <w:bottom w:val="single" w:sz="8" w:color="auto"/>
            </w:tcBorders>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4 – Inventories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ectPr>
          <w:pgSz w:w="11900" w:h="16838" w:orient="portrait"/>
          <w:cols w:equalWidth="0" w:num="1">
            <w:col w:w="9019"/>
          </w:cols>
          <w:pgMar w:left="1440" w:top="517"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$20.6 million, $41.9 million and $31.0 million as of October 31, 2020, October 31, 2019 and January 31, 2020,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Inventory held on consignment by the Company’s customers totaled $4.8 million, $11.0 million and $9.1 million at October 31, 2020, October 31, 2019 and January 31, 2020, respectively. Consignment inventory is stored at the facilities of the Company’s customers. The Company reflects this inventory on its condensed consolidated balance sheets.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5 – Fair Value of Financial Instruments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19"/>
        </w:trPr>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October 31,</w:t>
            </w: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r>
      <w:tr>
        <w:trPr>
          <w:trHeight w:val="18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r>
      <w:tr>
        <w:trPr>
          <w:trHeight w:val="141"/>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3"/>
          </w:tcPr>
          <w:p>
            <w:pPr>
              <w:jc w:val="right"/>
              <w:ind w:right="435"/>
              <w:spacing w:after="0" w:line="14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Secured notes</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  400,000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  400,000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300,000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w:t>
            </w: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279,880</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279,880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100,623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95,126</w:t>
            </w: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7,232</w:t>
            </w:r>
          </w:p>
        </w:tc>
        <w:tc>
          <w:tcPr>
            <w:tcW w:w="24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2,948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2,860</w:t>
            </w: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 On August 7, 2020, the Company refinanced its term loan and revolving credit facility. See Note 9 – Notes Payable.</w:t>
      </w:r>
    </w:p>
    <w:p>
      <w:pPr>
        <w:spacing w:after="0" w:line="11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2% note in the principal amount of $125 million (the “LVMH Note”) issued to LVMH Moet Hennessy Louis Vuitton Inc. (“LVMH”) in connection with the acquisition of Donna Karan International (“DKI”) was recorded on the balance sheet at a discount of $40.0 million in accordance with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purposes of this fair value disclosure, the Company based its fair value estimate for the LVMH Note on the initial fair value as determined at the date of the acquisition of DKI and records the amortization using the effective interest method over the term of the LVMH Note.</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the second quarter of fiscal 2021, the Company recorded a $20 million impairment charge primarily related to operating lease assets, leasehold improvements and furniture and fixtures at certain Wilsons Leather, G.H. Bass, DKNY and Vilebrequin stores as a result of the performance at these stores. During the first quarter of fiscal 2020, the Company recorded an impairment of $9.6 million, net of tax, in connection with the adoption of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that was recognized through retained earnings.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6 – Leases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Company’s lease assets and liabilities as of October 31, 2020, October 31, 2019 and January 31, 2020 consist of the following:</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October 31, 2020</w:t>
            </w:r>
          </w:p>
        </w:tc>
        <w:tc>
          <w:tcPr>
            <w:tcW w:w="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October 31, 2019</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2020</w:t>
            </w:r>
          </w:p>
        </w:tc>
      </w:tr>
      <w:tr>
        <w:trPr>
          <w:trHeight w:val="142"/>
        </w:trPr>
        <w:tc>
          <w:tcPr>
            <w:tcW w:w="1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270,032</w:t>
            </w:r>
          </w:p>
        </w:tc>
      </w:tr>
      <w:tr>
        <w:trPr>
          <w:trHeight w:val="210"/>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181,187</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293,819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270,032</w:t>
            </w: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288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65,554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66,850</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63,166</w:t>
            </w:r>
          </w:p>
        </w:tc>
      </w:tr>
      <w:tr>
        <w:trPr>
          <w:trHeight w:val="216"/>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Noncurrent operating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157,983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260,010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249,040</w:t>
            </w:r>
          </w:p>
        </w:tc>
      </w:tr>
      <w:tr>
        <w:trPr>
          <w:trHeight w:val="20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223,537</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326,860</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312,206</w:t>
            </w: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operating lease assets and operating lease liabilities significantly declined during fiscal 2021 due to the restructuring of the retail operations segment, partially offset by other leasing activity. As a result of this restructuring, the Company expects to close all of its Wilsons Leather, G.H. Bass and Calvin Klein Performance stores by the end of fiscal 2021. In addition, primarily due to the restructuring, in the second quarter of fiscal 2021 the Company recorded a $19.4 million impairment charge related to the operating lease assets at certain Wilsons Leather, G.H. Bass, DKNY and Vilebrequin stores as a result of the performance at these stores.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recorded lease costs of $18.7 million and $77.1 million during the three and nine months ended October 31, 2020, respectively. The Company recorded lease costs of $24.4 million and $74.3 million during the three and nine months ended October 31, 2019, respectively. Lease costs are recorded within selling, general and administrative expenses in the Company’s condensed consolidated statements of income and comprehensive income. The Company recorded variable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lease costs and short-term lease costs of $6.2 million and $5.3 million for the three and nine months ended October 31, 2020, respectively. The Company recorded variable leases costs and short-term lease costs of $4.4 million and $11.9 million for the three and nine months ended October 31, 2019, respectively. Short-term lease costs are immaterial.</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October 31, 2020, the Company’s maturity of operating lease liabilities in the years ending up to January 31, 2025 and thereafter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55,033</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48,113</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35,856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68,838</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274,836</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51,299</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223,537</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October 31, 2020,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October 31, 2020, the weighted average remaining lease term related to operating leases is 4.9 years. The weighted average discount rate related to operating leases is 8.2%.</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Cash paid for amounts included in the measurement of operating lease liabilities is $79.7 million and $75.9 million during the nine months ended October 31, 2020 and October 31, 2019, respectively. Right-of-use assets obtained in exchange for lease obligations were $41.3 million and $21.3 million as of October 31, 2020 and October 31, 2019,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7 – Goodwill and Intangible Assets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As of October 31, 2020, there is $261.7 million of goodwill and $441.1 million of indefinite-lived trademarks recorded on the Company’s condensed consolidated balance sheet. The Company reviews and tests its goodwill and intangible assets with indefinite lives for impairment annually, or more frequently if events or changes in circumstances indicate that the carrying amount of such assets may be impaired. Due to the impact of the COVID-19 pandemic on the Company’s operations, the Company performed a quantitative test of its goodwill as of April 30, 2020 using an income approach through a discounted cash flow analysis methodology. The discounted cash flow approach requires that certain assumptions and estimates be made regarding industry economic factors and future profitability. The Company also performed quantitative tests of each of its indefinite-lived intangible assets using a relief from royalty method, another form of the income approach. The relief from royalty method requires assumptions regarding industry economic factors and future profitability. There were no impairments identified as of April 30, 2020 as a result of these tests.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While no impairment was identified as of April 30, 2020, $370.0 million of the Company’s indefinite-lived trademarks could be deemed to have a risk of future impairment as there is limited excess fair value over the carrying value of these assets at October 31, 2020.</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During the third quarter of 2020, the Company conducted a review to assess whether indicators of impairment existed. As a result of this review, the Company concluded that no indicators existed that would make management believe it is more likely than not that the fair value of its goodwill or indefinite-lived trademarks is less than its carrying value. The continued impact of the COVID-19 pandemic could give rise to global and regional macroeconomic factors that could impact the Company’s assumptions relating to future net sales, discount rates, tax rates or royalty rates and may result in future impairment charges for indefinite-lived intangible assets.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fair value of the Company’s goodwill and indefinite-lived intangible assets are considered a Level 3 valuation in the fair value hierarchy.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8 – Net Income per Common Share</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stock options outstanding during the period. Approximately 262,100 and 215,600 shares of common stock have been excluded from the diluted net income per share calculation for the three and nine months ended October 31, 2020, respectively. Approximately 846,200 and 680,700 shares of common stock were excluded from the diluted net income per share calculation for the three and nine months ended October 31, 2019, respectively. All share-based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w w:val="95"/>
              </w:rPr>
              <w:t>Three Months Ended October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2"/>
                <w:szCs w:val="12"/>
                <w:b w:val="1"/>
                <w:bCs w:val="1"/>
                <w:color w:val="auto"/>
                <w:w w:val="74"/>
              </w:rPr>
              <w:t>per</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9"/>
              </w:rPr>
              <w:t>thousands, except</w:t>
            </w:r>
          </w:p>
        </w:tc>
        <w:tc>
          <w:tcPr>
            <w:tcW w:w="160" w:type="dxa"/>
            <w:vAlign w:val="bottom"/>
            <w:vMerge w:val="continue"/>
          </w:tcPr>
          <w:p>
            <w:pPr>
              <w:spacing w:after="0"/>
              <w:rPr>
                <w:sz w:val="12"/>
                <w:szCs w:val="12"/>
                <w:color w:val="auto"/>
              </w:rPr>
            </w:pPr>
          </w:p>
        </w:tc>
        <w:tc>
          <w:tcPr>
            <w:tcW w:w="9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8"/>
              </w:rPr>
              <w:t>share amounts)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95,387</w:t>
            </w:r>
          </w:p>
        </w:tc>
        <w:tc>
          <w:tcPr>
            <w:tcW w:w="480" w:type="dxa"/>
            <w:vAlign w:val="bottom"/>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48,201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Basic net income per share</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w w:val="93"/>
              </w:rPr>
              <w:t>Dilutive restricted stock unit awards and stock options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Diluted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Note 9 – Notes Payable</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October 31, 2020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October 31, 2019</w:t>
            </w:r>
          </w:p>
        </w:tc>
        <w:tc>
          <w:tcPr>
            <w:tcW w:w="280" w:type="dxa"/>
            <w:vAlign w:val="bottom"/>
          </w:tcPr>
          <w:p>
            <w:pPr>
              <w:spacing w:after="0"/>
              <w:rPr>
                <w:sz w:val="23"/>
                <w:szCs w:val="23"/>
                <w:color w:val="auto"/>
              </w:rPr>
            </w:pPr>
          </w:p>
        </w:tc>
        <w:tc>
          <w:tcPr>
            <w:tcW w:w="14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ind w:left="140"/>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279,880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LVMH Note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loans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2,948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Overdraft facilities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707,828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(8,055)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discount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(24,377)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674,741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80" w:right="79" w:hanging="330"/>
        <w:spacing w:after="0" w:line="23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$7.3 million, $5.2 million and $4.6 million as of October 31, 2020, October 31, 2019 and January 31, 2020, respectively, related to the revolving credit facility. These debt issuance costs have been deferred and are classified in prepaid expenses and other current assets in the accompanying condensed consolidated balance sheets in accordance with ASU 2015-15.</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7"/>
          <w:szCs w:val="17"/>
          <w:color w:val="auto"/>
        </w:rPr>
        <w:t>On August 7,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collateral agent (the “Collateral Agent”). The net proceeds of the Notes have been used (i) to repay the Company’s prior term loan facility due 2022, (ii) to pay related fees and expenses and (iii) for general corporate purposes.</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0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incurred debt issuance costs totaling $8.5 million related to the Notes that will be amortized over the term of the Notes. In accordance with ASU 2015-15, the debt issuance costs have been deferred and are presented as a contra-liability, offsetting the outstanding balance of the Notes, and are amortized using the effective interest method over the remaining life of the Notes.</w:t>
      </w:r>
    </w:p>
    <w:p>
      <w:pPr>
        <w:sectPr>
          <w:pgSz w:w="11900" w:h="16838" w:orient="portrait"/>
          <w:cols w:equalWidth="0" w:num="1">
            <w:col w:w="9019"/>
          </w:cols>
          <w:pgMar w:left="1440" w:top="51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had previously borrowed $350.0 million under a senior secured term loan facility (the “Term Loan”) that was scheduled to mature in December 2022. The Company prepaid $50.0 million in principal amount of the Term Loan, reducing the principal balance of the Term Loan to $300.0 million.</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7, 2020, the Company used a portion of the proceeds from the issuance of the Notes to repay the outstanding principal balance of $300.0 million under the Term Loan facility. At the date of repayment, the Company had unamortized debt issuance costs of $6.1 million associated with the Term Loan. These debt issuance costs were fully extinguished and charged to interest expense in the Company’s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August 7,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certain material indebtedness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to August 2025, subject to a springing maturity date if, subject to certain conditions, certain material indebtedness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7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October 31, 2020, the Company was in compliance with these covenants.</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October 31, 2020, the Company had no borrowings outstanding under the ABL Credit Agreement. As of October 31, 2020, interest under the ABL Credit Agreement was being paid at an average rate of 2.05% per annum. The ABL credit agreement also includes amounts available for letters of credit. As of October 31, 2020, there were outstanding trade and standby letters of credit amounting to $5.8 million and $3.9 million, respectively.</w:t>
      </w:r>
    </w:p>
    <w:p>
      <w:pPr>
        <w:sectPr>
          <w:pgSz w:w="11900" w:h="16838" w:orient="portrait"/>
          <w:cols w:equalWidth="0" w:num="1">
            <w:col w:w="9019"/>
          </w:cols>
          <w:pgMar w:left="1440" w:top="517" w:right="1440"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$4.8 million related to the ABL Credit Agreement. The Company has a total of $7.7 million debt issuance costs related to its ABL Credit Agreement. As permitted under ASC 2015-15, the debt issuance costs have been deferred and are presented as an asset which is to be subsequently amortized ratably over the term of the ABL Credit Agreement.</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under these loans. Interest on the outstanding principal amount of the unsecured loans accrues at a fixed rate equal to 0% to 2.0% per annum, payable on either a quarterly or monthly basis. Certain unsecured loans will require monthly installment payments beginning in fiscal 2022. The unsecured loans have maturity dates ranging from September 15, 2024 through August 30, 2025. As of October 31, 2020, TRB had an aggregate outstanding balance of €6.2 million under these various unsecured loans.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the second quarter of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2020, TRB had an aggregate of €2.5 million drawn under these various facilities.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10 –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and Vilebrequin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trademarks owned by the Company. As of October 31, 2020, revenues from license agreements represented an insignificant portion of wholesale revenues.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 xml:space="preserve">Retail Operations Segment. </w:t>
      </w:r>
      <w:r>
        <w:rPr>
          <w:rFonts w:ascii="Arial" w:cs="Arial" w:eastAsia="Arial" w:hAnsi="Arial"/>
          <w:sz w:val="16"/>
          <w:szCs w:val="16"/>
          <w:color w:val="auto"/>
        </w:rPr>
        <w:t>Retail store revenues are generated by direct sales to consumers through company-operated</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Retail operations segment revenues are recognized at the point of sale when the customer takes possession of the goods and tenders payment. Digital-based revenues primarily consist of sales to consumers through the Company’s digital platforms. Digital-based revenue is recognized when a customer takes possession of the goods. Retail sales are recorded net of applicable sales tax. As a result of the restructuring of the Company’s retail operations, the Company is in the process of closing all of its Wilsons Leather and G.H. Bass retail stores which is expected to be completed by the end of fiscal 2021. After completion of the restructuring, the Company’s retail operations segment will consist of DKNY and Karl Lagerfeld Paris stores, as well as the digital channels for DKNY, Donna Karan, Karl Lagerfeld Paris, Andrew Marc, Wilsons Leather and G.H. Bass.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$4.1 million, $5.4 million and $5.9 million at October 31, 2020, October 31, 2019 and January 31, 2020, respectively. The Company recognized $2.1 million in revenue for the three months ended October 31, 2020 related to contract liabilities that existed at July 31, 2020. The Company recognized $4.3 million in revenue for the nine months ended October 31, 2020 related to contract liabilities that existed at January 31, 2020. There were no contract assets recorded as of October 31, 2020, October 31, 2019 and January 31, 2020. Substantially all of the advance payments from licensees as of October 31, 2020 are expected to be recognized as revenue within the next twelve months.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11 – Segments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consisting primarily of Wilsons Leather, G.H. Bass and DKNY stores, substantially all of which are operated as outlet stores. Sales through Company-owned channels, with the exception of Vilebrequin, are also included in the retail operations segment. As a result of the restructuring of the Company’s retail operations, the Company is in the process of closing all of its Wilsons Leather and G.H. Bass retail stores which is expected to be completed by the end of fiscal 2021. After completion of the restructuring, the Company’s retail operations segment will consist of DKNY and Karl Lagerfeld Paris stores, as well as the digital channels for DKNY, Donna Karan, Karl Lagerfeld Paris, Andrew Marc, Wilsons Leather and G.H. Bass.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 and nine-month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5"/>
              </w:rPr>
              <w:t>Three Months Ended October 31, 2020</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783,030</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(14,451)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826,561</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504,919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38,338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(14,451)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528,806</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278,111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297,755</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43,575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177,625</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Asset impairments, net of gain on lease modifications</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110,060</w:t>
            </w:r>
          </w:p>
        </w:tc>
        <w:tc>
          <w:tcPr>
            <w:tcW w:w="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Three Months Ended October 31, 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1,067,858</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89,671</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(29,126)</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1,128,403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713,063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45,447</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(29,126)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729,384</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399,019</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190,166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156,881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October 31, 2020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1,428,711</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126,397</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(26,204)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1,528,904</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914,900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(26,204)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972,055</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556,849</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323,377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130,970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454,347</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Asset impairments, net of 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17,372</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October 31, 2019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2,227,404</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255,282</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(76,839)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2,405,847</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1,480,678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(76,839)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1,538,995</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866,852</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478,964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165,923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644,887</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8"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2020</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2019</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31, 2020</w:t>
            </w:r>
          </w:p>
        </w:tc>
      </w:tr>
      <w:tr>
        <w:trPr>
          <w:trHeight w:val="142"/>
        </w:trPr>
        <w:tc>
          <w:tcPr>
            <w:tcW w:w="4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1,912,175</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348,898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272,832</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334,916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380,130</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2,469,416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2,928,607</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2,565,137</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12 – Stockholders’ Equity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three months ended October 31, 2020, the Company issued no shares of common stock and utilized no shares of treasury stock in connection with the vesting of equity awards. For the three months ended October 31, 2019, the Company issued no shares of common stock and utilized 80,353 shares of treasury stock in connection with the vesting of equity awards. For the nine months ended October 31, 2020, the Company issued no shares of common stock and utilized 349,342 shares of treasury stock in connection with the vesting of equity awards. For the nine months ended October 31, 2019, the Company issued 8,851 shares of common stock and utilized 435,703 shares of treasury stock in connection with the vesting of equity awards.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13 – Income Taxes</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recorded income tax expense of $28.4 million and $8.4 million for the three and nine months ended October 31, 2020, respectively. The Company recorded income tax expense of $35.6 million and $42.5 million for the three and nine months ended October 31, 2019, respectively. The Company’s effective tax rate increased this quarter compared to the prior year’s comparable quarter primarily due to a substantial decrease in the Company’s worldwide income and an increase in the valuation allowance related to the stand-alone net operating losses of the Company’s retail operations. In addition, the effective tax rate increased due to a discrete income tax charge in connection with the vesting of equity awards. Historically, the Company calculated the provision for income taxes during interim reporting periods by applying an estimate of the annual effective tax rate for income for the entire year, excluding unusual or discrete items, to the reporting period. Due to the uncertainty related to the impact of the COVID-19 pandemic on the Company’s operations, the Company used a discrete effective tax rate method to calculate income taxes for the first and second quarters of fiscal 2021. However, due to the change in pre-tax income in the third quarter of fiscal 2021, the Company has an equitable projection of the full year income and returned to the historical practice of using an annual effective tax rate based on full year fiscal year income.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14 – Canadian Customs Duty Examination</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2" w:lineRule="exact"/>
        <w:rPr>
          <w:sz w:val="20"/>
          <w:szCs w:val="20"/>
          <w:color w:val="auto"/>
        </w:rPr>
      </w:pPr>
    </w:p>
    <w:p>
      <w:pPr>
        <w:ind w:left="60" w:right="79" w:hanging="10"/>
        <w:spacing w:after="0" w:line="260" w:lineRule="auto"/>
        <w:tabs>
          <w:tab w:leader="none" w:pos="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Canada to the vendor. The CBSA has also requested that G-III Canada change the valuation method used to pay duties with respect to goods imported in the future.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and nine months ended October 31, 2020, related to the higher dutiable values. Cumulative amounts paid and deferred through October 31, 2020, related to the higher dutiable values, were CAD$12.9 million ($9.7 million).</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CBSA has issued its preliminary decision expressing its intention to deny the appeal filed by G-III Canada. G-III Canada has responded to the CBSA’s preliminary decision letter to correct facts in the letter that G-III Canada believes to be inaccurate. G-III Canada is awaiting the final decision of the CBSA and is evaluating prospects for a further appeal should the final decision remain unfavorable.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valuations for duty as declared and therefore its ability to receive a refund of amounts claimed to be owed to the CBSA on appeal and intends to vigorously contest the findings of the CBSA.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15 – Recent Adopted and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This pronouncement changed how entities account for credit impairment for trade and other receivables, as well as for certain financial assets and other instruments. ASU 2016-13 replaced the “incurred loss” model with an “expected loss” model. Under the “incurred loss” model, a loss (or allowance) was recognized only when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 event had occurred (such as a payment delinquency) that caused the entity to believe that a loss was probable (i.e., that it had been “incurred”). Under the “expected loss” model, an entity recognizes a loss (or allowance) upon initial recognition of the asset that reflects all future events that may lead to a loss being realized, regardless of whether it is probable that the future event will occur. The “incurred loss” model considered past events and current conditions, while the “expected loss” model includes expectations for the future which have yet to occur. The Company adopted ASU 2016-16 as of February 1, 2020. The adoption of this standard did not result in a material change to the Company’s condensed consolidated financial statements.</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made a number of changes meant to add, modify or remove certain disclosure requirements associated with the movement among or hierarchy associated with Level 1, Level 2 and Level 3 fair value measurements. The amendments in ASU 2018-13 modified the disclosure requirements with respect to fair value measurements based on the concepts in FASB Concepts Statement, Conceptual Framework for Financial Reporting—Chapter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have been applied prospectively in the initial fiscal year of adoption. All other amendments have been applied retrospectively to all periods presented in the initial year of adoption. The Company adopted the standard effective February 1, 2020. The adoption of this standard did not result in a material change to the Company’s condensed consolidated financial statements.</w:t>
      </w:r>
    </w:p>
    <w:p>
      <w:pPr>
        <w:spacing w:after="0" w:line="17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which addresses the accounting for implementation costs incurred in a cloud computing arrangement (“CCA”) that is a service contract. ASU 2018-15 aligned the accounting for costs incurred to implement a CCA that is a service arrangement with the guidance on capitalizing costs associated with developing or obtaining internal-use software. Specifically, ASU 2018-15 amended ASC 350 to include in its scope implementation costs of a CCA that is a service contract and clarifies that a customer should apply ASC 350-40 to determine which implementation costs should be capitalized in a CCA that is considered a service contract. The Company adopted the standard effective February 1, 2020. The adoption of this standard did not result in a material change to the Company’s condensed consolidated financial statements.</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2020, the FASB issued ASU 2020-04, Reference Rate Reform (“ASC 848”): Facilitation of the Effects of Reference Rate Reform on Financial Reporting. The standard is intended to provide optional expedients and exceptions for applying GAAP to contract modifications and hedging relationships, subject to meeting certain criteria that reference LIBOR or another rate that is expected to be discontinued. The guidance was effective upon issuance, and may be applied prospectively through December 31, 2022. The adoption of this standard did not result in a material change to the Company’s condensed consolidated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condensed consolidated financial statements.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16 – Subsequent Events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Fabco</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Fabco was 49% owned by the Company through November 30, 2020. Effective December 1, 2020, the Company acquired an additional ownership interest in Fabco for nominal consideration, resulting in an increase of its ownership interest in Fabco to 75%. Effective December 1, 2020, Fabco is a consolidated majority-owned subsidiary of the Company. Prior to December 1, 2020, the Company accounted for its investment in Fabco using the equity method of accounting. Fabco operates the Company’s DKNY business in China.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Unless the context otherwise requires, “G-III,” “us,” “we” and “our” refer to G-III Apparel Group, Ltd. and its subsidiaries. References to fiscal years refer to the year ended or ending on January 31 of that year. For example, our fiscal year ending January 31, 2021 is referred to as “fiscal 2021.”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nine-month period ended October 31, 2020, the results of Vilebrequin, KLH, KLNA and Fabco are included for the nine-month period ended September 30, 2020. We account for our investment in each of KLH, KLNA and Fabco using the equity method of accounting. The Company’s retail operations segment uses a 52/53-week fiscal year. The Company’s three and nine-month periods ended October 31, 2020 and 2019 were each 13-week and 39-week periods, respectively, for the retail operations segment. For fiscal 2021 and 2020, the three and nine month periods for the retail operations segment ended on October 31, 2020 and November 2, 2019 respectively.</w:t>
      </w:r>
    </w:p>
    <w:p>
      <w:pPr>
        <w:spacing w:after="0" w:line="17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jc w:val="both"/>
        <w:ind w:left="720" w:right="79" w:hanging="319"/>
        <w:spacing w:after="0" w:line="26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outbreak of COVID-19 and its numerous adverse effects, including the temporary closing of stores and shopping malls and subsequent restrictions on the operation of stores and malls, the reduction of consumer purchases of the types of products we sell, the impact on our supply chain, restrictions on travel and group gatherings and the general material adverse effect on the economy in the U.S. and around the world caused by the COVID-19 pandemic, all of which negatively impact our business, sales and results of operations;</w:t>
      </w:r>
    </w:p>
    <w:p>
      <w:pPr>
        <w:spacing w:after="0" w:line="2" w:lineRule="exact"/>
        <w:rPr>
          <w:rFonts w:ascii="Arial" w:cs="Arial" w:eastAsia="Arial" w:hAnsi="Arial"/>
          <w:sz w:val="17"/>
          <w:szCs w:val="17"/>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recent adoption of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the restructuring of our retail operations, as well as the impact on our business and financial statements resulting from any related costs and charges which may be dilutive to our earnings;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business and financial statements related to the early closure of stores or the termination of long-term leases;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the current economic and credit environment on us, our customers, suppliers and vendors;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online retailers;</w:t>
      </w:r>
    </w:p>
    <w:p>
      <w:pPr>
        <w:spacing w:after="0" w:line="23"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redefinition of the retail store landscape in light of widespread retail store closings, the bankruptcy of a number of prominent retailers and the impact of online apparel purchases and innovations by online retailers;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 effect on the price of our common stock if actual results are worse than financial forecasts; and</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II—Other Information in (i) our Quarterly Report on Form 10-Q for the period ended July 31, 2020 under the heading “Item 1A. Risk Factors” and (ii) this Quarterly Report under the heading “Item 1A. Risk Factors.” We undertake no obligation to publicly update or revise any forward-looking statements, whether as a result of new information, future events or otherwise, except as required by law.</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Refinancing of our Term Loan and Revolving Credit Facility</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7, 2020, we completed a private debt offering of $400 million aggregate principal amount of our 7.875% Senior Secured Notes due 2025 (the “Notes). The net proceeds of the Notes have been used (i) to repay our prior term loan facility due 2022, (ii) to pay related fees and expenses and (iii) for general corporate purposes. The Notes bear interest at a rate of 7.875% per year payable semi-annually in arrears on February 15 and August 15 of each year, commencing on February 15, 2021.</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Also on August 7, 2020, we entered into the second amended and restated credit agreement (the “ABL Credit Agreement”) The ABL Credit Agreement is a five year senior secured credit facility and provides for borrowings in the aggregate principal amount of up to $650 million. The ABL Credit Agreement refinances, amends and restates our prior Amended Credit Agreement which provided for borrowings of up to $650 million and was due to expire in December 2021.</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a description of the Notes, the ABL Credit Agreement and our other debt instruments, see “Liquidity and Capital Resources” under this Item 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Restructuring of Our Retail Operations Segment</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June 2020, we announced a restructuring of our retail operations segment, including the closing of all Wilsons Leather and G.H. Bass stores. Additionally, we are closing our Calvin Klein Performance stores. We hired Hilco Global to assist in the liquidation of these stores. We anticipate that the store closings will be completed by the end of fiscal 2021.</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After completion of the restructuring, our retail operations segment will consist of DKNY and Karl Lagerfeld Paris stores, as well as the digital channels for DKNY, Donna Karan, Karl Lagerfeld Paris, Andrew Marc, Wilsons Leather and G.H. Bass. Part of our restructuring plan includes making significant changes to our DKNY and Karl Lagerfeld retail operations. In addition to the stores operated as part of our retail operations segment, as of October 31, 2020, Vilebrequin products were distributed through 101 company-operated stores and owned digital channels in Europe and the United States, as well as through 69 franchised locations.</w:t>
      </w:r>
    </w:p>
    <w:p>
      <w:pPr>
        <w:spacing w:after="0" w:line="19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6"/>
          <w:szCs w:val="16"/>
          <w:color w:val="auto"/>
        </w:rPr>
        <w:t>In connection with the restructuring of our retail operations, we expect to incur an aggregate charge of approximately $100 million related to store operating costs, landlord termination fees, severance costs, store liquidation and closing costs, write-offs related to right-of-use assets and legal and professional fees. We recorded $2.2 million of this charge during the nine months ended October 31, 2020, consisting primarily of severance payments, benefit continuation costs and store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closing costs. We expect the net cash outflow as a result of the retail restructuring to be approximately $65 million. We believe that this restructuring plan will enable us to greatly reduce our retail losses and to ultimately position this segment to become profitable.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Outbreaks of COVID-19 were detected beginning in December 2019 and, in March 2020, the World Health Organization declared COVID-19 a pandemic. The President of the United States has declared a national emergency as a result of the COVID-19 pandemic. Federal, state and local governments and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COVID-19 pandemic has had multiple impacts on our business, including, but not limited to, the temporary closure of our customers’ stores and closures of our own stores in North America, disruption to both international and domestic tourism and disruption to consumer shopping habits. The COVID-19 pandemic has impacted our business operations and results of operations throughout fiscal 2021 resulting in lower sales and profitability. COVID-19 could continue to have an adverse impact on our results of operations and liquidity, the operations of our suppliers, vendors and customers, and on our employees as a result of quarantines, facility closures, and travel and logistics restrictions. Even as businesses began to reopen as governmental restrictions were loosened with respect to stay at home orders and previously closed businesses, the ultimate economic impact of the COVID-19 pandemic is highly uncertain. We expect that our business operations and results of operations, including our net sales, earnings and cash flows, will be materially adversely impacted for at least the balance of fiscal 2021.</w:t>
      </w:r>
    </w:p>
    <w:p>
      <w:pPr>
        <w:spacing w:after="0" w:line="18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During this crisis we are focused on protecting the health and safety of our employees, our customers, and our communities. We have taken precautionary measures intended to help minimize the risk of COVID-19 to our employees, including temporarily requiring employees to work remotely. Requiring our employees to work remotely may disrupt our operations or increase the risk of a cybersecurity incident.</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Certain of our retail partners have publicized actual or potential bankruptcy filings or other liquidity issues that could impact our anticipated income and cash flows, as well as require us to record additional accounts receivable reserves. In addition, we could be required to record increased excess and obsolete inventory reserves due to decreased sales or noncash impairment charges related to our intangible assets or goodwill due to reduced market values and cash flows. Further, a more promotional retail environment may cause us to lower our prices or sell existing inventory at larger discounts than in the past, negatively impacting our margins.</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There is significant uncertainty around the breadth and duration of business disruptions related to the COVID-19 pandemic, as well as its impact on the U.S. and global economies and on consumer willingness to visit stores as they re-open. Consumer businesses have re-opened in most areas of the United States under governmental social distancing and other restrictions that are expected to limit the scope of operations for an unknown period of time compared to pre-COVID-19 business operations. These restrictions are expected to adversely impact sales even as retail stores are open again. The extent to which COVID-19 impacts our results will depend on continued developments in the public and private responses to the pandemic. The continued impact of COVID-19 remains highly uncertain and cannot be predicted. New information may emerge concerning the severity of the outbreak and the actions taken to contain COVID-19 or treat its impact may change or become more restrictive as additional waves of infections occur, or continue to occur, as a result of the loosening of governmental restrictions.</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focused on preserving liquidity and managing cash flow during these unprecedented conditions. We have taken preemptive actions to enhance our ability to meet our short-term liquidity needs, including, but not limited to, reducing payroll costs through employee furloughs, job eliminations, salary reductions, reductions in marketing and other discretionary spending, deferring certain lease payments and deferral of capital projects. During the quarter ended October 31, 2020, certain furloughed employees were reinstated and salaries that had been reduced were increased to their pre-pandemic levels. We have received royalty relief from certain licensors and we continues to negotiate with licensors for additional relief.</w:t>
      </w:r>
    </w:p>
    <w:p>
      <w:pPr>
        <w:sectPr>
          <w:pgSz w:w="11900" w:h="16838" w:orient="portrait"/>
          <w:cols w:equalWidth="0" w:num="1">
            <w:col w:w="9019"/>
          </w:cols>
          <w:pgMar w:left="1440" w:top="517"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Due to the impact of the COVID-19 pandemic on our operations, we performed a quantitative test of our goodwill as of April 30, 2020 using an income approach through a discounted cash flow analysis methodology. The discounted cash flow approach requires that certain assumptions and estimates be made regarding industry economic factors and future profitability. We also performed quantitative tests of each of our indefinite-lived intangible assets using a relief from royalty method, another form of the income approach. The relief from royalty method requires assumptions regarding industry economic factors and future profitability. While no impairment was identified as of April 30, 2020 as a result of these tests, $370.0 million of our indefinite-lived trademarks could be deemed to have a risk of future impairment as there is limited excess fair value over the carrying value of the assets at October 31, 2020. During the third quarter of 2020, we conducted a review to assess whether indicators of impairment existed. As a result of this review, we concluded that no indicators existed that would make management believe it is more likely than not that the fair value of its goodwill or indefinite-lived trademarks is less than its carrying value. The continued impact of the COVID-19 pandemic could give rise to global and regional macroeconomic factors that could impact our assumptions relating to net sales growth rates, discount rates, tax rates or royalty rates and may result in future impairment charges for indefinite-lived intangible assets.</w:t>
      </w:r>
    </w:p>
    <w:p>
      <w:pPr>
        <w:spacing w:after="0" w:line="17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believe that we have sufficient cash and availability under our ABL Credit Agreement to meet our liquidity needs. As of October 31, 2020, we had cash of approximately $149.7 million and availability of over $600.0 million under our ABL Credit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Fabco</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Fabco Holding B.V (“Fabco”) is a Dutch joint venture limited liability company that was 49% owned by us through November 30, 2020. Effective December 1, 2020, we acquired an additional ownership interest in Fabco for nominal consideration, resulting in an increase of our ownership interest in Fabco to 75%. Effective December 1, 2020, Fabco is a consolidated majority-owned subsidiary of ours. Prior to December 1, 2020, we accounted for our investment in Fabco using the equity method of accounting. Fabco operates our DKNY business in China.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own proprietary brands include DKNY, Donna Karan, Vilebrequin, G.H. Bass, Eliza J, Jessica Howard, Andrew Marc and Marc New York.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believe that the international sales and profit opportunity is quite significant for our DKNY and Donna Karan businesses. We are also expanding our DKNY business globally through our distribution partners in key regions. The key international markets in which our DKNY merchandise is currently distributed include the Middle East, Russia, Indonesia, the Philippines, South East Asia and South Korea, as well as in China where we operate through a joint venture. Continued growth, brand development and marketing in these key markets is critical to driving global brand recognition.</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15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retail operations segment historically consisted primarily of direct sales to consumers through our company-operated stores. Prior to our restructuring of this segment, it was composed primarily of Wilsons Leather, G.H. Bass and DKNY stores, substantially all of which are operated as outlet stores, as well as a smaller number of Karl Lagerfeld Paris and Calvin Klein Performance stores. After completion of the restructuring which is expected to occur by the end of fiscal 2021, our retail operations segment will consist of DKNY and Karl Lagerfeld Paris stores, as well as the digital channels for DKNY, Donna Karan, Karl Lagerfeld Paris, Andrew Marc, Wilsons Leather and G.H. Bass. Our ongoing plan for our retail business focuses on the operations and growth of our DKNY and Karl Lagerfeld Paris stores, as well as our digital business. Our plan is based on the assumed continued strength of the DKNY and Karl Lagerfeld brands, improved store productivity, changes in planning and allocation and improvements in gross margin and payroll leverage.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 The effects of the COVID-19 pandemic have accelerated these trends.</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digital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digital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 number of retailers are experiencing financial difficulties, which in some cases have resulted in bankruptcies, liquidations and/or store closings, such as the announced store closing plans for Macy’s, the bankruptcy and announced liquidation of Century 21 and Lord &amp; Taylor, the announced bankruptcy filings of JC Penney, Neiman Marcus and other retailers and the potential bankruptcy of additional retailers.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Consumers have shifted their apparel purchases based on their adjusted lifestyle needs resulting from changes to the work environment and leisure activities caused by the COVID-19 pandemic. We have revised our product offerings in response to this shift toward casual and comfortable work-from-home clothing, as well as to activewear and leisure attire. We continue to revise our product lines to satisfy the needs of our retail customers and consumers.</w:t>
      </w:r>
    </w:p>
    <w:p>
      <w:pPr>
        <w:sectPr>
          <w:pgSz w:w="11900" w:h="16838" w:orient="portrait"/>
          <w:cols w:equalWidth="0" w:num="1">
            <w:col w:w="9019"/>
          </w:cols>
          <w:pgMar w:left="1440" w:top="51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Tariffs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followed an earlier proposal by the United States government that would have imposed 25% tariffs on the balance of inbound trade from China, but that were suspended pending trade negotiations with China. In January 2020, the U.S. and China signed their Phase One Deal that rolled back certain tariffs and postponed certain tariffs that had been scheduled to go into effect on December 15, 2020.</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It is difficult to accurately estimate the impact on our business from these tariff actions or similar actions or when additional tariffs may become effective. For fiscal 2019, approximately 61% of the products that we sold were manufactured in China. For fiscal 2020, approximately 50% of the products that we sold were manufactured in China.</w:t>
      </w:r>
    </w:p>
    <w:p>
      <w:pPr>
        <w:spacing w:after="0" w:line="16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Notwithstanding the Phase One Deal, the United States government continues to negotiate with China with respect to a trade deal, which could lead to the removal or postponement of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October 31, 2020 compared to three months ended October 31, 2019</w:t>
      </w:r>
    </w:p>
    <w:p>
      <w:pPr>
        <w:spacing w:after="0" w:line="15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sales for the three months ended October 31, 2020 decreased to $826.6 million from $1.13 billion in the same period last year. Net sales of our segments are reported before intercompany eliminations.</w:t>
      </w:r>
    </w:p>
    <w:p>
      <w:pPr>
        <w:spacing w:after="0" w:line="103"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Net sales of our wholesale operations segment decreased to $783.0 million for the three months ended October 31, 2020 from $1.07 billion in the comparable period last year. We experienced a significant decrease in net sales across substantially all of our brands due to the effects of restrictions on business and personal activities imposed by governments in connection with the COVID-19 pandemic. Most of our retail partners began to reopen a majority of their stores in North America beginning in June 2020, including our largest customer, Macy’s. However, a majority of these stores continue to operate under government mandated social distancing restrictions as the COVID-19 pandemic continues to affect large portions of North America. The governmental restrictions imposed in connection with the COVID-19 pandemic have resulted in significant increases in unemployment, a reduction in business activity and a reduction in consumer spending on apparel and accessories, all of which contributed to the reduction of our net sales which occurred throughout the three month period.</w:t>
      </w:r>
    </w:p>
    <w:p>
      <w:pPr>
        <w:sectPr>
          <w:pgSz w:w="11900" w:h="16838" w:orient="portrait"/>
          <w:cols w:equalWidth="0" w:num="1">
            <w:col w:w="9019"/>
          </w:cols>
          <w:pgMar w:left="1440" w:top="517"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Net sales of our retail operations segment were $58.0 million for the three months ended October 31, 2020 compared to $89.7 million in the same period last year. This decrease primarily reflected reduced demand as a result of disruptions related to COVID-19. Same store sales decreased across all store brands due to the COVID-19 related store closures. In addition, the decrease in domestic and international tourism resulting from COVID-19 travel restrictions also had a negative impact on net sales of our retail operations segment. As we proceeded to liquidate inventory and close stores in connection with the restructuring of our retail operations segment, net sales were also negatively impacted by significant promotional activity from liquidation sales. Net sales of our retail operations segment were also negatively affected by the decrease in the number of stores operated by us from 288 at October 31, 2019 to 202 at October 31, 2020. The number of retail stores operated by us and, as a result, the net sales of our retail operations segment will be reduced significantly as a result of the restructuring of our retail operations segment.</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Gross profit was $297.8 million, or 36.0% of net sales, for the three months ended October 31, 2020, compared to $399.0 million, or 35.4% of net sales, in the same period last year. The gross profit percentage in our wholesale operations segment was 35.5% in the three months ended October 31, 2020 compared to 33.2% in the same period last year. The gross profit percentage for our wholesale segment was positively impacted by the reversal of previously anticipated markdown accruals that are no longer necessary due to the reduction in sales to our retail customers. The gross profit percentage in our retail operations segment was 33.9% for the three months ended October 31, 2020 compared to 49.3% for the same period last year. The gross profit percentage for our retail segment was negatively impacted by the liquidation of inventory in our Wilsons Leather and G.H. Bass stores as we exit these businesses.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Selling, general and administrative expenses decreased to $177.6 million in the three months ended October 31, 2020 from $246.6 million in the same period last year. The decrease in expenses was primarily due to a decrease of $38.3 million in personnel costs including salaries, bonuses, share-based compensation and other incentives and benefits as a result of employee furloughs, job eliminations and decreased profitability, as well as temporary salary reductions implemented by us in response to the impact of the COVID-19 pandemic on our operations. Salaries were reinstated to pre-pandemic levels towards the end of our third fiscal quarter. In addition, there were decreases of $16.3 million in advertising, $5.8 million in facility expenses and $4.8 million in third-party warehouse expenses. These decreases were partially offset by a $4.2 million increase in bad debt expense related to allowances recorded against the outstanding receivables of certain department store customers that have publicly announced bankruptcy filings or potential bankruptcy filings and $3.1 million of professional fees incurred in connection with the restructuring of our retail operations segment. Selling, general and administrative expenses was further reduced as a result of the restructuring of our retail operations segment. This reduction was offset, in part, as a result of bringing back certain furloughed employees in our wholesale operations segment during the three months ended October 31, 2020 as we responded to the re-opening of the U.S. economy.</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Depreciation and amortization was $10.2 million for the three months ended October 31, 2020 compared to $9.7 million in the same period last year.</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Other income was $0.2 million in the three months ended October 31, 2020 compared to other income of $0.7 million for the same period last year. This change is the result of recording $0.3 million of foreign currency losses during the three months ended October 31, 2020 compared to foreign currency losses of $0.2 million during the three months ended October 31, 2019 and $0.5 million in income from unconsolidated affiliates during the three months ended October 31, 2020 compared to $0.8 million of income from unconsolidated affiliates in the same period last year.</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Interest and financing charges, net, for the three months ended October 31, 2020 were $18.7 million compared to $12.5 million for the same period last year. The increase is primarily due to a $6.5 million charge to interest expense to extinguish debt issuance costs upon the repayment of our term loan facility and amendment of our revolving credit facility.</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Income tax expense was $28.4 million for the three months ended October 31, 2020 compared to $35.6 million for the same period last year. Our effective tax rate increased to 31.0% in the current year’s quarter from 27.2% in last year’s comparable quarter because the impact of tax adjustments related to executive compensation, foreign tax expense and disallowed state tax benefits on losses incurred had a greater impact on the lower amount of pre-tax income in the current quarter compared to last year’s quarter.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October 31, 2020 compared to nine months ended October 31, 2019</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sales for the nine months ended October 31, 2020 decreased to $1.53 billion from $2.41 billion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Net sales of our wholesale operations segment decreased to $1.43 billion for the nine months ended October 31, 2020 from $2.23 billion in the comparable period last year.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including our largest customer, Macy’s. Most of our retail partners began to reopen a majority of their stores in North America beginning in June 2020. However, a majority of these stores continue to operate under governmental mandated social distancing restrictions as the COVID-19 pandemic continues to affect large portions of North America. The governmental restrictions imposed in connection with the COVID-19 pandemic have resulted in significant increases in unemployment, a reduction in business activity and a reduction in consumer spending on apparel and accessories, all of which contributed to the reduction of our net sales which occurred during the majority of the nine month period.</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Net sales of our retail operations segment were $126.4 million for the nine months ended October 31, 2020 compared to $255.3. million in the same period last year. This decrease primarily reflected reduced demand as a result of disruptions related to COVID-19. Same store sales decreased across all store brands due to the COVID-19 related store closures and reduced store traffic. In addition, the decrease in domestic and international tourism resulting from COVID-19 travel restrictions also had a negative impact on net sales of our retail operations segment. As we proceeded to liquidate inventory and close stores in connection with the restructuring of our retail operations segment during the second quarter of the current fiscal year, net sales were also negatively impacted by significant promotional activity from liquidation sales. Net sales of our retail operations segment were also negatively affected by the decrease in the number of stores operated by us from 288 at October 31, 2019 to 202 at October 31, 2020. The number of retail stores operated by us and, as a result, the net sales of our retail operations segment will be reduced significantly as a result of the restructuring of our retail operations segment.</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Gross profit was $556.8 million, or 36.4% of net sales, for the nine months ended October 31, 2020, compared to $866.9 million, or 36.0% of net sales, in the same period last year. The gross profit percentage in our wholesale operations segment was 36.0% in the nine months ended October 31, 2020 compared to 33.5% in the same period last year. The gross profit percentage for our wholesale segment was positively impacted by the reversal of previously anticipated markdown accruals that are no longer necessary due to the reduction in sales to our retail customers. This positive impact was partially offset by the impact of the COVID-19 pandemic resulting in the recognition of certain fixed costs, primarily higher effective royalty rates, over a reduced sales base. The gross profit percentage in our retail operations segment was 34.0% for the nine months ended October 31, 2020 compared to 47.1% for the same period last year. The gross profit percentage for our retail segment was negatively impacted by the reduction of our net sales caused by COVID-19 related closures of our retail stores, increased promotional activity due to the COVID-19 pandemic and the restructuring of our retail operations segment.</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Selling, general and administrative expenses decreased to $454.3 million in the nine months ended October 31, 2020 from $644.9 million in the same period last year. The decrease in expenses was primarily due to a decrease of $130.8 million in personnel costs including salaries, bonuses, share-based compensation and other incentives and benefits as a result of employee furloughs, job eliminations and decreased profitability. In addition, there were decreases of $36.1 million in advertising, $8.8 million in rent and facility costs and $14.3 million in third-party warehouse expenses. These decreases were offset, in part, by a $14.6 million increase in bad debt expense primarily related to allowances recorded against the outstanding receivables of certain department store customers that have publicly announced bankruptcy filings or potential bankruptcy filings and $4.3 million of professional fees incurred in connection with the restructuring of our retail operations segment. Selling, general and administrative expenses were further reduced as a result of the restructuring of our retail operations segment. This reduction was offset, in part, as a result of bringing back certain furloughed employees in our wholesale operations segment as we responded to the re-opening of the U.S. economy.</w:t>
      </w:r>
    </w:p>
    <w:p>
      <w:pPr>
        <w:spacing w:after="0" w:line="17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Depreciation and amortization was $29.7 million for the nine months ended October 31, 2020 compared to $29.0 million in the same period last year. The increase in expense is primarily due to capital expenditures during the last twelve months.</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Other income was $0.1 million in the nine months ended October 31, 2020 compared to other loss of $0.7 million for the same period last year. This increase is primarily the result of recording $0.2 million of foreign currency losses during the nine months ended October 31, 2020 compared to $1.1 million of foreign currency losses during the nine months ended October 31, 2019. In addition, we recorded $0.3 million in losses from unconsolidated affiliates during the nine months ended October 31, 2020 compared to $0.4 million of losses from unconsolidated affiliates in the same period last year.</w:t>
      </w:r>
    </w:p>
    <w:p>
      <w:pPr>
        <w:spacing w:after="0" w:line="16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Interest and financing charges, net, for the nine months ended October 31, 2020 were $38.2 million compared to $33.6 million for the same period last year. The increase is primarily due to a $6.5 million charge to interest expense to extinguish debt issuance costs upon the repayment of our term loan facility and amendment of our revolving credit facility.</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Income tax expense was $8.4 million for the nine months ended October 31, 2020 compared to $42.5 million for the same period last year. Our effective tax rate increased to 48.4% in the current year’s period from 26.4% in last year’s comparable period because the impact of tax adjustments related to executive compensation, foreign tax expense and disallowed state tax benefits on losses incurred had a greater impact on the lower amount of pre-tax income in the current period compared to last year’s period. Our effective tax rate includes the effect of an income tax charge of $1.4 million in the nine months ended October 31, 2020 and an income tax benefit of $1.0 million in the nine months ended October 31, 2019 in connection with the vesting of equity awards.</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Historically, we calculated our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we have used a discrete effective tax rate method to calculate taxes first and second quarters of fiscal 2021. However, during the third quarter of fiscal 2021, we returned to the historical practice of using an annual effective tax rate based on full year fiscal income.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Requirements and Trends and Uncertainties Affecting Liquidity</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rely on our cash flows generated from operations and the borrowing capacity under our revolving credit facility to meet the cash requirements of our business. The primary cash requirements of our business usually are the seasonal buildup in inventories, compensation paid to employees, payments to vendors in the normal course of business, capital expenditures, maturities of debt and related interest payments and income tax payments. The rapid expansion of the COVID-19 pandemic resulted in a sharp decline in net sales and net income in the nine months ended October 31, 2020, which has a corresponding impact on our liquidity. We are focused on preserving our liquidity and managing our cash flow during these unprecedented conditions. We had taken preemptive actions to enhance our ability to meet our short-term liquidity needs including, but not limited to, reducing payroll costs through employee furloughs, job eliminations, reductions in discretionary expenses, deferring certain lease payments and deferral of capital projects. During the quarter ended October 31, 2020, certain furloughed employees were reinstated and salaries that had been reduced where increased to their pre-pandemic levels. We have received royalty relief from certain licensors and we continue to negotiate with licensors for additional relief.</w:t>
      </w:r>
    </w:p>
    <w:p>
      <w:pPr>
        <w:spacing w:after="0" w:line="17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of October 31, 2020, we had cash and cash equivalents of $149.7 million and availability under our revolving credit facility in excess of $600.0 million. As of October 31, 2020, we were in compliance with all covenants under our senior secured notes and revolving credit facility.</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cannot be sure that our assumptions used to estimate our liquidity requirements will remain accurate due to the unprecedented nature of the disruption to our operations and the unpredictability of the COVID-19 outbreak. As a result, the impact of COVID-19 on our future earnings and cash flows could continue to have a material impact on our results of operations and financial condition depending on the duration and scope of the COVID-19 pandemic. We believe we have sufficient cash and available borrowings for our foreseeable liquidity needs.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6"/>
          <w:szCs w:val="16"/>
          <w:color w:val="auto"/>
        </w:rPr>
        <w:t>On August 7,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agent (the “Collateral Agent”). The net proceeds of the Notes have been used (i) to repay our prior term loan facility due 2022, (ii) to pay related fees and expenses and (iii) for general corporate purposes.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We incurred debt issuance costs totaling $8.5 million related to the Notes that will be amortized over the term of the Notes. In accordance with ASU 2015-15, the debt issuance costs have been deferred and are presented as a contra-liability, offsetting the outstanding balance of the Notes, and are amortized using the effective interest method over the remaining life of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August 7,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certain material indebtedness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to August 2025, subject to a springing maturity date if, subject to certain conditions, certain material indebtedness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7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October 31, 2020, the Company was in compliance with these covenants.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October 31, 2020, we had no borrowings outstanding under the ABL credit agreement. As of October 31, 2020, interest under the ABL credit agreement was being paid at an average rate of 2.05% per annum. The ABL credit agreement also includes amounts available for letters of credit. As of October 31, 2020, there were outstanding trade and standby letters of credit amounting to $5.8 million and $3.9 million, respectively.</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$4.8 million related to the ABL Credit Agreement. We have a total of $7.7 million debt issuance costs related to our ABL Credit Agreement. As permitted under ASC 2015-15, the debt issuance costs have been deferred and are presented as an asset which is to be subsequently amortized ratably over the term of the ABL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had previously borrowed $350.0 million under a senior secured term loan facility (the “Term Loan”) that was scheduled to mature in December 2022. We prepaid $50.0 million in principal amount of the Term Loan, reducing the principal balance of the Term Loan to $300.0 million.</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7, 2020, we used a portion of the proceeds from the issuance of the Notes to repay the outstanding principal balance of $300.0 million under the Term Loan. At the date of repayment, we had unamortized debt issuance costs of $6.1 million associated with the Term Loan. These debt issuance costs were fully extinguished and charged to interest expense in our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Interest on the outstanding principal amount of the unsecured loans accrues at a fixed rate equal to 0% to 2.0% per annum, payable on either a quarterly or monthly basis. Certain unsecured loans will require monthly installment payments beginning in fiscal 2022. The unsecured loans have maturity dates ranging from September 15, 2024 through August 30, 2025. As of October 31, 2020, TRB had an aggregate outstanding balance of €6.2 million under these various unsecured loans.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the second quarter of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2020, TRB had an aggregate €2.5 million drawn under these various facilities.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primary operating cash requirements usually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operating cash requirements have been borrowings under this credit facility and cash generated from operations. The reduction in net sales in the current year resulted in reductions in our seasonal inventory needs in the current year, and as a result, there were no borrowings outstanding under the ABL Credit Agreement as of October 31, 2020.</w:t>
      </w:r>
    </w:p>
    <w:p>
      <w:pPr>
        <w:spacing w:after="0" w:line="16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had no borrowings outstanding under our revolving credit facility at October 31, 2020 and had $279.9 million of borrowings outstanding at October 31, 2019. We had $400 million in borrowings outstanding under the Notes at October 31, 2020. Our contingent liability under open letters of credit was approximately $9.7 million and $7.0 million at October 31, 2020 and 2019, respectively. In addition to the amounts outstanding under these two loan agreements, at October 31, 2020 and 2019, we had $125.0 million of face value principal amount outstanding under the LVMH Note. As of October 31, 2020, we also had an aggregate of €6.2 million ($7.2 million) outstanding under Vilebrequin’s various Unsecured Loans and €2.5 million ($2.9 million) outstanding under the Overdraft Facilities.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had cash and cash equivalents of $149.7 million on October 31, 2020 and $55.8 million on October 31, 2019.</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October 31, 2020. We have 2,949,362 authorized shares remaining under this program. As of December 4, 2020, we had 48,358,688 shares of common stock outstanding.</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used $127.6 million in cash from operating activities during nine months ended October 31, 2020, primarily due to an increase of $190.8 million in accounts receivable and decreases of $113.0 million in customer refund liabilities and $61.8 million in operating lease liabilities. These items were offset, in part, by our net income of $8.9 million, and decreases of $90.1 million in inventories and $42.7 million in prepaid expenses and other current assets. In addition, we had non-cash charges of $29.7 million in depreciation and amortization and $59.6 million in operating lease costs.</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Inventory normally increases for the build-up of inventory for the fall shipping and holiday shopping seasons. Due to the COVID-19 pandemic, inventory purchasing was at a lower volume than in prior years. As a result, accounts payable and inventory decreased due to the lower volume of inventory purchases resulting from the COVID-19 pandemic. In addition, our customer refund liabilities decreased because we experienced lower sales levels and were able to reverse previously accrued amounts that are no longer needed.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used $16.4 million of cash in investing activities during nine months ended October 31, 2020 for capital expenditures and initial direct costs of operating lease assets. Capital expenditures in the period primarily related to infrastructure and information technology expenditures and additional fixturing costs at department stores prior to the onset of the COVID-19 pandemic. Operating lease assets initial direct costs in the period primarily related to payments of key money and broker fees.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provided by financing activities was $93.4 million during nine months ended October 31, 2020 primarily as a result of proceeds of $400 million from the issuance of our Notes partially offset by the $300 million repayment of our term loan facility from the proceeds of the Notes. We also made payments of $13.3 million in financing costs related to the issuance of our Notes and entering into the ABL Credit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accounting policies and related estimates described in our Annual Report on Form 10-K for the year ended January 31, 2020 are those that depend most heavily on these judgments and estimates. As of October 31, 2020, there have been no material changes to our critical accounting policies, other than the adoption ASU 2016-13 as discussed in Note 3 to the condensed consolidated financial statements included in this Quarterly Report on Form 10-Q.</w:t>
      </w:r>
    </w:p>
    <w:p>
      <w:pPr>
        <w:spacing w:after="0" w:line="1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2020.</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Quarterly Report on Form 10-Q for the quarter ended July 31, 2020 (the “Q2 Quarterly Report”), which could materially affect our business, financial condition and/or future results. There have been no material changes in our risk factors from those set forth in the Q2 Quarterly Report, except for the risk factor set forth below, which serves as an update to our risk factors contained in the Q2 Quarterly Report. The risks described in the Q2 Quarterly Report and this Quarterly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global health crisis caused by the COVID-19 pandemic has had, and the current and uncertain future outlook of the outbreak will likely continue to have, a significant adverse effect on our business, financial condition and results of operations.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 novel strain of coronavirus, commonly referred to as COVID-19, has spread rapidly across the globe beginning in December 2019, including throughout all major geographies in which we operate (North America, Europe and Asia), resulting in adverse economic conditions and business and global supply chain disruptions, as well as significant volatility in global financial markets. Governments worldwide have imposed varying degrees of preventative and protective actions, such as temporary travel bans, forced business closures and stay-at-home orders, all in an effort to reduce the spread of the virus. Such actions, among others, have resulted in a significant decline in retail traffic, tourism and consumer spending on discretionary items. Additionally, during this period of uncertainty, companies across a wide array of industries have implemented various initiatives to reduce operating expenses and preserve cash balances, including work furloughs and reduced pay, which could lower consumers’ disposable income levels or willingness to purchase discretionary items such as apparel. Further, even if such government restrictions and company initiatives are completely lifted, consumer behavior, spending levels and/or shopping preferences, such as willingness to congregate in shopping centers or other populated locations, could be adversely affected.</w:t>
      </w:r>
    </w:p>
    <w:p>
      <w:pPr>
        <w:spacing w:after="0" w:line="17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connection with the COVID-19 pandemic, we have experienced varying degrees of business disruptions and periods of closure of our stores, distribution centers and corporate facilities, as have our wholesale customers, suppliers and vendors. Our wholesale business has been adversely affected as a result of department store closures and lower traffic and consumer demand. During the first half of fiscal 2021, the majority of our stores were closed for an average of 8 to 10 weeks, resulting in significant adverse impacts to our operating results. Although nearly all of our stores were reopened by the end of the second quarter of fiscal 2021, the majority are still operating at limited hours and customer capacity levels in accordance with local health guidelines, with traffic remaining challenged. Additionally, there has recently been a resurgence in the number of cases of COVID-19 in the U.S. and certain other parts of the world, which could result in further shutdowns and business disruptions for us and/or our wholesale customers, suppliers and vendors.</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COVID-19 pandemic has had, and will likely continue to have, a significant adverse effect on our business, financial condition, and results of operations. The effects of COVID-19 could affect our ability to successfully operate in many ways, including, but not limited to, the following factors:</w:t>
      </w:r>
    </w:p>
    <w:p>
      <w:pPr>
        <w:spacing w:after="0" w:line="184" w:lineRule="exact"/>
        <w:rPr>
          <w:sz w:val="20"/>
          <w:szCs w:val="20"/>
          <w:color w:val="auto"/>
        </w:rPr>
      </w:pPr>
    </w:p>
    <w:p>
      <w:pPr>
        <w:jc w:val="both"/>
        <w:ind w:left="380" w:right="79" w:hanging="330"/>
        <w:spacing w:after="0" w:line="25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pandemic on the economies and financial markets of the countries and regions in which we operate, including a potential global recession, a decline in consumer confidence and spending, or a further increase in unemployment levels, has resulted, and could continue to result, in consumers having less disposable income and, in turn, decreased sales of our products;</w:t>
      </w:r>
    </w:p>
    <w:p>
      <w:pPr>
        <w:spacing w:after="0" w:line="2"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“shelter in place” and other similar mandated or suggested isolation protocols, which have disrupted, and could continue to disrupt, brick-and-mortar retailers, including stores operated by us, as a result of store closures or reduced operating hours and decreased retail traffic;</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significant increases in online shopping and by other digital means, or other changes in consumer behavior, have been</w:t>
      </w:r>
    </w:p>
    <w:p>
      <w:pPr>
        <w:spacing w:after="0" w:line="32" w:lineRule="exact"/>
        <w:rPr>
          <w:sz w:val="20"/>
          <w:szCs w:val="20"/>
          <w:color w:val="auto"/>
        </w:rPr>
      </w:pPr>
    </w:p>
    <w:p>
      <w:pPr>
        <w:ind w:left="4420" w:right="4099" w:hanging="4039"/>
        <w:spacing w:after="0" w:line="323" w:lineRule="auto"/>
        <w:rPr>
          <w:sz w:val="20"/>
          <w:szCs w:val="20"/>
          <w:color w:val="auto"/>
        </w:rPr>
      </w:pPr>
      <w:r>
        <w:rPr>
          <w:rFonts w:ascii="Arial" w:cs="Arial" w:eastAsia="Arial" w:hAnsi="Arial"/>
          <w:sz w:val="16"/>
          <w:szCs w:val="16"/>
          <w:color w:val="auto"/>
        </w:rPr>
        <w:t>accelerated by COVID-19 and could adversely affect our sales;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302895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55"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accessing debt and equity on attractive terms, or at all, and a severe disruption and instability in the global financial markets or deteriorations in credit and financing conditions may affect our ability to access capital necessary to operate our business</w:t>
      </w:r>
    </w:p>
    <w:p>
      <w:pPr>
        <w:spacing w:after="0" w:line="2"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prolonged disruption of our business may impact our ability to satisfy the terms of our Amended ABL Facility, including the covenants contained in that agreement, which could constitute an event of default under the terms of the Amended ABL Facility, which may result in an acceleration of payment under that agreement or other debt agreements;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attempting to reduce operating costs and conserve cash;</w:t>
      </w:r>
    </w:p>
    <w:p>
      <w:pPr>
        <w:spacing w:after="0" w:line="9"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our wholesale customers to whom we extend credit to pay amounts owed to us on time, or at all, particularly if such customers are significantly impacted by COVID-19;</w:t>
      </w: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more promotional retail environment or our ability to move existing inventory, which may cause us to lower our prices, sell existing inventory at larger discounts than in the past, or write-down the value of inventory, and increase the costs and expenses of updating and replacing inventory, negatively impacting our margins;</w:t>
      </w:r>
    </w:p>
    <w:p>
      <w:pPr>
        <w:jc w:val="both"/>
        <w:ind w:left="380" w:right="79" w:hanging="330"/>
        <w:spacing w:after="0" w:line="281"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risk that continued social distancing measures and general consumer behaviors due to the COVID-19 pandemic may continue to impact mall and store traffic and that the re-occurrence of COVID-19 outbreaks or the fear of additional outbreaks could cause governments to impose additional restrictions and customers to avoid public places, such as malls and outlets, where the retail stores of our wholesale customers and our stores are located;</w:t>
      </w:r>
    </w:p>
    <w:p>
      <w:pPr>
        <w:spacing w:after="0" w:line="2" w:lineRule="exact"/>
        <w:rPr>
          <w:rFonts w:ascii="Arial" w:cs="Arial" w:eastAsia="Arial" w:hAnsi="Arial"/>
          <w:sz w:val="16"/>
          <w:szCs w:val="16"/>
          <w:color w:val="auto"/>
        </w:rPr>
      </w:pPr>
    </w:p>
    <w:p>
      <w:pPr>
        <w:jc w:val="both"/>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the number of personnel working offsite may make our business more vulnerable to cybersecurity breach attempts, and, this period of uncertainty could result in an increase in phishing and other scams, fraud, money laundering, theft and other criminal activity; and</w:t>
      </w:r>
    </w:p>
    <w:p>
      <w:pPr>
        <w:spacing w:after="0" w:line="1" w:lineRule="exact"/>
        <w:rPr>
          <w:rFonts w:ascii="Arial" w:cs="Arial" w:eastAsia="Arial" w:hAnsi="Arial"/>
          <w:sz w:val="18"/>
          <w:szCs w:val="18"/>
          <w:color w:val="auto"/>
        </w:rPr>
      </w:pPr>
    </w:p>
    <w:p>
      <w:pPr>
        <w:jc w:val="both"/>
        <w:ind w:left="380" w:right="79" w:hanging="330"/>
        <w:spacing w:after="0" w:line="255"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revise certain accounting estimates and judgments such as, but not limited to, those related to the valuation of goodwill, indefinite-lived intangible assets, long-lived assets and deferred tax assets, which could have a material adverse effect on our financial position and results of operations.</w:t>
      </w:r>
    </w:p>
    <w:p>
      <w:pPr>
        <w:spacing w:after="0" w:line="19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Restrictions on travel and group gatherings, the closing or reduced operation of restaurants, sports leagues and all forms of communal entertainment and the fear of contracting COVID-19 have materially adversely affected store traffic and retail sales. Most retail store chains and shopping malls are operating on a reduced basis as of the third quarter of fiscal 2021 compared to pre-pandemic operations. The onset of additional COVID-19 waves threatens future periods of mandated store closures and additional restrictions on consumers that would limit commercial behavior. Certain states and cities reacted to the COVID-19 pandemic by instituting quarantines, restrictions on travel, “shelter in place” rules and phased reopenings. While some of these restrictions have since expired, others have recently been reinstated in certain states or cities which saw a new spike in COVID-19 cases. Such restrictions could continue to be reinstated in the same or other areas as COVID-19 cases increase which could result in additional retail store restrictions or closures. The restrictions imposed as a result of the COVID-19 outbreak and the closing of retail stores in connection with the outbreak are causing a significant adverse effect on the economy in the United States and around the world. If the retail economy continues to weaken and/or consumers continue to reduce purchases in the near or long-term as a result of the negative effects of on the U.S. and worldwide economies caused by COVID-19, retailers may need to further reduce or limit store operations, close additional stores and be more cautious with orders. A slowing or changing economy as a result of the COVID-19 outbreak and the governmental restrictions imposed in the United States and around the world as a result thereof would adversely affect the financial health of our retail, distributor and joint venture partners, which in turn could have an adverse effect on our business, results of operations and financial condition.</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COVID-19 pandemic is ongoing, and its dynamic nature, including uncertainties relating to the geographic spread of the virus, the severity of the disease, the duration of the outbreak, and the restrictive actions that are being taken by governmental authorities in the United States and around the world to contain the outbreak or to treat its impact makes it difficult to forecast its effects on our fiscal 2021 results. Our results of operations for the nine months ended October 31, 2020 reflected the impacts of the COVID-19 pandemic and we expect that the balance of fiscal 2021 will likely reflect further impacts. It is difficult, if not impossible, at this time to predict the magnitude of the effect of the COVID-19 outbreak on our business and results of operations. However, we expect our results for fiscal 2021 to be materially adversely affected compared to fiscal 2020 as a result of the impact of COVID-19.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8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First Amendment of Lease, dated September 16, 2020, by and between G-III Apparel Group, Ltd. as Tenant and</w:t>
              </w:r>
            </w:hyperlink>
          </w:p>
        </w:tc>
      </w:tr>
      <w:tr>
        <w:trPr>
          <w:trHeight w:val="196"/>
        </w:trPr>
        <w:tc>
          <w:tcPr>
            <w:tcW w:w="800" w:type="dxa"/>
            <w:vAlign w:val="bottom"/>
          </w:tcPr>
          <w:p>
            <w:pPr>
              <w:spacing w:after="0"/>
              <w:rPr>
                <w:sz w:val="17"/>
                <w:szCs w:val="17"/>
                <w:color w:val="auto"/>
              </w:rPr>
            </w:pPr>
          </w:p>
        </w:tc>
        <w:tc>
          <w:tcPr>
            <w:tcW w:w="3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Granite South Brunswick LLC as Landlord.</w:t>
              </w:r>
            </w:hyperlink>
          </w:p>
        </w:tc>
        <w:tc>
          <w:tcPr>
            <w:tcW w:w="494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Certification by Morris Goldfarb, Chief Executive Officer of G-III Apparel Group, Ltd., pursuant to Rule 13a -</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Group, Ltd.’s Quarterly Report on Form 10-Q for the fiscal quarter ended October 31, 2020.</w:t>
              </w:r>
            </w:hyperlink>
          </w:p>
        </w:tc>
      </w:tr>
      <w:tr>
        <w:trPr>
          <w:trHeight w:val="20"/>
        </w:trPr>
        <w:tc>
          <w:tcPr>
            <w:tcW w:w="800" w:type="dxa"/>
            <w:vAlign w:val="bottom"/>
          </w:tcPr>
          <w:p>
            <w:pPr>
              <w:spacing w:after="0" w:line="20" w:lineRule="exact"/>
              <w:rPr>
                <w:sz w:val="1"/>
                <w:szCs w:val="1"/>
                <w:color w:val="auto"/>
              </w:rPr>
            </w:pPr>
          </w:p>
        </w:tc>
        <w:tc>
          <w:tcPr>
            <w:tcW w:w="66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4"/>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Certification by Neal S. Nackman, Chief Financial Officer of G-III Apparel Group, Ltd., pursuant to Rule 13a -</w:t>
              </w:r>
            </w:hyperlink>
          </w:p>
        </w:tc>
      </w:tr>
      <w:tr>
        <w:trPr>
          <w:trHeight w:val="20"/>
        </w:trPr>
        <w:tc>
          <w:tcPr>
            <w:tcW w:w="800" w:type="dxa"/>
            <w:vAlign w:val="bottom"/>
          </w:tcPr>
          <w:p>
            <w:pPr>
              <w:spacing w:after="0" w:line="20" w:lineRule="exact"/>
              <w:rPr>
                <w:sz w:val="1"/>
                <w:szCs w:val="1"/>
                <w:color w:val="auto"/>
              </w:rPr>
            </w:pPr>
          </w:p>
        </w:tc>
        <w:tc>
          <w:tcPr>
            <w:tcW w:w="80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Group, Ltd.’s Quarterly Report on Form 10-Q for the fiscal quarter ended October 31, 2020.</w:t>
              </w:r>
            </w:hyperlink>
          </w:p>
        </w:tc>
      </w:tr>
      <w:tr>
        <w:trPr>
          <w:trHeight w:val="20"/>
        </w:trPr>
        <w:tc>
          <w:tcPr>
            <w:tcW w:w="800" w:type="dxa"/>
            <w:vAlign w:val="bottom"/>
          </w:tcPr>
          <w:p>
            <w:pPr>
              <w:spacing w:after="0" w:line="20" w:lineRule="exact"/>
              <w:rPr>
                <w:sz w:val="1"/>
                <w:szCs w:val="1"/>
                <w:color w:val="auto"/>
              </w:rPr>
            </w:pPr>
          </w:p>
        </w:tc>
        <w:tc>
          <w:tcPr>
            <w:tcW w:w="66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Certification by Morris Goldfarb, Chief Executive Officer of G-III Apparel Group, Ltd., pursuant to 18 U.S.C.</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222"/>
        </w:trPr>
        <w:tc>
          <w:tcPr>
            <w:tcW w:w="800" w:type="dxa"/>
            <w:vAlign w:val="bottom"/>
          </w:tcPr>
          <w:p>
            <w:pPr>
              <w:spacing w:after="0"/>
              <w:rPr>
                <w:sz w:val="19"/>
                <w:szCs w:val="19"/>
                <w:color w:val="auto"/>
              </w:rPr>
            </w:pPr>
          </w:p>
        </w:tc>
        <w:tc>
          <w:tcPr>
            <w:tcW w:w="810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Apparel Group, Ltd.’s Quarterly Report on Form 10-Q for the fiscal quarter ended October 31, 2020.</w:t>
              </w:r>
            </w:hyperlink>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32.2</w:t>
            </w:r>
          </w:p>
        </w:tc>
        <w:tc>
          <w:tcPr>
            <w:tcW w:w="8100" w:type="dxa"/>
            <w:vAlign w:val="bottom"/>
            <w:gridSpan w:val="4"/>
          </w:tcPr>
          <w:p>
            <w:pPr>
              <w:spacing w:after="0" w:line="190"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by Neal S. Nackman, Chief Financial Officer of G-III Apparel Group, Ltd., pursuant to 18 U.S.C.</w:t>
              </w:r>
            </w:hyperlink>
          </w:p>
        </w:tc>
      </w:tr>
      <w:tr>
        <w:trPr>
          <w:trHeight w:val="20"/>
        </w:trPr>
        <w:tc>
          <w:tcPr>
            <w:tcW w:w="800" w:type="dxa"/>
            <w:vAlign w:val="bottom"/>
          </w:tcPr>
          <w:p>
            <w:pPr>
              <w:spacing w:after="0" w:line="20" w:lineRule="exact"/>
              <w:rPr>
                <w:sz w:val="1"/>
                <w:szCs w:val="1"/>
                <w:color w:val="auto"/>
              </w:rPr>
            </w:pPr>
          </w:p>
        </w:tc>
        <w:tc>
          <w:tcPr>
            <w:tcW w:w="80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222"/>
        </w:trPr>
        <w:tc>
          <w:tcPr>
            <w:tcW w:w="800" w:type="dxa"/>
            <w:vAlign w:val="bottom"/>
          </w:tcPr>
          <w:p>
            <w:pPr>
              <w:spacing w:after="0"/>
              <w:rPr>
                <w:sz w:val="19"/>
                <w:szCs w:val="19"/>
                <w:color w:val="auto"/>
              </w:rPr>
            </w:pPr>
          </w:p>
        </w:tc>
        <w:tc>
          <w:tcPr>
            <w:tcW w:w="8100" w:type="dxa"/>
            <w:vAlign w:val="bottom"/>
            <w:gridSpan w:val="4"/>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Apparel Group, Ltd.’s Quarterly Report on Form 10-Q for the fiscal quarter ended October 31, 2020.</w:t>
              </w:r>
            </w:hyperlink>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Presentation Linkbase Document.</w:t>
            </w:r>
          </w:p>
        </w:tc>
      </w:tr>
    </w:tbl>
    <w:p>
      <w:pPr>
        <w:ind w:left="4420" w:right="2399" w:hanging="4364"/>
        <w:spacing w:after="0" w:line="761" w:lineRule="auto"/>
        <w:tabs>
          <w:tab w:leader="none" w:pos="8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rPr>
              <w:t>G-III APPAREL GROUP, LTD.</w:t>
            </w:r>
          </w:p>
        </w:tc>
      </w:tr>
      <w:tr>
        <w:trPr>
          <w:trHeight w:val="230"/>
        </w:trPr>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3120" w:type="dxa"/>
            <w:vAlign w:val="bottom"/>
          </w:tcPr>
          <w:p>
            <w:pPr>
              <w:ind w:left="20"/>
              <w:spacing w:after="0"/>
              <w:rPr>
                <w:sz w:val="20"/>
                <w:szCs w:val="20"/>
                <w:color w:val="auto"/>
              </w:rPr>
            </w:pPr>
            <w:r>
              <w:rPr>
                <w:rFonts w:ascii="Arial" w:cs="Arial" w:eastAsia="Arial" w:hAnsi="Arial"/>
                <w:sz w:val="18"/>
                <w:szCs w:val="18"/>
                <w:color w:val="auto"/>
              </w:rPr>
              <w:t>Date: December 10, 2020</w:t>
            </w: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rPr>
              <w:t>By: /s/ Morris Goldfarb</w:t>
            </w:r>
          </w:p>
        </w:tc>
      </w:tr>
      <w:tr>
        <w:trPr>
          <w:trHeight w:val="195"/>
        </w:trPr>
        <w:tc>
          <w:tcPr>
            <w:tcW w:w="3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20" w:type="dxa"/>
            <w:vAlign w:val="bottom"/>
          </w:tcPr>
          <w:p>
            <w:pPr>
              <w:ind w:left="20"/>
              <w:spacing w:after="0"/>
              <w:rPr>
                <w:sz w:val="20"/>
                <w:szCs w:val="20"/>
                <w:color w:val="auto"/>
              </w:rPr>
            </w:pPr>
            <w:r>
              <w:rPr>
                <w:rFonts w:ascii="Arial" w:cs="Arial" w:eastAsia="Arial" w:hAnsi="Arial"/>
                <w:sz w:val="18"/>
                <w:szCs w:val="18"/>
                <w:color w:val="auto"/>
              </w:rPr>
              <w:t>Date: December 10, 2020</w:t>
            </w: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rPr>
              <w:t>By: /s/ Neal S. Nackman</w:t>
            </w:r>
          </w:p>
        </w:tc>
      </w:tr>
      <w:tr>
        <w:trPr>
          <w:trHeight w:val="195"/>
        </w:trPr>
        <w:tc>
          <w:tcPr>
            <w:tcW w:w="3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12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41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FIRST AMENDMENT TO LEASE AGREEMENT</w:t>
      </w:r>
    </w:p>
    <w:p>
      <w:pPr>
        <w:spacing w:after="0" w:line="200" w:lineRule="exact"/>
        <w:rPr>
          <w:sz w:val="20"/>
          <w:szCs w:val="20"/>
          <w:color w:val="auto"/>
        </w:rPr>
      </w:pPr>
    </w:p>
    <w:p>
      <w:pPr>
        <w:spacing w:after="0" w:line="276"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b w:val="1"/>
          <w:bCs w:val="1"/>
          <w:color w:val="auto"/>
        </w:rPr>
        <w:t xml:space="preserve">THIS FIRST AMENDMENT TO LEASE AGREEMENT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made</w:t>
      </w:r>
      <w:r>
        <w:rPr>
          <w:rFonts w:ascii="Arial" w:cs="Arial" w:eastAsia="Arial" w:hAnsi="Arial"/>
          <w:sz w:val="22"/>
          <w:szCs w:val="22"/>
          <w:b w:val="1"/>
          <w:bCs w:val="1"/>
          <w:color w:val="auto"/>
        </w:rPr>
        <w:t xml:space="preserve"> </w:t>
      </w:r>
      <w:r>
        <w:rPr>
          <w:rFonts w:ascii="Arial" w:cs="Arial" w:eastAsia="Arial" w:hAnsi="Arial"/>
          <w:sz w:val="22"/>
          <w:szCs w:val="22"/>
          <w:color w:val="auto"/>
        </w:rPr>
        <w:t>and entered into this 16</w:t>
      </w:r>
      <w:r>
        <w:rPr>
          <w:rFonts w:ascii="Arial" w:cs="Arial" w:eastAsia="Arial" w:hAnsi="Arial"/>
          <w:sz w:val="16"/>
          <w:szCs w:val="16"/>
          <w:color w:val="auto"/>
        </w:rPr>
        <w:t>th</w:t>
      </w:r>
      <w:r>
        <w:rPr>
          <w:rFonts w:ascii="Arial" w:cs="Arial" w:eastAsia="Arial" w:hAnsi="Arial"/>
          <w:sz w:val="22"/>
          <w:szCs w:val="22"/>
          <w:color w:val="auto"/>
        </w:rPr>
        <w:t xml:space="preserve"> day of September, 2020, by and between Granite South Brunswick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G III Apparel Group LTD,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w:t>
      </w:r>
    </w:p>
    <w:p>
      <w:pPr>
        <w:spacing w:after="0" w:line="233"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entered into that certain Lease Agreement dated</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21, 2009 (the “</w:t>
      </w:r>
      <w:r>
        <w:rPr>
          <w:rFonts w:ascii="Arial" w:cs="Arial" w:eastAsia="Arial" w:hAnsi="Arial"/>
          <w:sz w:val="21"/>
          <w:szCs w:val="21"/>
          <w:b w:val="1"/>
          <w:bCs w:val="1"/>
          <w:color w:val="auto"/>
        </w:rPr>
        <w:t>Lease</w:t>
      </w:r>
      <w:r>
        <w:rPr>
          <w:rFonts w:ascii="Arial" w:cs="Arial" w:eastAsia="Arial" w:hAnsi="Arial"/>
          <w:sz w:val="21"/>
          <w:szCs w:val="21"/>
          <w:color w:val="auto"/>
        </w:rPr>
        <w:t>”), pursuant to which Tenant is leasing approximately 583,376 square feet (the “</w:t>
      </w:r>
      <w:r>
        <w:rPr>
          <w:rFonts w:ascii="Arial" w:cs="Arial" w:eastAsia="Arial" w:hAnsi="Arial"/>
          <w:sz w:val="21"/>
          <w:szCs w:val="21"/>
          <w:b w:val="1"/>
          <w:bCs w:val="1"/>
          <w:color w:val="auto"/>
        </w:rPr>
        <w:t>Demised Premises</w:t>
      </w:r>
      <w:r>
        <w:rPr>
          <w:rFonts w:ascii="Arial" w:cs="Arial" w:eastAsia="Arial" w:hAnsi="Arial"/>
          <w:sz w:val="21"/>
          <w:szCs w:val="21"/>
          <w:color w:val="auto"/>
        </w:rPr>
        <w:t>”) located at 140—148 Docks Corner Road, Jamesburg, New (the “</w:t>
      </w:r>
      <w:r>
        <w:rPr>
          <w:rFonts w:ascii="Arial" w:cs="Arial" w:eastAsia="Arial" w:hAnsi="Arial"/>
          <w:sz w:val="21"/>
          <w:szCs w:val="21"/>
          <w:b w:val="1"/>
          <w:bCs w:val="1"/>
          <w:color w:val="auto"/>
        </w:rPr>
        <w:t>Building</w:t>
      </w:r>
      <w:r>
        <w:rPr>
          <w:rFonts w:ascii="Arial" w:cs="Arial" w:eastAsia="Arial" w:hAnsi="Arial"/>
          <w:sz w:val="21"/>
          <w:szCs w:val="21"/>
          <w:color w:val="auto"/>
        </w:rPr>
        <w:t>”) as more particularly described in the Lease; and</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Lease is scheduled to expire on December 31, 2020; and</w:t>
      </w:r>
    </w:p>
    <w:p>
      <w:pPr>
        <w:spacing w:after="0" w:line="233" w:lineRule="exact"/>
        <w:rPr>
          <w:sz w:val="20"/>
          <w:szCs w:val="20"/>
          <w:color w:val="auto"/>
        </w:rPr>
      </w:pPr>
    </w:p>
    <w:p>
      <w:pPr>
        <w:jc w:val="both"/>
        <w:ind w:left="200" w:right="239"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have agreed, among other things, to extend the term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Lease and otherwise modify certain provisions of the Lease, all pursuant to the terms and conditions as hereinafter set forth.</w:t>
      </w:r>
    </w:p>
    <w:p>
      <w:pPr>
        <w:spacing w:after="0" w:line="204"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adequacy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are hereby acknowledged, and intending to be legally bound, the parties agree as follows:</w:t>
      </w:r>
    </w:p>
    <w:p>
      <w:pPr>
        <w:spacing w:after="0" w:line="204" w:lineRule="exact"/>
        <w:rPr>
          <w:sz w:val="20"/>
          <w:szCs w:val="20"/>
          <w:color w:val="auto"/>
        </w:rPr>
      </w:pPr>
    </w:p>
    <w:p>
      <w:pPr>
        <w:ind w:left="200" w:right="219" w:firstLine="657"/>
        <w:spacing w:after="0" w:line="256" w:lineRule="auto"/>
        <w:tabs>
          <w:tab w:leader="none" w:pos="1496"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herein but not otherwise defined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ascribed to such terms in the Lease.</w:t>
      </w:r>
    </w:p>
    <w:p>
      <w:pPr>
        <w:spacing w:after="0" w:line="189" w:lineRule="exact"/>
        <w:rPr>
          <w:rFonts w:ascii="Arial" w:cs="Arial" w:eastAsia="Arial" w:hAnsi="Arial"/>
          <w:sz w:val="22"/>
          <w:szCs w:val="22"/>
          <w:color w:val="auto"/>
        </w:rPr>
      </w:pPr>
    </w:p>
    <w:p>
      <w:pPr>
        <w:jc w:val="both"/>
        <w:ind w:left="200" w:right="219" w:firstLine="657"/>
        <w:spacing w:after="0" w:line="237" w:lineRule="auto"/>
        <w:tabs>
          <w:tab w:leader="none" w:pos="1496"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Extension of 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of the Lease is hereby extended for a period</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on January 1, 2021 (the “</w:t>
      </w:r>
      <w:r>
        <w:rPr>
          <w:rFonts w:ascii="Arial" w:cs="Arial" w:eastAsia="Arial" w:hAnsi="Arial"/>
          <w:sz w:val="22"/>
          <w:szCs w:val="22"/>
          <w:b w:val="1"/>
          <w:bCs w:val="1"/>
          <w:color w:val="auto"/>
        </w:rPr>
        <w:t>Extension Term Commencement Date</w:t>
      </w:r>
      <w:r>
        <w:rPr>
          <w:rFonts w:ascii="Arial" w:cs="Arial" w:eastAsia="Arial" w:hAnsi="Arial"/>
          <w:sz w:val="22"/>
          <w:szCs w:val="22"/>
          <w:color w:val="auto"/>
        </w:rPr>
        <w:t>”) and ending on December 31, 2028 (the “</w:t>
      </w:r>
      <w:r>
        <w:rPr>
          <w:rFonts w:ascii="Arial" w:cs="Arial" w:eastAsia="Arial" w:hAnsi="Arial"/>
          <w:sz w:val="22"/>
          <w:szCs w:val="22"/>
          <w:b w:val="1"/>
          <w:bCs w:val="1"/>
          <w:color w:val="auto"/>
        </w:rPr>
        <w:t>Extension Term</w:t>
      </w:r>
      <w:r>
        <w:rPr>
          <w:rFonts w:ascii="Arial" w:cs="Arial" w:eastAsia="Arial" w:hAnsi="Arial"/>
          <w:sz w:val="22"/>
          <w:szCs w:val="22"/>
          <w:color w:val="auto"/>
        </w:rPr>
        <w:t>”), unless sooner terminated in accordance with the terms of the Lease. The Extension Term shall be on the same terms and conditions contained in the Lease except as expressly set forth herein.</w:t>
      </w:r>
    </w:p>
    <w:p>
      <w:pPr>
        <w:spacing w:after="0" w:line="208" w:lineRule="exact"/>
        <w:rPr>
          <w:rFonts w:ascii="Arial" w:cs="Arial" w:eastAsia="Arial" w:hAnsi="Arial"/>
          <w:sz w:val="22"/>
          <w:szCs w:val="22"/>
          <w:color w:val="auto"/>
        </w:rPr>
      </w:pPr>
    </w:p>
    <w:p>
      <w:pPr>
        <w:jc w:val="both"/>
        <w:ind w:left="200" w:right="219" w:firstLine="657"/>
        <w:spacing w:after="0" w:line="260" w:lineRule="auto"/>
        <w:tabs>
          <w:tab w:leader="none" w:pos="1496" w:val="left"/>
        </w:tabs>
        <w:numPr>
          <w:ilvl w:val="0"/>
          <w:numId w:val="12"/>
        </w:numPr>
        <w:rPr>
          <w:rFonts w:ascii="Arial" w:cs="Arial" w:eastAsia="Arial" w:hAnsi="Arial"/>
          <w:sz w:val="21"/>
          <w:szCs w:val="21"/>
          <w:color w:val="auto"/>
        </w:rPr>
      </w:pPr>
      <w:r>
        <w:rPr>
          <w:rFonts w:ascii="Arial" w:cs="Arial" w:eastAsia="Arial" w:hAnsi="Arial"/>
          <w:sz w:val="21"/>
          <w:szCs w:val="21"/>
          <w:b w:val="1"/>
          <w:bCs w:val="1"/>
          <w:u w:val="single" w:color="auto"/>
          <w:color w:val="auto"/>
        </w:rPr>
        <w:t>Fixed Rent</w:t>
      </w:r>
      <w:r>
        <w:rPr>
          <w:rFonts w:ascii="Arial" w:cs="Arial" w:eastAsia="Arial" w:hAnsi="Arial"/>
          <w:sz w:val="21"/>
          <w:szCs w:val="21"/>
          <w:color w:val="auto"/>
        </w:rPr>
        <w:t>. Commencing on the Extension Term Commencement Date, Tenant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subject to Paragraph 4 below, pay to Landlord Fixed Rent for the Demised Premises as set forth below and as otherwise required pursuant to the terms of the Lease: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9" w:name="page40"/>
    <w:bookmarkEnd w:id="39"/>
    <w:tbl>
      <w:tblPr>
        <w:tblLayout w:type="fixed"/>
        <w:tblInd w:w="1630" w:type="dxa"/>
        <w:tblCellMar>
          <w:top w:w="0" w:type="dxa"/>
          <w:left w:w="0" w:type="dxa"/>
          <w:bottom w:w="0" w:type="dxa"/>
          <w:right w:w="0" w:type="dxa"/>
        </w:tblCellMar>
      </w:tblPr>
      <w:tr>
        <w:trPr>
          <w:trHeight w:val="229"/>
        </w:trPr>
        <w:tc>
          <w:tcPr>
            <w:tcW w:w="210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188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91"/>
              </w:rPr>
              <w:t>Annual Fixed</w:t>
            </w:r>
          </w:p>
        </w:tc>
        <w:tc>
          <w:tcPr>
            <w:tcW w:w="182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91"/>
              </w:rPr>
              <w:t>Monthly Fixed</w:t>
            </w:r>
          </w:p>
        </w:tc>
      </w:tr>
      <w:tr>
        <w:trPr>
          <w:trHeight w:val="270"/>
        </w:trPr>
        <w:tc>
          <w:tcPr>
            <w:tcW w:w="2100" w:type="dxa"/>
            <w:vAlign w:val="bottom"/>
            <w:tcBorders>
              <w:left w:val="single" w:sz="8" w:color="auto"/>
              <w:bottom w:val="single" w:sz="8" w:color="auto"/>
              <w:right w:val="single" w:sz="8" w:color="auto"/>
            </w:tcBorders>
            <w:shd w:val="clear" w:color="auto" w:fill="D9D9D9"/>
          </w:tcPr>
          <w:p>
            <w:pPr>
              <w:ind w:left="740"/>
              <w:spacing w:after="0"/>
              <w:rPr>
                <w:sz w:val="20"/>
                <w:szCs w:val="20"/>
                <w:color w:val="auto"/>
              </w:rPr>
            </w:pPr>
            <w:r>
              <w:rPr>
                <w:rFonts w:ascii="Arial" w:cs="Arial" w:eastAsia="Arial" w:hAnsi="Arial"/>
                <w:sz w:val="22"/>
                <w:szCs w:val="22"/>
                <w:b w:val="1"/>
                <w:bCs w:val="1"/>
                <w:color w:val="auto"/>
              </w:rPr>
              <w:t>Period</w:t>
            </w:r>
          </w:p>
        </w:tc>
        <w:tc>
          <w:tcPr>
            <w:tcW w:w="1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Rent</w:t>
            </w:r>
          </w:p>
        </w:tc>
        <w:tc>
          <w:tcPr>
            <w:tcW w:w="18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Rent</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3"/>
              </w:rPr>
              <w:t>1/1/21 - 12/31/21</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$4,667,007.96</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$388,917.33</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1/1/22 - 12/31/22</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$4,807,018.20</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$400,584.85</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1/1/23 - 12/31/23</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$4,951,228.80</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$412,602.40</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1/1/24 - 12/31/24</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$5,099,765.64</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$424,980.47</w:t>
            </w:r>
          </w:p>
        </w:tc>
      </w:tr>
      <w:tr>
        <w:trPr>
          <w:trHeight w:val="236"/>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1/1/25 – 12/31/25</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$5,252,758.68</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$437,729.89</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1/1/26 – 12/31/26</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$5,410,341.36</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$450,861.78</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1/1/27 – 12/31/27</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$5,572,651.68</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$464,387.64</w:t>
            </w:r>
          </w:p>
        </w:tc>
      </w:tr>
      <w:tr>
        <w:trPr>
          <w:trHeight w:val="237"/>
        </w:trPr>
        <w:tc>
          <w:tcPr>
            <w:tcW w:w="21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1/1/28 – 12/31/28</w:t>
            </w:r>
          </w:p>
        </w:tc>
        <w:tc>
          <w:tcPr>
            <w:tcW w:w="18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$5,739,831.12</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$478,319.26</w:t>
            </w:r>
          </w:p>
        </w:tc>
      </w:tr>
    </w:tbl>
    <w:p>
      <w:pPr>
        <w:spacing w:after="0" w:line="216" w:lineRule="exact"/>
        <w:rPr>
          <w:sz w:val="20"/>
          <w:szCs w:val="20"/>
          <w:color w:val="auto"/>
        </w:rPr>
      </w:pPr>
    </w:p>
    <w:p>
      <w:pPr>
        <w:jc w:val="both"/>
        <w:ind w:left="200" w:right="219" w:firstLine="657"/>
        <w:spacing w:after="0" w:line="245" w:lineRule="auto"/>
        <w:tabs>
          <w:tab w:leader="none" w:pos="1496"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Rent Abatement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 contained herein, so</w:t>
      </w:r>
      <w:r>
        <w:rPr>
          <w:rFonts w:ascii="Arial" w:cs="Arial" w:eastAsia="Arial" w:hAnsi="Arial"/>
          <w:sz w:val="21"/>
          <w:szCs w:val="21"/>
          <w:b w:val="1"/>
          <w:bCs w:val="1"/>
          <w:color w:val="auto"/>
        </w:rPr>
        <w:t xml:space="preserve"> </w:t>
      </w:r>
      <w:r>
        <w:rPr>
          <w:rFonts w:ascii="Arial" w:cs="Arial" w:eastAsia="Arial" w:hAnsi="Arial"/>
          <w:sz w:val="21"/>
          <w:szCs w:val="21"/>
          <w:color w:val="auto"/>
        </w:rPr>
        <w:t>long as Tenant is not in Material Monetary Default (as defined below) under the Lease, Tenant shall be entitled to an abatement of 100% of Fixed Rent due during each of September and October, 2020 and to an abatement of One Hundred Forty-Five Thousand Eight Hundred Forty Four and no/100 Dollars ($145,844.00) of Fixed Rent due during November, 2020 (the aggregate amounts abated in accordance with the provisions of this paragraph shall be referred to as the “</w:t>
      </w:r>
      <w:r>
        <w:rPr>
          <w:rFonts w:ascii="Arial" w:cs="Arial" w:eastAsia="Arial" w:hAnsi="Arial"/>
          <w:sz w:val="21"/>
          <w:szCs w:val="21"/>
          <w:b w:val="1"/>
          <w:bCs w:val="1"/>
          <w:color w:val="auto"/>
        </w:rPr>
        <w:t>Abated Rent</w:t>
      </w:r>
      <w:r>
        <w:rPr>
          <w:rFonts w:ascii="Arial" w:cs="Arial" w:eastAsia="Arial" w:hAnsi="Arial"/>
          <w:sz w:val="21"/>
          <w:szCs w:val="21"/>
          <w:color w:val="auto"/>
        </w:rPr>
        <w:t>”). In the event Tenant, on or prior to December 31, 2022, commits a Material Monetary Default under the Lease after the expiration of applicable notice and cure periods, the Abated Rent shall become immediately due and payable without prejudice to any other remedies of Landlord. As used herein a “</w:t>
      </w:r>
      <w:r>
        <w:rPr>
          <w:rFonts w:ascii="Arial" w:cs="Arial" w:eastAsia="Arial" w:hAnsi="Arial"/>
          <w:sz w:val="21"/>
          <w:szCs w:val="21"/>
          <w:b w:val="1"/>
          <w:bCs w:val="1"/>
          <w:color w:val="auto"/>
        </w:rPr>
        <w:t>Material Monetary Default</w:t>
      </w:r>
      <w:r>
        <w:rPr>
          <w:rFonts w:ascii="Arial" w:cs="Arial" w:eastAsia="Arial" w:hAnsi="Arial"/>
          <w:sz w:val="21"/>
          <w:szCs w:val="21"/>
          <w:color w:val="auto"/>
        </w:rPr>
        <w:t>” shall be defined as any default or defaults caused by Tenant failing to pay any amount due equal to or in excess of $50,000.00 in the aggregate.</w:t>
      </w:r>
    </w:p>
    <w:p>
      <w:pPr>
        <w:spacing w:after="0" w:line="180"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As a result of the partial abatement of Fixed Rent for November, 2020, Tenant shall pay to Landlord on November 1, 2020, $46,183.93, representing the full Fixed Rent due for November, 2020 minus $145,844.00.</w:t>
      </w:r>
    </w:p>
    <w:p>
      <w:pPr>
        <w:spacing w:after="0" w:line="180" w:lineRule="exact"/>
        <w:rPr>
          <w:sz w:val="20"/>
          <w:szCs w:val="20"/>
          <w:color w:val="auto"/>
        </w:rPr>
      </w:pPr>
    </w:p>
    <w:p>
      <w:pPr>
        <w:jc w:val="both"/>
        <w:ind w:left="200" w:right="219" w:firstLine="657"/>
        <w:spacing w:after="0" w:line="283" w:lineRule="auto"/>
        <w:tabs>
          <w:tab w:leader="none" w:pos="1496"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AS IS</w:t>
      </w:r>
      <w:r>
        <w:rPr>
          <w:rFonts w:ascii="Arial" w:cs="Arial" w:eastAsia="Arial" w:hAnsi="Arial"/>
          <w:sz w:val="19"/>
          <w:szCs w:val="19"/>
          <w:color w:val="auto"/>
        </w:rPr>
        <w:t>. Tenant acknowledges and agrees that the Demised Premises are in good</w:t>
      </w:r>
      <w:r>
        <w:rPr>
          <w:rFonts w:ascii="Arial" w:cs="Arial" w:eastAsia="Arial" w:hAnsi="Arial"/>
          <w:sz w:val="19"/>
          <w:szCs w:val="19"/>
          <w:b w:val="1"/>
          <w:bCs w:val="1"/>
          <w:color w:val="auto"/>
        </w:rPr>
        <w:t xml:space="preserve"> </w:t>
      </w:r>
      <w:r>
        <w:rPr>
          <w:rFonts w:ascii="Arial" w:cs="Arial" w:eastAsia="Arial" w:hAnsi="Arial"/>
          <w:sz w:val="19"/>
          <w:szCs w:val="19"/>
          <w:color w:val="auto"/>
        </w:rPr>
        <w:t>order and satisfactory condition as of the date hereof. No agreement of Landlord to alter, remodel, decorate, clean or improve the Demised Premises or the Building (or to provide Tenant with any credit or allowance for the same), and no representation regarding the condition of the Demised Premises or the Building, have been made by or on behalf of Landlord or relied upon by Tenant.</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657"/>
        <w:spacing w:after="0" w:line="283" w:lineRule="auto"/>
        <w:tabs>
          <w:tab w:leader="none" w:pos="1496"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Letter of Credit</w:t>
      </w:r>
      <w:r>
        <w:rPr>
          <w:rFonts w:ascii="Arial" w:cs="Arial" w:eastAsia="Arial" w:hAnsi="Arial"/>
          <w:sz w:val="19"/>
          <w:szCs w:val="19"/>
          <w:color w:val="auto"/>
        </w:rPr>
        <w:t>. Pursuant to Section 3.4 of the Lease, Tenant has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with a letter of credit in the amount of $331,552.00. Concurrent with the execution and delivery of this Amendment, Tenant shall deliver to Landlord a new letter of credit in the amount of $777,834.66 (the “</w:t>
      </w:r>
      <w:r>
        <w:rPr>
          <w:rFonts w:ascii="Arial" w:cs="Arial" w:eastAsia="Arial" w:hAnsi="Arial"/>
          <w:sz w:val="19"/>
          <w:szCs w:val="19"/>
          <w:b w:val="1"/>
          <w:bCs w:val="1"/>
          <w:color w:val="auto"/>
        </w:rPr>
        <w:t>Replacement Letter of Credit</w:t>
      </w:r>
      <w:r>
        <w:rPr>
          <w:rFonts w:ascii="Arial" w:cs="Arial" w:eastAsia="Arial" w:hAnsi="Arial"/>
          <w:sz w:val="19"/>
          <w:szCs w:val="19"/>
          <w:color w:val="auto"/>
        </w:rPr>
        <w:t>”) and which shall replace the existing letter of credit. The Replacement Letter of Credit shall be subject to all of the terms of the Lease.</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Option to Renew</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24.17 of the Lease is hereby deleted and no longer in</w:t>
      </w:r>
    </w:p>
    <w:p>
      <w:pPr>
        <w:spacing w:after="0" w:line="48"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force or effect.</w:t>
      </w:r>
    </w:p>
    <w:p>
      <w:pPr>
        <w:spacing w:after="0" w:line="182" w:lineRule="exact"/>
        <w:rPr>
          <w:rFonts w:ascii="Arial" w:cs="Arial" w:eastAsia="Arial" w:hAnsi="Arial"/>
          <w:sz w:val="19"/>
          <w:szCs w:val="19"/>
          <w:color w:val="auto"/>
        </w:rPr>
      </w:pPr>
    </w:p>
    <w:p>
      <w:pPr>
        <w:jc w:val="both"/>
        <w:ind w:left="200" w:right="219" w:firstLine="657"/>
        <w:spacing w:after="0" w:line="300" w:lineRule="auto"/>
        <w:tabs>
          <w:tab w:leader="none" w:pos="1496"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OFAC</w:t>
      </w:r>
      <w:r>
        <w:rPr>
          <w:rFonts w:ascii="Arial" w:cs="Arial" w:eastAsia="Arial" w:hAnsi="Arial"/>
          <w:sz w:val="19"/>
          <w:szCs w:val="19"/>
          <w:b w:val="1"/>
          <w:bCs w:val="1"/>
          <w:color w:val="auto"/>
        </w:rPr>
        <w:t xml:space="preserve">. </w:t>
      </w:r>
      <w:r>
        <w:rPr>
          <w:rFonts w:ascii="Arial" w:cs="Arial" w:eastAsia="Arial" w:hAnsi="Arial"/>
          <w:sz w:val="19"/>
          <w:szCs w:val="19"/>
          <w:color w:val="auto"/>
        </w:rPr>
        <w:t>Tenant represents, warrants and covenants that neither Tenant nor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officers, directors, or members (i) is listed on the Specially Designated Nationals and Blocked Persons List maintained by the Office of Foreign Asset Control, Department of the Treasury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sectPr>
      </w:pPr>
    </w:p>
    <w:bookmarkStart w:id="40" w:name="page41"/>
    <w:bookmarkEnd w:id="40"/>
    <w:p>
      <w:pPr>
        <w:jc w:val="both"/>
        <w:ind w:left="200" w:right="21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w:t>
      </w:r>
      <w:r>
        <w:rPr>
          <w:rFonts w:ascii="Arial" w:cs="Arial" w:eastAsia="Arial" w:hAnsi="Arial"/>
          <w:sz w:val="19"/>
          <w:szCs w:val="19"/>
          <w:color w:val="auto"/>
        </w:rPr>
        <w:t>”) pursuant to Executive Order No. 13224, 66 Fed. Reg. 49079 (Sept. 25, 2001) (“</w:t>
      </w:r>
      <w:r>
        <w:rPr>
          <w:rFonts w:ascii="Arial" w:cs="Arial" w:eastAsia="Arial" w:hAnsi="Arial"/>
          <w:sz w:val="19"/>
          <w:szCs w:val="19"/>
          <w:b w:val="1"/>
          <w:bCs w:val="1"/>
          <w:color w:val="auto"/>
        </w:rPr>
        <w:t>Order</w:t>
      </w:r>
      <w:r>
        <w:rPr>
          <w:rFonts w:ascii="Arial" w:cs="Arial" w:eastAsia="Arial" w:hAnsi="Arial"/>
          <w:sz w:val="19"/>
          <w:szCs w:val="19"/>
          <w:color w:val="auto"/>
        </w:rPr>
        <w:t>”) and all applicable provisions of Title III of the USA Patriot Act (Public Law No. 107-56 (October 26, 2001)); (ii) is listed on the Denied Persons List and Entity List maintained by the United States Department of Commerce; (iii)is listed on the List of Terrorists and List of Disbarred Parties maintained by the United States Department of State, (iv) is listed on any list or qualification of “</w:t>
      </w:r>
      <w:r>
        <w:rPr>
          <w:rFonts w:ascii="Arial" w:cs="Arial" w:eastAsia="Arial" w:hAnsi="Arial"/>
          <w:sz w:val="19"/>
          <w:szCs w:val="19"/>
          <w:b w:val="1"/>
          <w:bCs w:val="1"/>
          <w:color w:val="auto"/>
        </w:rPr>
        <w:t>Designated Nationals</w:t>
      </w:r>
      <w:r>
        <w:rPr>
          <w:rFonts w:ascii="Arial" w:cs="Arial" w:eastAsia="Arial" w:hAnsi="Arial"/>
          <w:sz w:val="19"/>
          <w:szCs w:val="19"/>
          <w:color w:val="auto"/>
        </w:rPr>
        <w:t>” as defined in the Cuban Assets Control Regulations 31 C.F.R. Part 515; (v) is listed on any other publicly available list of terrorists, terrorist organizations or narcotics traffickers maintained by the United States Department of State, the United States Department of Commerce or any other governmental authority or pursuant to the Order, the rules and regulations of OFAC (including without limitation the Trading with the Enemy Act, 50 U.S.C. App. 1-44; the International Emergency Economic Powers Act, 50 U.S.C. §§ 1701-06; the unrepealed provision of the Iraq Sanctions Act, Publ.L. No. 101-513; the United Nations Participation Act, 22 U.S.C. § 2349 aa-9; The Cuban Democracy Act, 22 U.S.C. §§ 60-01-10; The Cuban Liberty and Democratic Solidarity Act, 18.U.S.C. §§ 2332d and 233; and The Foreign Narcotic Kingpin Designation Act, Publ. L. No. 106-120 and 107-108, all as may be amended from time to time); or any other applicable requirements contained in any enabling legislation or other Executive Orders in respect of the Order (the Order and such other rules, regulations, legislation or orders are collectively called the “</w:t>
      </w:r>
      <w:r>
        <w:rPr>
          <w:rFonts w:ascii="Arial" w:cs="Arial" w:eastAsia="Arial" w:hAnsi="Arial"/>
          <w:sz w:val="19"/>
          <w:szCs w:val="19"/>
          <w:b w:val="1"/>
          <w:bCs w:val="1"/>
          <w:color w:val="auto"/>
        </w:rPr>
        <w:t>Orders</w:t>
      </w:r>
      <w:r>
        <w:rPr>
          <w:rFonts w:ascii="Arial" w:cs="Arial" w:eastAsia="Arial" w:hAnsi="Arial"/>
          <w:sz w:val="19"/>
          <w:szCs w:val="19"/>
          <w:color w:val="auto"/>
        </w:rPr>
        <w:t>”); (vi) is engaged in activities prohibited in the Orders; or (vii) has been convicted, pleaded nolo contendere, indicted, arraigned or custodially detained on charges involving money laundering or predicate crimes to money laundering, drug trafficking, terrorist-related activities or other money laundering predicate crimes or in connection with the Bank Secrecy Act (31 U.S.C. §§ 5311 et. seq.).</w:t>
      </w:r>
    </w:p>
    <w:p>
      <w:pPr>
        <w:spacing w:after="0" w:line="400" w:lineRule="exact"/>
        <w:rPr>
          <w:sz w:val="20"/>
          <w:szCs w:val="20"/>
          <w:color w:val="auto"/>
        </w:rPr>
      </w:pPr>
    </w:p>
    <w:p>
      <w:pPr>
        <w:ind w:left="200" w:right="219" w:firstLine="657"/>
        <w:spacing w:after="0" w:line="271" w:lineRule="auto"/>
        <w:tabs>
          <w:tab w:leader="none" w:pos="1496"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Non-Affiliation Representation</w:t>
      </w:r>
      <w:r>
        <w:rPr>
          <w:rFonts w:ascii="Arial" w:cs="Arial" w:eastAsia="Arial" w:hAnsi="Arial"/>
          <w:sz w:val="19"/>
          <w:szCs w:val="19"/>
          <w:b w:val="1"/>
          <w:bCs w:val="1"/>
          <w:color w:val="auto"/>
        </w:rPr>
        <w:t xml:space="preserve">. </w:t>
      </w:r>
      <w:r>
        <w:rPr>
          <w:rFonts w:ascii="Arial" w:cs="Arial" w:eastAsia="Arial" w:hAnsi="Arial"/>
          <w:sz w:val="19"/>
          <w:szCs w:val="19"/>
          <w:color w:val="auto"/>
        </w:rPr>
        <w:t>Tenant represents and warrants that Tenant is not</w:t>
      </w:r>
      <w:r>
        <w:rPr>
          <w:rFonts w:ascii="Arial" w:cs="Arial" w:eastAsia="Arial" w:hAnsi="Arial"/>
          <w:sz w:val="19"/>
          <w:szCs w:val="19"/>
          <w:b w:val="1"/>
          <w:bCs w:val="1"/>
          <w:color w:val="auto"/>
        </w:rPr>
        <w:t xml:space="preserve"> </w:t>
      </w:r>
      <w:r>
        <w:rPr>
          <w:rFonts w:ascii="Arial" w:cs="Arial" w:eastAsia="Arial" w:hAnsi="Arial"/>
          <w:sz w:val="19"/>
          <w:szCs w:val="19"/>
          <w:color w:val="auto"/>
        </w:rPr>
        <w:t>a BlackRock Entity (each as hereinafter defined) nor an Affiliate (as hereinafter defined) of a BlackRock Entity. Tenant covenants that Tenant will not become a BlackRock Entity or an Affiliate of a BlackRock Entity. Tenant further agrees that Tenant will not assign the Lease or sublease all or any portion of the Demised Premises to a BlackRock Entity or to an Affiliate of a BlackRock Entity without Landlord’s prior written consent, which consent may be withheld in its sole and absolute discretion. As used herein, “</w:t>
      </w:r>
      <w:r>
        <w:rPr>
          <w:rFonts w:ascii="Arial" w:cs="Arial" w:eastAsia="Arial" w:hAnsi="Arial"/>
          <w:sz w:val="19"/>
          <w:szCs w:val="19"/>
          <w:b w:val="1"/>
          <w:bCs w:val="1"/>
          <w:color w:val="auto"/>
        </w:rPr>
        <w:t>BlackRock Entity</w:t>
      </w:r>
      <w:r>
        <w:rPr>
          <w:rFonts w:ascii="Arial" w:cs="Arial" w:eastAsia="Arial" w:hAnsi="Arial"/>
          <w:sz w:val="19"/>
          <w:szCs w:val="19"/>
          <w:color w:val="auto"/>
        </w:rPr>
        <w:t>” means BlackRock, Inc. and any entity controlling, controlled by or under common control with BlackRock, Inc. (and the parties agree that this definition shall include any institutional fund managed by a BlackRock Entity). Additionally, as used in this Paragraph only, the term “</w:t>
      </w:r>
      <w:r>
        <w:rPr>
          <w:rFonts w:ascii="Arial" w:cs="Arial" w:eastAsia="Arial" w:hAnsi="Arial"/>
          <w:sz w:val="19"/>
          <w:szCs w:val="19"/>
          <w:b w:val="1"/>
          <w:bCs w:val="1"/>
          <w:color w:val="auto"/>
        </w:rPr>
        <w:t>Affiliate</w:t>
      </w:r>
      <w:r>
        <w:rPr>
          <w:rFonts w:ascii="Arial" w:cs="Arial" w:eastAsia="Arial" w:hAnsi="Arial"/>
          <w:sz w:val="19"/>
          <w:szCs w:val="19"/>
          <w:color w:val="auto"/>
        </w:rPr>
        <w:t>” shall mean any Person who directly or indirectly through one or more intermediaries controls, is controlled by, or is under common control with such Person and the term “</w:t>
      </w:r>
      <w:r>
        <w:rPr>
          <w:rFonts w:ascii="Arial" w:cs="Arial" w:eastAsia="Arial" w:hAnsi="Arial"/>
          <w:sz w:val="19"/>
          <w:szCs w:val="19"/>
          <w:b w:val="1"/>
          <w:bCs w:val="1"/>
          <w:color w:val="auto"/>
        </w:rPr>
        <w:t>Person</w:t>
      </w:r>
      <w:r>
        <w:rPr>
          <w:rFonts w:ascii="Arial" w:cs="Arial" w:eastAsia="Arial" w:hAnsi="Arial"/>
          <w:sz w:val="19"/>
          <w:szCs w:val="19"/>
          <w:color w:val="auto"/>
        </w:rPr>
        <w:t>” shall mean any individual, general partnership, limited partnership, corporation, limited liability company, limited liability partnership, joint venture, trust, business trust, cooperative or association or other comparable business entity, and the heirs, executors, administrators, legal representatives, successors and assigns of any of the foregoing where the context so permits.</w:t>
      </w:r>
    </w:p>
    <w:p>
      <w:pPr>
        <w:spacing w:after="0" w:line="200" w:lineRule="exact"/>
        <w:rPr>
          <w:sz w:val="20"/>
          <w:szCs w:val="20"/>
          <w:color w:val="auto"/>
        </w:rPr>
      </w:pPr>
    </w:p>
    <w:p>
      <w:pPr>
        <w:spacing w:after="0" w:line="230" w:lineRule="exact"/>
        <w:rPr>
          <w:sz w:val="20"/>
          <w:szCs w:val="20"/>
          <w:color w:val="auto"/>
        </w:rPr>
      </w:pPr>
    </w:p>
    <w:p>
      <w:pPr>
        <w:jc w:val="both"/>
        <w:ind w:left="200" w:right="219" w:firstLine="657"/>
        <w:spacing w:after="0" w:line="243" w:lineRule="auto"/>
        <w:tabs>
          <w:tab w:leader="none" w:pos="1496"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 to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in the Lease all</w:t>
      </w:r>
      <w:r>
        <w:rPr>
          <w:rFonts w:ascii="Arial" w:cs="Arial" w:eastAsia="Arial" w:hAnsi="Arial"/>
          <w:sz w:val="22"/>
          <w:szCs w:val="22"/>
          <w:b w:val="1"/>
          <w:bCs w:val="1"/>
          <w:color w:val="auto"/>
        </w:rPr>
        <w:t xml:space="preserve"> </w:t>
      </w:r>
      <w:r>
        <w:rPr>
          <w:rFonts w:ascii="Arial" w:cs="Arial" w:eastAsia="Arial" w:hAnsi="Arial"/>
          <w:sz w:val="22"/>
          <w:szCs w:val="22"/>
          <w:color w:val="auto"/>
        </w:rPr>
        <w:t>notices to Landlord shall be sent to the following parties at the following addresses only and otherwise in accordance with the terms of the Lease:</w:t>
      </w:r>
    </w:p>
    <w:p>
      <w:pPr>
        <w:spacing w:after="0" w:line="210"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Granite South Brunswick LLC</w:t>
      </w:r>
    </w:p>
    <w:p>
      <w:pPr>
        <w:ind w:left="2160"/>
        <w:spacing w:after="0" w:line="238" w:lineRule="auto"/>
        <w:rPr>
          <w:sz w:val="20"/>
          <w:szCs w:val="20"/>
          <w:color w:val="auto"/>
        </w:rPr>
      </w:pPr>
      <w:r>
        <w:rPr>
          <w:rFonts w:ascii="Arial" w:cs="Arial" w:eastAsia="Arial" w:hAnsi="Arial"/>
          <w:sz w:val="22"/>
          <w:szCs w:val="22"/>
          <w:color w:val="auto"/>
        </w:rPr>
        <w:t>c/o BlackRock Realty Advisors, Inc.</w:t>
      </w:r>
    </w:p>
    <w:p>
      <w:pPr>
        <w:ind w:left="2160"/>
        <w:spacing w:after="0"/>
        <w:rPr>
          <w:sz w:val="20"/>
          <w:szCs w:val="20"/>
          <w:color w:val="auto"/>
        </w:rPr>
      </w:pPr>
      <w:r>
        <w:rPr>
          <w:rFonts w:ascii="Arial" w:cs="Arial" w:eastAsia="Arial" w:hAnsi="Arial"/>
          <w:sz w:val="22"/>
          <w:szCs w:val="22"/>
          <w:color w:val="auto"/>
        </w:rPr>
        <w:t>40 E. 52</w:t>
      </w:r>
      <w:r>
        <w:rPr>
          <w:rFonts w:ascii="Arial" w:cs="Arial" w:eastAsia="Arial" w:hAnsi="Arial"/>
          <w:sz w:val="16"/>
          <w:szCs w:val="16"/>
          <w:color w:val="auto"/>
        </w:rPr>
        <w:t>nd</w:t>
      </w:r>
      <w:r>
        <w:rPr>
          <w:rFonts w:ascii="Arial" w:cs="Arial" w:eastAsia="Arial" w:hAnsi="Arial"/>
          <w:sz w:val="22"/>
          <w:szCs w:val="22"/>
          <w:color w:val="auto"/>
        </w:rPr>
        <w:t xml:space="preserve"> Street, 18</w:t>
      </w:r>
      <w:r>
        <w:rPr>
          <w:rFonts w:ascii="Arial" w:cs="Arial" w:eastAsia="Arial" w:hAnsi="Arial"/>
          <w:sz w:val="16"/>
          <w:szCs w:val="16"/>
          <w:color w:val="auto"/>
        </w:rPr>
        <w:t>th</w:t>
      </w:r>
      <w:r>
        <w:rPr>
          <w:rFonts w:ascii="Arial" w:cs="Arial" w:eastAsia="Arial" w:hAnsi="Arial"/>
          <w:sz w:val="22"/>
          <w:szCs w:val="22"/>
          <w:color w:val="auto"/>
        </w:rPr>
        <w:t xml:space="preserve"> Floor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1" w:name="page42"/>
    <w:bookmarkEnd w:id="41"/>
    <w:p>
      <w:pPr>
        <w:ind w:left="2160"/>
        <w:spacing w:after="0"/>
        <w:rPr>
          <w:sz w:val="20"/>
          <w:szCs w:val="20"/>
          <w:color w:val="auto"/>
        </w:rPr>
      </w:pPr>
      <w:r>
        <w:rPr>
          <w:rFonts w:ascii="Arial" w:cs="Arial" w:eastAsia="Arial" w:hAnsi="Arial"/>
          <w:sz w:val="22"/>
          <w:szCs w:val="22"/>
          <w:color w:val="auto"/>
        </w:rPr>
        <w:t>New York, New York 10022</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Attention: US Core Fund – Asset Manager</w:t>
      </w:r>
    </w:p>
    <w:p>
      <w:pPr>
        <w:spacing w:after="0" w:line="215"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Nixon Peabody LLP</w:t>
      </w:r>
    </w:p>
    <w:p>
      <w:pPr>
        <w:ind w:left="2160"/>
        <w:spacing w:after="0" w:line="238" w:lineRule="auto"/>
        <w:rPr>
          <w:sz w:val="20"/>
          <w:szCs w:val="20"/>
          <w:color w:val="auto"/>
        </w:rPr>
      </w:pPr>
      <w:r>
        <w:rPr>
          <w:rFonts w:ascii="Arial" w:cs="Arial" w:eastAsia="Arial" w:hAnsi="Arial"/>
          <w:sz w:val="22"/>
          <w:szCs w:val="22"/>
          <w:color w:val="auto"/>
        </w:rPr>
        <w:t>70 West Madison Street</w:t>
      </w:r>
    </w:p>
    <w:p>
      <w:pPr>
        <w:ind w:left="2160"/>
        <w:spacing w:after="0" w:line="230" w:lineRule="auto"/>
        <w:rPr>
          <w:sz w:val="20"/>
          <w:szCs w:val="20"/>
          <w:color w:val="auto"/>
        </w:rPr>
      </w:pPr>
      <w:r>
        <w:rPr>
          <w:rFonts w:ascii="Arial" w:cs="Arial" w:eastAsia="Arial" w:hAnsi="Arial"/>
          <w:sz w:val="22"/>
          <w:szCs w:val="22"/>
          <w:color w:val="auto"/>
        </w:rPr>
        <w:t>Suite 3500</w:t>
      </w:r>
    </w:p>
    <w:p>
      <w:pPr>
        <w:ind w:left="2160"/>
        <w:spacing w:after="0" w:line="231" w:lineRule="auto"/>
        <w:rPr>
          <w:sz w:val="20"/>
          <w:szCs w:val="20"/>
          <w:color w:val="auto"/>
        </w:rPr>
      </w:pPr>
      <w:r>
        <w:rPr>
          <w:rFonts w:ascii="Arial" w:cs="Arial" w:eastAsia="Arial" w:hAnsi="Arial"/>
          <w:sz w:val="22"/>
          <w:szCs w:val="22"/>
          <w:color w:val="auto"/>
        </w:rPr>
        <w:t>Chicago, Illinois 60602</w:t>
      </w:r>
    </w:p>
    <w:p>
      <w:pPr>
        <w:ind w:left="2160"/>
        <w:spacing w:after="0"/>
        <w:rPr>
          <w:sz w:val="20"/>
          <w:szCs w:val="20"/>
          <w:color w:val="auto"/>
        </w:rPr>
      </w:pPr>
      <w:r>
        <w:rPr>
          <w:rFonts w:ascii="Arial" w:cs="Arial" w:eastAsia="Arial" w:hAnsi="Arial"/>
          <w:sz w:val="22"/>
          <w:szCs w:val="22"/>
          <w:color w:val="auto"/>
        </w:rPr>
        <w:t>Attention: David B. Allswang, Esq.</w:t>
      </w:r>
    </w:p>
    <w:p>
      <w:pPr>
        <w:spacing w:after="0" w:line="200" w:lineRule="exact"/>
        <w:rPr>
          <w:sz w:val="20"/>
          <w:szCs w:val="20"/>
          <w:color w:val="auto"/>
        </w:rPr>
      </w:pPr>
    </w:p>
    <w:p>
      <w:pPr>
        <w:spacing w:after="0" w:line="252" w:lineRule="exact"/>
        <w:rPr>
          <w:sz w:val="20"/>
          <w:szCs w:val="20"/>
          <w:color w:val="auto"/>
        </w:rPr>
      </w:pPr>
    </w:p>
    <w:p>
      <w:pPr>
        <w:jc w:val="both"/>
        <w:ind w:left="200" w:right="219" w:firstLine="657"/>
        <w:spacing w:after="0" w:line="274" w:lineRule="auto"/>
        <w:tabs>
          <w:tab w:leader="none" w:pos="1496"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Warranty</w:t>
      </w:r>
      <w:r>
        <w:rPr>
          <w:rFonts w:ascii="Arial" w:cs="Arial" w:eastAsia="Arial" w:hAnsi="Arial"/>
          <w:sz w:val="19"/>
          <w:szCs w:val="19"/>
          <w:color w:val="auto"/>
        </w:rPr>
        <w:t>. Tenant warrants that it currently has no claims against Landlord and</w:t>
      </w:r>
      <w:r>
        <w:rPr>
          <w:rFonts w:ascii="Arial" w:cs="Arial" w:eastAsia="Arial" w:hAnsi="Arial"/>
          <w:sz w:val="19"/>
          <w:szCs w:val="19"/>
          <w:b w:val="1"/>
          <w:bCs w:val="1"/>
          <w:color w:val="auto"/>
        </w:rPr>
        <w:t xml:space="preserve"> </w:t>
      </w:r>
      <w:r>
        <w:rPr>
          <w:rFonts w:ascii="Arial" w:cs="Arial" w:eastAsia="Arial" w:hAnsi="Arial"/>
          <w:sz w:val="19"/>
          <w:szCs w:val="19"/>
          <w:color w:val="auto"/>
        </w:rPr>
        <w:t>that Tenant has had no dealings with any broker except Team Resources, Inc. (“</w:t>
      </w:r>
      <w:r>
        <w:rPr>
          <w:rFonts w:ascii="Arial" w:cs="Arial" w:eastAsia="Arial" w:hAnsi="Arial"/>
          <w:sz w:val="19"/>
          <w:szCs w:val="19"/>
          <w:b w:val="1"/>
          <w:bCs w:val="1"/>
          <w:color w:val="auto"/>
        </w:rPr>
        <w:t>Tenant’s</w:t>
      </w:r>
      <w:r>
        <w:rPr>
          <w:rFonts w:ascii="Arial" w:cs="Arial" w:eastAsia="Arial" w:hAnsi="Arial"/>
          <w:sz w:val="19"/>
          <w:szCs w:val="19"/>
          <w:color w:val="auto"/>
        </w:rPr>
        <w:t xml:space="preserve"> </w:t>
      </w:r>
      <w:r>
        <w:rPr>
          <w:rFonts w:ascii="Arial" w:cs="Arial" w:eastAsia="Arial" w:hAnsi="Arial"/>
          <w:sz w:val="19"/>
          <w:szCs w:val="19"/>
          <w:b w:val="1"/>
          <w:bCs w:val="1"/>
          <w:color w:val="auto"/>
        </w:rPr>
        <w:t>Broker</w:t>
      </w:r>
      <w:r>
        <w:rPr>
          <w:rFonts w:ascii="Arial" w:cs="Arial" w:eastAsia="Arial" w:hAnsi="Arial"/>
          <w:sz w:val="19"/>
          <w:szCs w:val="19"/>
          <w:color w:val="auto"/>
        </w:rPr>
        <w:t>”), representing Tenant, and Cushman &amp; Wakefield of New Jersey, Inc. (“</w:t>
      </w:r>
      <w:r>
        <w:rPr>
          <w:rFonts w:ascii="Arial" w:cs="Arial" w:eastAsia="Arial" w:hAnsi="Arial"/>
          <w:sz w:val="19"/>
          <w:szCs w:val="19"/>
          <w:b w:val="1"/>
          <w:bCs w:val="1"/>
          <w:color w:val="auto"/>
        </w:rPr>
        <w:t>Landlord’s Broker</w:t>
      </w:r>
      <w:r>
        <w:rPr>
          <w:rFonts w:ascii="Arial" w:cs="Arial" w:eastAsia="Arial" w:hAnsi="Arial"/>
          <w:sz w:val="19"/>
          <w:szCs w:val="19"/>
          <w:color w:val="auto"/>
        </w:rPr>
        <w:t>”), representing Landlord, in connection with this Amendment and agrees to defend, with</w:t>
      </w:r>
      <w:r>
        <w:rPr>
          <w:rFonts w:ascii="Arial" w:cs="Arial" w:eastAsia="Arial" w:hAnsi="Arial"/>
          <w:sz w:val="19"/>
          <w:szCs w:val="19"/>
          <w:b w:val="1"/>
          <w:bCs w:val="1"/>
          <w:color w:val="auto"/>
        </w:rPr>
        <w:t xml:space="preserve"> </w:t>
      </w:r>
      <w:r>
        <w:rPr>
          <w:rFonts w:ascii="Arial" w:cs="Arial" w:eastAsia="Arial" w:hAnsi="Arial"/>
          <w:sz w:val="19"/>
          <w:szCs w:val="19"/>
          <w:color w:val="auto"/>
        </w:rPr>
        <w:t>counsel approved by Landlord, indemnify and save Landlord harmless from and against any and all costs, expense or liability for any compensation, commission or charges (including, without limitation, reasonable attorney’s fees) claimed by any broker or agent who claims to have represented Tenant with respect to this Amendment. Landlord agrees to pay any leasing commission due Landlord’s Broker, and Landlord’s Broker shall pay any leasing commission due Tenant’s Broker or alternatively Landlord will pay Tenant’s Broker directly.</w:t>
      </w:r>
    </w:p>
    <w:p>
      <w:pPr>
        <w:spacing w:after="0" w:line="151" w:lineRule="exact"/>
        <w:rPr>
          <w:rFonts w:ascii="Arial" w:cs="Arial" w:eastAsia="Arial" w:hAnsi="Arial"/>
          <w:sz w:val="19"/>
          <w:szCs w:val="19"/>
          <w:color w:val="auto"/>
        </w:rPr>
      </w:pPr>
    </w:p>
    <w:p>
      <w:pPr>
        <w:jc w:val="both"/>
        <w:ind w:left="200" w:right="219" w:firstLine="657"/>
        <w:spacing w:after="0" w:line="251" w:lineRule="auto"/>
        <w:tabs>
          <w:tab w:leader="none" w:pos="14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Exculpation</w:t>
      </w:r>
      <w:r>
        <w:rPr>
          <w:rFonts w:ascii="Arial" w:cs="Arial" w:eastAsia="Arial" w:hAnsi="Arial"/>
          <w:sz w:val="21"/>
          <w:szCs w:val="21"/>
          <w:color w:val="auto"/>
        </w:rPr>
        <w:t>. All personal liability of Landlord or any trustee, director,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 employee or principal (disclosed or undisclosed) thereof of every kind or nature, if any, is waived by Tenant, and by every person now or hereafter claiming by, through or under Tenant; and Tenant shall look solely to Landlord’s estate in the Building for the payment of any claim against Landlord arising from a default by Landlord under the Lease.</w:t>
      </w:r>
    </w:p>
    <w:p>
      <w:pPr>
        <w:spacing w:after="0" w:line="195" w:lineRule="exact"/>
        <w:rPr>
          <w:rFonts w:ascii="Arial" w:cs="Arial" w:eastAsia="Arial" w:hAnsi="Arial"/>
          <w:sz w:val="21"/>
          <w:szCs w:val="21"/>
          <w:color w:val="auto"/>
        </w:rPr>
      </w:pPr>
    </w:p>
    <w:p>
      <w:pPr>
        <w:jc w:val="both"/>
        <w:ind w:left="200" w:right="219" w:firstLine="657"/>
        <w:spacing w:after="0" w:line="334" w:lineRule="auto"/>
        <w:tabs>
          <w:tab w:leader="none" w:pos="1496"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Full Force and Effect</w:t>
      </w:r>
      <w:r>
        <w:rPr>
          <w:rFonts w:ascii="Arial" w:cs="Arial" w:eastAsia="Arial" w:hAnsi="Arial"/>
          <w:sz w:val="19"/>
          <w:szCs w:val="19"/>
          <w:color w:val="auto"/>
        </w:rPr>
        <w:t>. Except as specifically modified herein, all other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the Lease shall remain in full force and effect and are hereby ratified, and confirmed.</w:t>
      </w:r>
    </w:p>
    <w:p>
      <w:pPr>
        <w:spacing w:after="0" w:line="120" w:lineRule="exact"/>
        <w:rPr>
          <w:rFonts w:ascii="Arial" w:cs="Arial" w:eastAsia="Arial" w:hAnsi="Arial"/>
          <w:sz w:val="19"/>
          <w:szCs w:val="19"/>
          <w:color w:val="auto"/>
        </w:rPr>
      </w:pPr>
    </w:p>
    <w:p>
      <w:pPr>
        <w:ind w:left="200" w:right="219" w:firstLine="657"/>
        <w:spacing w:after="0" w:line="256" w:lineRule="auto"/>
        <w:tabs>
          <w:tab w:leader="none" w:pos="1496"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Inconsistencies</w:t>
      </w:r>
      <w:r>
        <w:rPr>
          <w:rFonts w:ascii="Arial" w:cs="Arial" w:eastAsia="Arial" w:hAnsi="Arial"/>
          <w:sz w:val="22"/>
          <w:szCs w:val="22"/>
          <w:color w:val="auto"/>
        </w:rPr>
        <w:t>. In the event of inconsistencies between the Lease and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this Amendment will take precedence.</w:t>
      </w:r>
    </w:p>
    <w:p>
      <w:pPr>
        <w:spacing w:after="0" w:line="189" w:lineRule="exact"/>
        <w:rPr>
          <w:rFonts w:ascii="Arial" w:cs="Arial" w:eastAsia="Arial" w:hAnsi="Arial"/>
          <w:sz w:val="22"/>
          <w:szCs w:val="22"/>
          <w:color w:val="auto"/>
        </w:rPr>
      </w:pPr>
    </w:p>
    <w:p>
      <w:pPr>
        <w:jc w:val="both"/>
        <w:ind w:left="200" w:right="219" w:firstLine="657"/>
        <w:spacing w:after="0" w:line="243" w:lineRule="auto"/>
        <w:tabs>
          <w:tab w:leader="none" w:pos="1496"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This Amendment shall be binding upon and inure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the parties hereto and their respective representatives, transferees, successors and assigns.</w:t>
      </w:r>
    </w:p>
    <w:p>
      <w:pPr>
        <w:spacing w:after="0" w:line="176" w:lineRule="exact"/>
        <w:rPr>
          <w:rFonts w:ascii="Arial" w:cs="Arial" w:eastAsia="Arial" w:hAnsi="Arial"/>
          <w:sz w:val="22"/>
          <w:szCs w:val="22"/>
          <w:color w:val="auto"/>
        </w:rPr>
      </w:pPr>
    </w:p>
    <w:p>
      <w:pPr>
        <w:jc w:val="both"/>
        <w:ind w:left="200" w:right="219" w:firstLine="657"/>
        <w:spacing w:after="0" w:line="243" w:lineRule="auto"/>
        <w:tabs>
          <w:tab w:leader="none" w:pos="1496"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The person executing and delivering this Amendment on behalf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represents and warrants that he has full power, authority and right to do so on behalf of such party.</w:t>
      </w:r>
    </w:p>
    <w:p>
      <w:pPr>
        <w:spacing w:after="0" w:line="176" w:lineRule="exact"/>
        <w:rPr>
          <w:rFonts w:ascii="Arial" w:cs="Arial" w:eastAsia="Arial" w:hAnsi="Arial"/>
          <w:sz w:val="22"/>
          <w:szCs w:val="22"/>
          <w:color w:val="auto"/>
        </w:rPr>
      </w:pPr>
    </w:p>
    <w:p>
      <w:pPr>
        <w:ind w:left="200" w:right="239" w:firstLine="657"/>
        <w:spacing w:after="0" w:line="256" w:lineRule="auto"/>
        <w:tabs>
          <w:tab w:leader="none" w:pos="1496"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 This Amendment shall be governed by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laws of the State of New Jersey.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2" w:name="page43"/>
    <w:bookmarkEnd w:id="42"/>
    <w:p>
      <w:pPr>
        <w:ind w:left="200" w:right="239" w:firstLine="657"/>
        <w:spacing w:after="0" w:line="334" w:lineRule="auto"/>
        <w:tabs>
          <w:tab w:leader="none" w:pos="1496"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Section headings contained herein are for convenience or reference only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not govern the interpretation of any of the provisions contained herein.</w:t>
      </w:r>
    </w:p>
    <w:p>
      <w:pPr>
        <w:spacing w:after="0" w:line="93" w:lineRule="exact"/>
        <w:rPr>
          <w:rFonts w:ascii="Arial" w:cs="Arial" w:eastAsia="Arial" w:hAnsi="Arial"/>
          <w:sz w:val="19"/>
          <w:szCs w:val="19"/>
          <w:color w:val="auto"/>
        </w:rPr>
      </w:pPr>
    </w:p>
    <w:p>
      <w:pPr>
        <w:jc w:val="both"/>
        <w:ind w:left="200" w:right="219" w:firstLine="657"/>
        <w:spacing w:after="0" w:line="249" w:lineRule="auto"/>
        <w:tabs>
          <w:tab w:leader="none" w:pos="1496"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 and PDF Signature</w:t>
      </w:r>
      <w:r>
        <w:rPr>
          <w:rFonts w:ascii="Arial" w:cs="Arial" w:eastAsia="Arial" w:hAnsi="Arial"/>
          <w:sz w:val="21"/>
          <w:szCs w:val="21"/>
          <w:color w:val="auto"/>
        </w:rPr>
        <w:t>. This Amendment may be executed by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hereto in separate counterparts and have the same force and effect as if all of the parties had executed it as a single document. Execution and delivery of this Amendment by portable document format (“</w:t>
      </w:r>
      <w:r>
        <w:rPr>
          <w:rFonts w:ascii="Arial" w:cs="Arial" w:eastAsia="Arial" w:hAnsi="Arial"/>
          <w:sz w:val="21"/>
          <w:szCs w:val="21"/>
          <w:b w:val="1"/>
          <w:bCs w:val="1"/>
          <w:color w:val="auto"/>
        </w:rPr>
        <w:t>PDF</w:t>
      </w:r>
      <w:r>
        <w:rPr>
          <w:rFonts w:ascii="Arial" w:cs="Arial" w:eastAsia="Arial" w:hAnsi="Arial"/>
          <w:sz w:val="21"/>
          <w:szCs w:val="21"/>
          <w:color w:val="auto"/>
        </w:rPr>
        <w:t>”) copy bearing the PDF signature of any party hereto shall constitute a valid and binding execution and delivery of this Amendment by such party. Such PDF copies shall constitute enforceable original documents.</w:t>
      </w:r>
    </w:p>
    <w:p>
      <w:pPr>
        <w:spacing w:after="0" w:line="170" w:lineRule="exact"/>
        <w:rPr>
          <w:rFonts w:ascii="Arial" w:cs="Arial" w:eastAsia="Arial" w:hAnsi="Arial"/>
          <w:sz w:val="21"/>
          <w:szCs w:val="21"/>
          <w:color w:val="auto"/>
        </w:rPr>
      </w:pPr>
    </w:p>
    <w:p>
      <w:pPr>
        <w:jc w:val="both"/>
        <w:ind w:left="200" w:right="219" w:firstLine="657"/>
        <w:spacing w:after="0" w:line="239" w:lineRule="auto"/>
        <w:tabs>
          <w:tab w:leader="none" w:pos="149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Digital Images</w:t>
      </w:r>
      <w:r>
        <w:rPr>
          <w:rFonts w:ascii="Arial" w:cs="Arial" w:eastAsia="Arial" w:hAnsi="Arial"/>
          <w:sz w:val="22"/>
          <w:szCs w:val="22"/>
          <w:color w:val="auto"/>
        </w:rPr>
        <w:t>. The parties agree to accept a digital image of this Amendment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future amendments to the Lease, as executed, as true and correct originals and admissible as best evidence for the purposes of State law, Federal Rule of Evidence 1002, and like statutes and regulations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3" w:name="page44"/>
    <w:bookmarkEnd w:id="43"/>
    <w:p>
      <w:pPr>
        <w:ind w:left="200" w:right="219" w:firstLine="648"/>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Landlord and Tenant have executed this Amendment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set forth above.</w:t>
      </w:r>
    </w:p>
    <w:p>
      <w:pPr>
        <w:spacing w:after="0" w:line="200" w:lineRule="exact"/>
        <w:rPr>
          <w:sz w:val="20"/>
          <w:szCs w:val="20"/>
          <w:color w:val="auto"/>
        </w:rPr>
      </w:pPr>
    </w:p>
    <w:p>
      <w:pPr>
        <w:spacing w:after="0" w:line="232" w:lineRule="exact"/>
        <w:rPr>
          <w:sz w:val="20"/>
          <w:szCs w:val="20"/>
          <w:color w:val="auto"/>
        </w:rPr>
      </w:pPr>
    </w:p>
    <w:p>
      <w:pPr>
        <w:ind w:left="2800"/>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33"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Granite South Brunswick LLC</w:t>
      </w:r>
      <w:r>
        <w:rPr>
          <w:rFonts w:ascii="Arial" w:cs="Arial" w:eastAsia="Arial" w:hAnsi="Arial"/>
          <w:sz w:val="22"/>
          <w:szCs w:val="22"/>
          <w:color w:val="auto"/>
        </w:rPr>
        <w:t>,</w:t>
      </w:r>
    </w:p>
    <w:p>
      <w:pPr>
        <w:spacing w:after="0" w:line="1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a Delaware limited liability company</w:t>
      </w:r>
    </w:p>
    <w:p>
      <w:pPr>
        <w:sectPr>
          <w:pgSz w:w="11900" w:h="16838" w:orient="portrait"/>
          <w:cols w:equalWidth="0" w:num="1">
            <w:col w:w="9019"/>
          </w:cols>
          <w:pgMar w:left="1440" w:top="895" w:right="1440" w:bottom="1440" w:gutter="0" w:footer="0" w:header="0"/>
        </w:sectPr>
      </w:pPr>
    </w:p>
    <w:p>
      <w:pPr>
        <w:spacing w:after="0" w:line="2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839"/>
        <w:spacing w:after="0" w:line="328" w:lineRule="auto"/>
        <w:rPr>
          <w:sz w:val="20"/>
          <w:szCs w:val="20"/>
          <w:color w:val="auto"/>
        </w:rPr>
      </w:pPr>
      <w:r>
        <w:rPr>
          <w:rFonts w:ascii="Arial" w:cs="Arial" w:eastAsia="Arial" w:hAnsi="Arial"/>
          <w:sz w:val="19"/>
          <w:szCs w:val="19"/>
          <w:color w:val="auto"/>
        </w:rPr>
        <w:t>BlackRock Property Fund Operating Partnership, L.P., a Delaware limited partnership, its sole member</w:t>
      </w:r>
    </w:p>
    <w:p>
      <w:pPr>
        <w:spacing w:after="0" w:line="132" w:lineRule="exact"/>
        <w:rPr>
          <w:sz w:val="20"/>
          <w:szCs w:val="20"/>
          <w:color w:val="auto"/>
        </w:rPr>
      </w:pPr>
    </w:p>
    <w:p>
      <w:pPr>
        <w:sectPr>
          <w:pgSz w:w="11900" w:h="16838" w:orient="portrait"/>
          <w:cols w:equalWidth="0" w:num="2">
            <w:col w:w="3120" w:space="320"/>
            <w:col w:w="5579"/>
          </w:cols>
          <w:pgMar w:left="1440" w:top="895" w:right="1440" w:bottom="1440" w:gutter="0" w:footer="0" w:header="0"/>
          <w:type w:val="continuous"/>
        </w:sectPr>
      </w:pPr>
    </w:p>
    <w:p>
      <w:pPr>
        <w:ind w:left="3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1299"/>
        <w:spacing w:after="0"/>
        <w:rPr>
          <w:sz w:val="20"/>
          <w:szCs w:val="20"/>
          <w:color w:val="auto"/>
        </w:rPr>
      </w:pPr>
      <w:r>
        <w:rPr>
          <w:rFonts w:ascii="Arial" w:cs="Arial" w:eastAsia="Arial" w:hAnsi="Arial"/>
          <w:sz w:val="22"/>
          <w:szCs w:val="22"/>
          <w:color w:val="auto"/>
        </w:rPr>
        <w:t>BlackRock US Core Property Fund, LLC, a Delaware limited liability company, its general partner</w:t>
      </w:r>
    </w:p>
    <w:p>
      <w:pPr>
        <w:spacing w:after="0" w:line="200" w:lineRule="exact"/>
        <w:rPr>
          <w:sz w:val="20"/>
          <w:szCs w:val="20"/>
          <w:color w:val="auto"/>
        </w:rPr>
      </w:pPr>
    </w:p>
    <w:p>
      <w:pPr>
        <w:sectPr>
          <w:pgSz w:w="11900" w:h="16838" w:orient="portrait"/>
          <w:cols w:equalWidth="0" w:num="2">
            <w:col w:w="3760" w:space="340"/>
            <w:col w:w="4919"/>
          </w:cols>
          <w:pgMar w:left="1440" w:top="895" w:right="1440" w:bottom="1440" w:gutter="0" w:footer="0" w:header="0"/>
          <w:type w:val="continuous"/>
        </w:sectPr>
      </w:pPr>
    </w:p>
    <w:p>
      <w:pPr>
        <w:spacing w:after="0" w:line="1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ind w:right="719"/>
        <w:spacing w:after="0" w:line="328" w:lineRule="auto"/>
        <w:rPr>
          <w:sz w:val="20"/>
          <w:szCs w:val="20"/>
          <w:color w:val="auto"/>
        </w:rPr>
      </w:pPr>
      <w:r>
        <w:rPr>
          <w:rFonts w:ascii="Arial" w:cs="Arial" w:eastAsia="Arial" w:hAnsi="Arial"/>
          <w:sz w:val="19"/>
          <w:szCs w:val="19"/>
          <w:color w:val="auto"/>
        </w:rPr>
        <w:t>BlackRock US Core Property Fund, Inc., a Maryland corporation, its sole member</w:t>
      </w:r>
    </w:p>
    <w:p>
      <w:pPr>
        <w:spacing w:after="0" w:line="132" w:lineRule="exact"/>
        <w:rPr>
          <w:sz w:val="20"/>
          <w:szCs w:val="20"/>
          <w:color w:val="auto"/>
        </w:rPr>
      </w:pPr>
    </w:p>
    <w:p>
      <w:pPr>
        <w:sectPr>
          <w:pgSz w:w="11900" w:h="16838" w:orient="portrait"/>
          <w:cols w:equalWidth="0" w:num="2">
            <w:col w:w="4400" w:space="340"/>
            <w:col w:w="4279"/>
          </w:cols>
          <w:pgMar w:left="1440" w:top="895" w:right="1440" w:bottom="1440" w:gutter="0" w:footer="0" w:header="0"/>
          <w:type w:val="continuous"/>
        </w:sect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719"/>
        <w:spacing w:after="0"/>
        <w:rPr>
          <w:sz w:val="20"/>
          <w:szCs w:val="20"/>
          <w:color w:val="auto"/>
        </w:rPr>
      </w:pPr>
      <w:r>
        <w:rPr>
          <w:rFonts w:ascii="Arial" w:cs="Arial" w:eastAsia="Arial" w:hAnsi="Arial"/>
          <w:sz w:val="22"/>
          <w:szCs w:val="22"/>
          <w:color w:val="auto"/>
        </w:rPr>
        <w:t>BlackRock Realty Advisors, Inc., a Delaware corporation, its investment manager</w:t>
      </w:r>
    </w:p>
    <w:p>
      <w:pPr>
        <w:spacing w:after="0" w:line="200" w:lineRule="exact"/>
        <w:rPr>
          <w:sz w:val="20"/>
          <w:szCs w:val="20"/>
          <w:color w:val="auto"/>
        </w:rPr>
      </w:pPr>
    </w:p>
    <w:p>
      <w:pPr>
        <w:sectPr>
          <w:pgSz w:w="11900" w:h="16838" w:orient="portrait"/>
          <w:cols w:equalWidth="0" w:num="2">
            <w:col w:w="5060" w:space="340"/>
            <w:col w:w="3619"/>
          </w:cols>
          <w:pgMar w:left="1440" w:top="895" w:right="1440" w:bottom="1440" w:gutter="0" w:footer="0" w:header="0"/>
          <w:type w:val="continuous"/>
        </w:sectPr>
      </w:pPr>
    </w:p>
    <w:p>
      <w:pPr>
        <w:spacing w:after="0" w:line="256"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By: /s/ John Kent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1809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John Kent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-22225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-29210</wp:posOffset>
            </wp:positionV>
            <wp:extent cx="1234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9" w:lineRule="exact"/>
        <w:rPr>
          <w:sz w:val="20"/>
          <w:szCs w:val="20"/>
          <w:color w:val="auto"/>
        </w:rPr>
      </w:pPr>
    </w:p>
    <w:p>
      <w:pPr>
        <w:ind w:left="280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color w:val="auto"/>
        </w:rPr>
        <w:t>:</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19"/>
          <w:szCs w:val="19"/>
          <w:b w:val="1"/>
          <w:bCs w:val="1"/>
          <w:color w:val="auto"/>
        </w:rPr>
        <w:t>G III Apparel Group LTD</w:t>
      </w:r>
      <w:r>
        <w:rPr>
          <w:rFonts w:ascii="Arial" w:cs="Arial" w:eastAsia="Arial" w:hAnsi="Arial"/>
          <w:sz w:val="19"/>
          <w:szCs w:val="19"/>
          <w:color w:val="auto"/>
        </w:rPr>
        <w:t>, a Delaware corporation</w:t>
      </w:r>
    </w:p>
    <w:p>
      <w:pPr>
        <w:spacing w:after="0" w:line="200" w:lineRule="exact"/>
        <w:rPr>
          <w:sz w:val="20"/>
          <w:szCs w:val="20"/>
          <w:color w:val="auto"/>
        </w:rPr>
      </w:pPr>
    </w:p>
    <w:p>
      <w:pPr>
        <w:spacing w:after="0" w:line="31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Wayne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-17780</wp:posOffset>
            </wp:positionV>
            <wp:extent cx="1645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280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Wayne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-22860</wp:posOffset>
            </wp:positionV>
            <wp:extent cx="16459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22"/>
          <w:szCs w:val="22"/>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-29210</wp:posOffset>
            </wp:positionV>
            <wp:extent cx="25463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10, 2020</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10, 2020</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October 31, 2020,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10, 2020</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October 31, 2020,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10, 2020</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upperLetter"/>
      <w:start w:val="6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04"/>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decimal"/>
      <w:start w:val="14"/>
    </w:lvl>
  </w:abstractNum>
  <w:abstractNum w:abstractNumId="16">
    <w:nsid w:val="3F2DBA31"/>
    <w:multiLevelType w:val="hybridMultilevel"/>
    <w:lvl w:ilvl="0">
      <w:lvlJc w:val="left"/>
      <w:lvlText w:val="%1."/>
      <w:numFmt w:val="decimal"/>
      <w:start w:val="15"/>
    </w:lvl>
  </w:abstractNum>
  <w:abstractNum w:abstractNumId="17">
    <w:nsid w:val="7C83E458"/>
    <w:multiLevelType w:val="hybridMultilevel"/>
    <w:lvl w:ilvl="0">
      <w:lvlJc w:val="left"/>
      <w:lvlText w:val="%1."/>
      <w:numFmt w:val="decimal"/>
      <w:start w:val="22"/>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2020-12-10T15:34:06Z</dcterms:created>
  <dcterms:modified xsi:type="dcterms:W3CDTF">2020-12-10T15:34:06Z</dcterms:modified>
</cp:coreProperties>
</file>