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July 31, 2023</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Arial" w:cs="Arial" w:eastAsia="Arial" w:hAnsi="Arial"/>
                <w:sz w:val="14"/>
                <w:szCs w:val="14"/>
                <w:color w:val="auto"/>
                <w:w w:val="92"/>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4"/>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9795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13995"/>
                    </a:xfrm>
                    <a:prstGeom prst="rect">
                      <a:avLst/>
                    </a:prstGeom>
                    <a:noFill/>
                  </pic:spPr>
                </pic:pic>
              </a:graphicData>
            </a:graphic>
          </wp:anchor>
        </w:drawing>
      </w:r>
    </w:p>
    <w:p>
      <w:pPr>
        <w:spacing w:after="0" w:line="63"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8"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72"/>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78" w:lineRule="exact"/>
        <w:rPr>
          <w:sz w:val="24"/>
          <w:szCs w:val="24"/>
          <w:color w:val="auto"/>
        </w:rPr>
      </w:pPr>
    </w:p>
    <w:p>
      <w:pPr>
        <w:jc w:val="both"/>
        <w:ind w:left="1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9" w:lineRule="exact"/>
        <w:rPr>
          <w:sz w:val="24"/>
          <w:szCs w:val="24"/>
          <w:color w:val="auto"/>
        </w:rPr>
      </w:pPr>
    </w:p>
    <w:p>
      <w:pPr>
        <w:ind w:left="10" w:right="18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September 5, 2023, there were 45,721,002 shares of issuer’s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80" w:type="dxa"/>
            <w:vAlign w:val="bottom"/>
            <w:gridSpan w:val="9"/>
          </w:tcPr>
          <w:p>
            <w:pPr>
              <w:jc w:val="center"/>
              <w:ind w:right="2280"/>
              <w:spacing w:after="0"/>
              <w:rPr>
                <w:sz w:val="20"/>
                <w:szCs w:val="20"/>
                <w:color w:val="auto"/>
              </w:rPr>
            </w:pPr>
            <w:r>
              <w:rPr>
                <w:rFonts w:ascii="Arial" w:cs="Arial" w:eastAsia="Arial" w:hAnsi="Arial"/>
                <w:sz w:val="18"/>
                <w:szCs w:val="18"/>
                <w:b w:val="1"/>
                <w:bCs w:val="1"/>
                <w:color w:val="auto"/>
                <w:w w:val="98"/>
              </w:rPr>
              <w:t>TABLE OF CONTENTS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920" w:type="dxa"/>
            <w:vAlign w:val="bottom"/>
            <w:gridSpan w:val="8"/>
            <w:vMerge w:val="restart"/>
          </w:tcPr>
          <w:p>
            <w:pPr>
              <w:ind w:left="20"/>
              <w:spacing w:after="0"/>
              <w:rPr>
                <w:sz w:val="20"/>
                <w:szCs w:val="20"/>
                <w:color w:val="auto"/>
              </w:rPr>
            </w:pPr>
            <w:r>
              <w:rPr>
                <w:rFonts w:ascii="Arial" w:cs="Arial" w:eastAsia="Arial" w:hAnsi="Arial"/>
                <w:sz w:val="18"/>
                <w:szCs w:val="18"/>
                <w:color w:val="0000EE"/>
              </w:rPr>
              <w:t>Part I</w:t>
            </w:r>
          </w:p>
        </w:tc>
        <w:tc>
          <w:tcPr>
            <w:tcW w:w="7120" w:type="dxa"/>
            <w:vAlign w:val="bottom"/>
            <w:gridSpan w:val="20"/>
            <w:vMerge w:val="restart"/>
          </w:tcPr>
          <w:p>
            <w:pPr>
              <w:spacing w:after="0"/>
              <w:rPr>
                <w:sz w:val="20"/>
                <w:szCs w:val="20"/>
                <w:color w:val="auto"/>
              </w:rPr>
            </w:pPr>
            <w:r>
              <w:rPr>
                <w:rFonts w:ascii="Arial" w:cs="Arial" w:eastAsia="Arial" w:hAnsi="Arial"/>
                <w:sz w:val="18"/>
                <w:szCs w:val="18"/>
                <w:color w:val="0000EE"/>
              </w:rPr>
              <w:t>FINANCIAL INFORMATION</w:t>
            </w:r>
          </w:p>
        </w:tc>
        <w:tc>
          <w:tcPr>
            <w:tcW w:w="880" w:type="dxa"/>
            <w:vAlign w:val="bottom"/>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920" w:type="dxa"/>
            <w:vAlign w:val="bottom"/>
            <w:gridSpan w:val="8"/>
            <w:vMerge w:val="continue"/>
          </w:tcPr>
          <w:p>
            <w:pPr>
              <w:spacing w:after="0"/>
              <w:rPr>
                <w:sz w:val="13"/>
                <w:szCs w:val="13"/>
                <w:color w:val="auto"/>
              </w:rPr>
            </w:pPr>
          </w:p>
        </w:tc>
        <w:tc>
          <w:tcPr>
            <w:tcW w:w="7120" w:type="dxa"/>
            <w:vAlign w:val="bottom"/>
            <w:gridSpan w:val="20"/>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6"/>
          </w:tcPr>
          <w:p>
            <w:pPr>
              <w:spacing w:after="0" w:line="196" w:lineRule="exact"/>
              <w:rPr>
                <w:sz w:val="20"/>
                <w:szCs w:val="20"/>
                <w:color w:val="auto"/>
              </w:rPr>
            </w:pPr>
            <w:r>
              <w:rPr>
                <w:rFonts w:ascii="Arial" w:cs="Arial" w:eastAsia="Arial" w:hAnsi="Arial"/>
                <w:sz w:val="18"/>
                <w:szCs w:val="18"/>
                <w:color w:val="0000EE"/>
              </w:rPr>
              <w:t>Item 1.</w:t>
            </w:r>
          </w:p>
        </w:tc>
        <w:tc>
          <w:tcPr>
            <w:tcW w:w="7120" w:type="dxa"/>
            <w:vAlign w:val="bottom"/>
            <w:gridSpan w:val="20"/>
          </w:tcPr>
          <w:p>
            <w:pPr>
              <w:spacing w:after="0" w:line="196" w:lineRule="exact"/>
              <w:rPr>
                <w:sz w:val="20"/>
                <w:szCs w:val="20"/>
                <w:color w:val="auto"/>
              </w:rPr>
            </w:pPr>
            <w:r>
              <w:rPr>
                <w:rFonts w:ascii="Arial" w:cs="Arial" w:eastAsia="Arial" w:hAnsi="Arial"/>
                <w:sz w:val="18"/>
                <w:szCs w:val="18"/>
                <w:color w:val="0000EE"/>
              </w:rPr>
              <w:t>Financial Statements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Consolidated Balance Sheets –July 31, 2023 (Unaudited), July 31, 2022 (Unaudited)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7"/>
              </w:rPr>
              <w:t>and January 31, 2023</w:t>
            </w:r>
          </w:p>
        </w:tc>
        <w:tc>
          <w:tcPr>
            <w:tcW w:w="5420" w:type="dxa"/>
            <w:vAlign w:val="bottom"/>
            <w:gridSpan w:val="1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20"/>
          </w:tcPr>
          <w:p>
            <w:pPr>
              <w:spacing w:after="0" w:line="196" w:lineRule="exact"/>
              <w:rPr>
                <w:sz w:val="20"/>
                <w:szCs w:val="20"/>
                <w:color w:val="auto"/>
              </w:rPr>
            </w:pPr>
            <w:r>
              <w:rPr>
                <w:rFonts w:ascii="Arial" w:cs="Arial" w:eastAsia="Arial" w:hAnsi="Arial"/>
                <w:sz w:val="18"/>
                <w:szCs w:val="18"/>
                <w:color w:val="0000EE"/>
                <w:w w:val="92"/>
              </w:rPr>
              <w:t>Condensed Consolidated Statements of Operations and Comprehensive Income - For the Three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30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and Six Months Ended July 31, 2023 and 2022 (Unaudited)</w:t>
            </w:r>
          </w:p>
        </w:tc>
        <w:tc>
          <w:tcPr>
            <w:tcW w:w="242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20"/>
          </w:tcPr>
          <w:p>
            <w:pPr>
              <w:spacing w:after="0" w:line="196" w:lineRule="exact"/>
              <w:rPr>
                <w:sz w:val="20"/>
                <w:szCs w:val="20"/>
                <w:color w:val="auto"/>
              </w:rPr>
            </w:pPr>
            <w:r>
              <w:rPr>
                <w:rFonts w:ascii="Arial" w:cs="Arial" w:eastAsia="Arial" w:hAnsi="Arial"/>
                <w:sz w:val="18"/>
                <w:szCs w:val="18"/>
                <w:color w:val="0000EE"/>
                <w:w w:val="93"/>
              </w:rPr>
              <w:t>Condensed Consolidated Statements of Stockholders’ Equity –July 31, 2023 and July 31, 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(Unaudited)</w:t>
            </w:r>
          </w:p>
        </w:tc>
        <w:tc>
          <w:tcPr>
            <w:tcW w:w="5820" w:type="dxa"/>
            <w:vAlign w:val="bottom"/>
            <w:tcBorders>
              <w:top w:val="single" w:sz="8" w:color="0000EE"/>
            </w:tcBorders>
            <w:gridSpan w:val="12"/>
          </w:tcPr>
          <w:p>
            <w:pPr>
              <w:spacing w:after="0"/>
              <w:rPr>
                <w:sz w:val="17"/>
                <w:szCs w:val="17"/>
                <w:color w:val="auto"/>
              </w:rPr>
            </w:pPr>
          </w:p>
        </w:tc>
        <w:tc>
          <w:tcPr>
            <w:tcW w:w="30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 For the Six Months Ended July 31, 2023</w:t>
            </w:r>
          </w:p>
        </w:tc>
        <w:tc>
          <w:tcPr>
            <w:tcW w:w="34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gridSpan w:val="19"/>
          </w:tcPr>
          <w:p>
            <w:pPr>
              <w:spacing w:after="0" w:line="196" w:lineRule="exact"/>
              <w:rPr>
                <w:sz w:val="20"/>
                <w:szCs w:val="20"/>
                <w:color w:val="auto"/>
              </w:rPr>
            </w:pPr>
            <w:r>
              <w:rPr>
                <w:rFonts w:ascii="Arial" w:cs="Arial" w:eastAsia="Arial" w:hAnsi="Arial"/>
                <w:sz w:val="18"/>
                <w:szCs w:val="18"/>
                <w:color w:val="0000EE"/>
              </w:rPr>
              <w:t>and 2022 (Unaudited)</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20"/>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6"/>
          </w:tcPr>
          <w:p>
            <w:pPr>
              <w:spacing w:after="0" w:line="19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6"/>
          </w:tcPr>
          <w:p>
            <w:pPr>
              <w:spacing w:after="0" w:line="19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6"/>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8"/>
          </w:tcPr>
          <w:p>
            <w:pPr>
              <w:ind w:left="20"/>
              <w:spacing w:after="0"/>
              <w:rPr>
                <w:sz w:val="20"/>
                <w:szCs w:val="20"/>
                <w:color w:val="auto"/>
              </w:rPr>
            </w:pPr>
            <w:r>
              <w:rPr>
                <w:rFonts w:ascii="Arial" w:cs="Arial" w:eastAsia="Arial" w:hAnsi="Arial"/>
                <w:sz w:val="18"/>
                <w:szCs w:val="18"/>
                <w:color w:val="0000EE"/>
              </w:rPr>
              <w:t>Part II</w:t>
            </w:r>
          </w:p>
        </w:tc>
        <w:tc>
          <w:tcPr>
            <w:tcW w:w="712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6"/>
          </w:tcPr>
          <w:p>
            <w:pPr>
              <w:spacing w:after="0" w:line="196" w:lineRule="exact"/>
              <w:rPr>
                <w:sz w:val="20"/>
                <w:szCs w:val="20"/>
                <w:color w:val="auto"/>
              </w:rPr>
            </w:pPr>
            <w:r>
              <w:rPr>
                <w:rFonts w:ascii="Arial" w:cs="Arial" w:eastAsia="Arial" w:hAnsi="Arial"/>
                <w:sz w:val="18"/>
                <w:szCs w:val="18"/>
                <w:color w:val="0000EE"/>
              </w:rPr>
              <w:t>Item 1A. Risk Factors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6"/>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Item 5.</w:t>
            </w:r>
          </w:p>
        </w:tc>
        <w:tc>
          <w:tcPr>
            <w:tcW w:w="140" w:type="dxa"/>
            <w:vAlign w:val="bottom"/>
            <w:gridSpan w:val="2"/>
          </w:tcPr>
          <w:p>
            <w:pPr>
              <w:spacing w:after="0"/>
              <w:rPr>
                <w:sz w:val="17"/>
                <w:szCs w:val="17"/>
                <w:color w:val="auto"/>
              </w:rPr>
            </w:pPr>
          </w:p>
        </w:tc>
        <w:tc>
          <w:tcPr>
            <w:tcW w:w="436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Other Information</w:t>
            </w:r>
          </w:p>
        </w:tc>
        <w:tc>
          <w:tcPr>
            <w:tcW w:w="2760" w:type="dxa"/>
            <w:vAlign w:val="bottom"/>
            <w:gridSpan w:val="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Item 6.</w:t>
            </w:r>
          </w:p>
        </w:tc>
        <w:tc>
          <w:tcPr>
            <w:tcW w:w="140" w:type="dxa"/>
            <w:vAlign w:val="bottom"/>
            <w:gridSpan w:val="2"/>
          </w:tcPr>
          <w:p>
            <w:pPr>
              <w:spacing w:after="0"/>
              <w:rPr>
                <w:sz w:val="17"/>
                <w:szCs w:val="17"/>
                <w:color w:val="auto"/>
              </w:rPr>
            </w:pPr>
          </w:p>
        </w:tc>
        <w:tc>
          <w:tcPr>
            <w:tcW w:w="13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Exhibits</w:t>
            </w:r>
          </w:p>
        </w:tc>
        <w:tc>
          <w:tcPr>
            <w:tcW w:w="5820" w:type="dxa"/>
            <w:vAlign w:val="bottom"/>
            <w:gridSpan w:val="1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3380" w:type="dxa"/>
            <w:vAlign w:val="bottom"/>
            <w:gridSpan w:val="9"/>
          </w:tcPr>
          <w:p>
            <w:pPr>
              <w:jc w:val="right"/>
              <w:ind w:right="31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July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right"/>
              <w:ind w:right="29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150,977</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40" w:type="dxa"/>
            <w:vAlign w:val="bottom"/>
          </w:tcPr>
          <w:p>
            <w:pPr>
              <w:ind w:left="80"/>
              <w:spacing w:after="0" w:line="185" w:lineRule="exact"/>
              <w:rPr>
                <w:sz w:val="20"/>
                <w:szCs w:val="20"/>
                <w:color w:val="auto"/>
              </w:rPr>
            </w:pPr>
            <w:r>
              <w:rPr>
                <w:rFonts w:ascii="Arial" w:cs="Arial" w:eastAsia="Arial" w:hAnsi="Arial"/>
                <w:sz w:val="17"/>
                <w:szCs w:val="17"/>
                <w:color w:val="auto"/>
                <w:w w:val="99"/>
              </w:rPr>
              <w:t>Accounts receivable, net of allowance for doubtful accounts of $18,491,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$18,067 and $18,297,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519,361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488,523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674,963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804,858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1,040,814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72,143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83,954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1,602,685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1,765,410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53,791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54,421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Other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56,051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55,462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622,182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304,930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2,662,053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3,082,354</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2,712,405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62,732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80,109</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135,518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438,167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146,933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130,806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54,563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49,734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624,012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769,386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579,069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403,304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495,668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483,840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36,447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192,981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179,247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14,929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1,281,084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1,498,144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1,327,807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Redeemable noncontrolling interests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40" w:type="dxa"/>
            <w:vAlign w:val="bottom"/>
          </w:tcPr>
          <w:p>
            <w:pPr>
              <w:ind w:left="80"/>
              <w:spacing w:after="0" w:line="185" w:lineRule="exact"/>
              <w:rPr>
                <w:sz w:val="20"/>
                <w:szCs w:val="20"/>
                <w:color w:val="auto"/>
              </w:rPr>
            </w:pPr>
            <w:r>
              <w:rPr>
                <w:rFonts w:ascii="Arial" w:cs="Arial" w:eastAsia="Arial" w:hAnsi="Arial"/>
                <w:sz w:val="17"/>
                <w:szCs w:val="17"/>
                <w:color w:val="auto"/>
                <w:w w:val="92"/>
              </w:rPr>
              <w:t>Common stock - $0.01 par value; 120,000 shares authorized; 49,396, 49,396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and 49,396 shares issued,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1,003,618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1,183,958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983,944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40" w:type="dxa"/>
            <w:vAlign w:val="bottom"/>
          </w:tcPr>
          <w:p>
            <w:pPr>
              <w:ind w:left="80"/>
              <w:spacing w:after="0" w:line="185" w:lineRule="exact"/>
              <w:rPr>
                <w:sz w:val="20"/>
                <w:szCs w:val="20"/>
                <w:color w:val="auto"/>
              </w:rPr>
            </w:pPr>
            <w:r>
              <w:rPr>
                <w:rFonts w:ascii="Arial" w:cs="Arial" w:eastAsia="Arial" w:hAnsi="Arial"/>
                <w:sz w:val="17"/>
                <w:szCs w:val="17"/>
                <w:color w:val="auto"/>
                <w:w w:val="98"/>
              </w:rPr>
              <w:t>Common stock held in treasury, at cost - 3,675, 1,909 and 2,680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(45,616)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1,382,115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1,584,001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1,385,448</w:t>
            </w:r>
          </w:p>
        </w:tc>
        <w:tc>
          <w:tcPr>
            <w:tcW w:w="0" w:type="dxa"/>
            <w:vAlign w:val="bottom"/>
          </w:tcPr>
          <w:p>
            <w:pPr>
              <w:spacing w:after="0"/>
              <w:rPr>
                <w:sz w:val="1"/>
                <w:szCs w:val="1"/>
                <w:color w:val="auto"/>
              </w:rPr>
            </w:pPr>
          </w:p>
        </w:tc>
      </w:tr>
      <w:tr>
        <w:trPr>
          <w:trHeight w:val="196"/>
        </w:trPr>
        <w:tc>
          <w:tcPr>
            <w:tcW w:w="5460" w:type="dxa"/>
            <w:vAlign w:val="bottom"/>
            <w:gridSpan w:val="2"/>
          </w:tcPr>
          <w:p>
            <w:pPr>
              <w:spacing w:after="0"/>
              <w:rPr>
                <w:sz w:val="20"/>
                <w:szCs w:val="20"/>
                <w:color w:val="auto"/>
              </w:rPr>
            </w:pPr>
            <w:r>
              <w:rPr>
                <w:rFonts w:ascii="Arial" w:cs="Arial" w:eastAsia="Arial" w:hAnsi="Arial"/>
                <w:sz w:val="17"/>
                <w:szCs w:val="17"/>
                <w:color w:val="auto"/>
                <w:w w:val="95"/>
              </w:rPr>
              <w:t>Total liabilities, redeemable noncontrolling interests and stockholders' equity</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2,662,053</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3,082,354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2,712,405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 Months Ended July 31,</w:t>
            </w:r>
          </w:p>
        </w:tc>
        <w:tc>
          <w:tcPr>
            <w:tcW w:w="100" w:type="dxa"/>
            <w:vAlign w:val="bottom"/>
          </w:tcPr>
          <w:p>
            <w:pPr>
              <w:spacing w:after="0"/>
              <w:rPr>
                <w:sz w:val="16"/>
                <w:szCs w:val="16"/>
                <w:color w:val="auto"/>
              </w:rPr>
            </w:pPr>
          </w:p>
        </w:tc>
        <w:tc>
          <w:tcPr>
            <w:tcW w:w="178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10"/>
          </w:tcPr>
          <w:p>
            <w:pPr>
              <w:jc w:val="right"/>
              <w:ind w:right="63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659,761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605,244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1,266,350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1,294,001</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Cost of goods sold</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383,108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376,318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739,897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819,036</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228,926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474,965</w:t>
            </w:r>
          </w:p>
        </w:tc>
        <w:tc>
          <w:tcPr>
            <w:tcW w:w="0" w:type="dxa"/>
            <w:vAlign w:val="bottom"/>
          </w:tcPr>
          <w:p>
            <w:pPr>
              <w:spacing w:after="0"/>
              <w:rPr>
                <w:sz w:val="1"/>
                <w:szCs w:val="1"/>
                <w:color w:val="auto"/>
              </w:rPr>
            </w:pPr>
          </w:p>
        </w:tc>
      </w:tr>
      <w:tr>
        <w:trPr>
          <w:trHeight w:val="203"/>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239,207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191,012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467,168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376,420</w:t>
            </w:r>
          </w:p>
        </w:tc>
        <w:tc>
          <w:tcPr>
            <w:tcW w:w="0" w:type="dxa"/>
            <w:vAlign w:val="bottom"/>
          </w:tcPr>
          <w:p>
            <w:pPr>
              <w:spacing w:after="0"/>
              <w:rPr>
                <w:sz w:val="1"/>
                <w:szCs w:val="1"/>
                <w:color w:val="auto"/>
              </w:rPr>
            </w:pPr>
          </w:p>
        </w:tc>
      </w:tr>
      <w:tr>
        <w:trPr>
          <w:trHeight w:val="203"/>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12,535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820" w:type="dxa"/>
            <w:vAlign w:val="bottom"/>
            <w:gridSpan w:val="3"/>
          </w:tcPr>
          <w:p>
            <w:pPr>
              <w:ind w:left="100"/>
              <w:spacing w:after="0"/>
              <w:rPr>
                <w:sz w:val="20"/>
                <w:szCs w:val="20"/>
                <w:color w:val="auto"/>
              </w:rPr>
            </w:pPr>
            <w:r>
              <w:rPr>
                <w:rFonts w:ascii="Arial" w:cs="Arial" w:eastAsia="Arial" w:hAnsi="Arial"/>
                <w:sz w:val="17"/>
                <w:szCs w:val="17"/>
                <w:color w:val="auto"/>
              </w:rPr>
              <w:t>Operating profit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31,487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31,258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85,794</w:t>
            </w:r>
          </w:p>
        </w:tc>
        <w:tc>
          <w:tcPr>
            <w:tcW w:w="0" w:type="dxa"/>
            <w:vAlign w:val="bottom"/>
          </w:tcPr>
          <w:p>
            <w:pPr>
              <w:spacing w:after="0"/>
              <w:rPr>
                <w:sz w:val="1"/>
                <w:szCs w:val="1"/>
                <w:color w:val="auto"/>
              </w:rPr>
            </w:pPr>
          </w:p>
        </w:tc>
      </w:tr>
      <w:tr>
        <w:trPr>
          <w:trHeight w:val="203"/>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27,618</w:t>
            </w:r>
          </w:p>
        </w:tc>
        <w:tc>
          <w:tcPr>
            <w:tcW w:w="0" w:type="dxa"/>
            <w:vAlign w:val="bottom"/>
          </w:tcPr>
          <w:p>
            <w:pPr>
              <w:spacing w:after="0"/>
              <w:rPr>
                <w:sz w:val="1"/>
                <w:szCs w:val="1"/>
                <w:color w:val="auto"/>
              </w:rPr>
            </w:pPr>
          </w:p>
        </w:tc>
      </w:tr>
      <w:tr>
        <w:trPr>
          <w:trHeight w:val="203"/>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Interest and financing charges, net</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(9,492)</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(12,550)</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(21,642)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(24,753)</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Income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49,033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26,273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88,659</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21,968</w:t>
            </w:r>
          </w:p>
        </w:tc>
        <w:tc>
          <w:tcPr>
            <w:tcW w:w="0" w:type="dxa"/>
            <w:vAlign w:val="bottom"/>
          </w:tcPr>
          <w:p>
            <w:pPr>
              <w:spacing w:after="0"/>
              <w:rPr>
                <w:sz w:val="1"/>
                <w:szCs w:val="1"/>
                <w:color w:val="auto"/>
              </w:rPr>
            </w:pPr>
          </w:p>
        </w:tc>
      </w:tr>
      <w:tr>
        <w:trPr>
          <w:trHeight w:val="196"/>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66,691</w:t>
            </w:r>
          </w:p>
        </w:tc>
        <w:tc>
          <w:tcPr>
            <w:tcW w:w="0" w:type="dxa"/>
            <w:vAlign w:val="bottom"/>
          </w:tcPr>
          <w:p>
            <w:pPr>
              <w:spacing w:after="0"/>
              <w:rPr>
                <w:sz w:val="1"/>
                <w:szCs w:val="1"/>
                <w:color w:val="auto"/>
              </w:rPr>
            </w:pPr>
          </w:p>
        </w:tc>
      </w:tr>
      <w:tr>
        <w:trPr>
          <w:trHeight w:val="203"/>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Less: Loss attributable to noncontrolling interests</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(202)</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Net income attributable to G-III Apparel Group, Ltd.</w:t>
            </w: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66,953</w:t>
            </w:r>
          </w:p>
        </w:tc>
        <w:tc>
          <w:tcPr>
            <w:tcW w:w="0" w:type="dxa"/>
            <w:vAlign w:val="bottom"/>
          </w:tcPr>
          <w:p>
            <w:pPr>
              <w:spacing w:after="0"/>
              <w:rPr>
                <w:sz w:val="1"/>
                <w:szCs w:val="1"/>
                <w:color w:val="auto"/>
              </w:rPr>
            </w:pPr>
          </w:p>
        </w:tc>
      </w:tr>
      <w:tr>
        <w:trPr>
          <w:trHeight w:val="20"/>
        </w:trPr>
        <w:tc>
          <w:tcPr>
            <w:tcW w:w="4940" w:type="dxa"/>
            <w:vAlign w:val="bottom"/>
            <w:gridSpan w:val="4"/>
            <w:vMerge w:val="restart"/>
          </w:tcPr>
          <w:p>
            <w:pPr>
              <w:ind w:left="20"/>
              <w:spacing w:after="0"/>
              <w:rPr>
                <w:sz w:val="20"/>
                <w:szCs w:val="20"/>
                <w:color w:val="auto"/>
              </w:rPr>
            </w:pPr>
            <w:r>
              <w:rPr>
                <w:rFonts w:ascii="Arial" w:cs="Arial" w:eastAsia="Arial" w:hAnsi="Arial"/>
                <w:sz w:val="17"/>
                <w:szCs w:val="17"/>
                <w:b w:val="1"/>
                <w:bCs w:val="1"/>
                <w:color w:val="auto"/>
              </w:rPr>
              <w:t>NET INCOME PER COMMON SHARE ATTRIBUTABLE</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9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940" w:type="dxa"/>
            <w:vAlign w:val="bottom"/>
            <w:gridSpan w:val="4"/>
          </w:tcPr>
          <w:p>
            <w:pPr>
              <w:ind w:left="20"/>
              <w:spacing w:after="0"/>
              <w:rPr>
                <w:sz w:val="20"/>
                <w:szCs w:val="20"/>
                <w:color w:val="auto"/>
              </w:rPr>
            </w:pPr>
            <w:r>
              <w:rPr>
                <w:rFonts w:ascii="Arial" w:cs="Arial" w:eastAsia="Arial" w:hAnsi="Arial"/>
                <w:sz w:val="17"/>
                <w:szCs w:val="17"/>
                <w:b w:val="1"/>
                <w:bCs w:val="1"/>
                <w:color w:val="auto"/>
              </w:rPr>
              <w:t>TO G-III APPAREL GROUP, LTD.: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40" w:type="dxa"/>
            <w:vAlign w:val="bottom"/>
            <w:gridSpan w:val="4"/>
          </w:tcPr>
          <w:p>
            <w:pPr>
              <w:ind w:left="120"/>
              <w:spacing w:after="0" w:line="180" w:lineRule="exact"/>
              <w:rPr>
                <w:sz w:val="20"/>
                <w:szCs w:val="20"/>
                <w:color w:val="auto"/>
              </w:rPr>
            </w:pPr>
            <w:r>
              <w:rPr>
                <w:rFonts w:ascii="Arial" w:cs="Arial" w:eastAsia="Arial" w:hAnsi="Arial"/>
                <w:sz w:val="17"/>
                <w:szCs w:val="17"/>
                <w:color w:val="auto"/>
              </w:rPr>
              <w:t>Basic:</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Net income per common share</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20" w:type="dxa"/>
            <w:vAlign w:val="bottom"/>
            <w:gridSpan w:val="3"/>
            <w:vMerge w:val="restart"/>
          </w:tcPr>
          <w:p>
            <w:pPr>
              <w:ind w:left="100"/>
              <w:spacing w:after="0"/>
              <w:rPr>
                <w:sz w:val="20"/>
                <w:szCs w:val="20"/>
                <w:color w:val="auto"/>
              </w:rPr>
            </w:pPr>
            <w:r>
              <w:rPr>
                <w:rFonts w:ascii="Arial" w:cs="Arial" w:eastAsia="Arial" w:hAnsi="Arial"/>
                <w:sz w:val="17"/>
                <w:szCs w:val="17"/>
                <w:color w:val="auto"/>
              </w:rPr>
              <w:t>Weighted average number of shares outstanding</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45,714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47,999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45,996</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48,007</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4"/>
          </w:tcPr>
          <w:p>
            <w:pPr>
              <w:ind w:left="120"/>
              <w:spacing w:after="0" w:line="162" w:lineRule="exact"/>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Net income per common share</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20" w:type="dxa"/>
            <w:vAlign w:val="bottom"/>
            <w:gridSpan w:val="3"/>
            <w:vMerge w:val="restart"/>
          </w:tcPr>
          <w:p>
            <w:pPr>
              <w:ind w:left="100"/>
              <w:spacing w:after="0"/>
              <w:rPr>
                <w:sz w:val="20"/>
                <w:szCs w:val="20"/>
                <w:color w:val="auto"/>
              </w:rPr>
            </w:pPr>
            <w:r>
              <w:rPr>
                <w:rFonts w:ascii="Arial" w:cs="Arial" w:eastAsia="Arial" w:hAnsi="Arial"/>
                <w:sz w:val="17"/>
                <w:szCs w:val="17"/>
                <w:color w:val="auto"/>
              </w:rPr>
              <w:t>Weighted average number of shares outstanding</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46,570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49,019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46,992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49,061</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16,236</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36,065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19,377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66,691</w:t>
            </w:r>
          </w:p>
        </w:tc>
        <w:tc>
          <w:tcPr>
            <w:tcW w:w="0" w:type="dxa"/>
            <w:vAlign w:val="bottom"/>
          </w:tcPr>
          <w:p>
            <w:pPr>
              <w:spacing w:after="0"/>
              <w:rPr>
                <w:sz w:val="1"/>
                <w:szCs w:val="1"/>
                <w:color w:val="auto"/>
              </w:rPr>
            </w:pPr>
          </w:p>
        </w:tc>
      </w:tr>
      <w:tr>
        <w:trPr>
          <w:trHeight w:val="203"/>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Comprehensive income</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18,595</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38,558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26,451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65,054</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820" w:type="dxa"/>
            <w:vAlign w:val="bottom"/>
            <w:gridSpan w:val="3"/>
            <w:shd w:val="clear" w:color="auto" w:fill="CCEEFF"/>
          </w:tcPr>
          <w:p>
            <w:pPr>
              <w:ind w:left="100"/>
              <w:spacing w:after="0" w:line="179" w:lineRule="exact"/>
              <w:rPr>
                <w:sz w:val="20"/>
                <w:szCs w:val="20"/>
                <w:color w:val="auto"/>
              </w:rPr>
            </w:pPr>
            <w:r>
              <w:rPr>
                <w:rFonts w:ascii="Arial" w:cs="Arial" w:eastAsia="Arial" w:hAnsi="Arial"/>
                <w:sz w:val="17"/>
                <w:szCs w:val="17"/>
                <w:color w:val="auto"/>
              </w:rPr>
              <w:t>Comprehensive loss attributable to noncontrolling interests: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820" w:type="dxa"/>
            <w:vAlign w:val="bottom"/>
            <w:gridSpan w:val="3"/>
          </w:tcPr>
          <w:p>
            <w:pPr>
              <w:ind w:left="220"/>
              <w:spacing w:after="0"/>
              <w:rPr>
                <w:sz w:val="20"/>
                <w:szCs w:val="20"/>
                <w:color w:val="auto"/>
              </w:rPr>
            </w:pPr>
            <w:r>
              <w:rPr>
                <w:rFonts w:ascii="Arial" w:cs="Arial" w:eastAsia="Arial" w:hAnsi="Arial"/>
                <w:sz w:val="17"/>
                <w:szCs w:val="17"/>
                <w:color w:val="auto"/>
              </w:rPr>
              <w:t>Net loss</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(202)</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Comprehensive loss attributable to noncontrolling interests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G-III Apparel Group, Ltd.</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26,130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Held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left="52"/>
              <w:spacing w:after="0" w:line="160"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30, 2023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$ 472,474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987,180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(72,535)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1,380,447</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(15,940)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(10,773)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(9,331)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8"/>
                <w:szCs w:val="18"/>
                <w:color w:val="auto"/>
              </w:rPr>
              <w:t>Balance as of July 31, 2023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$ 448,762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1,003,618</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(65,926)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1,382,115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30, 2022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$ 460,999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1,147,639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(31,953)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1,558,292</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(2,959)</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(16,622)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8"/>
                <w:szCs w:val="18"/>
                <w:color w:val="auto"/>
              </w:rPr>
              <w:t>Balance as of July 31, 2022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$ 461,621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1,183,958</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(45,616)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1,584,001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$ 468,712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(55,819)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1,385,448</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(15,993)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(10,795)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19,674</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$ 448,762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1,003,618</w:t>
            </w:r>
          </w:p>
        </w:tc>
        <w:tc>
          <w:tcPr>
            <w:tcW w:w="1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(65,926)</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1,382,115</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Balance as of January 31, 2022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$ 456,329</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(14,529)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1,117,005</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(39,157)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1,519,912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awards vested,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02"/>
        </w:trPr>
        <w:tc>
          <w:tcPr>
            <w:tcW w:w="328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66,953</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66,953</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$ 461,621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1,183,958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(45,616)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1,584,001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in</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200" w:type="dxa"/>
            <w:vAlign w:val="bottom"/>
            <w:vMerge w:val="continue"/>
          </w:tcPr>
          <w:p>
            <w:pPr>
              <w:spacing w:after="0"/>
              <w:rPr>
                <w:sz w:val="11"/>
                <w:szCs w:val="11"/>
                <w:color w:val="auto"/>
              </w:rPr>
            </w:pPr>
          </w:p>
        </w:tc>
        <w:tc>
          <w:tcPr>
            <w:tcW w:w="940" w:type="dxa"/>
            <w:vAlign w:val="bottom"/>
            <w:gridSpan w:val="2"/>
          </w:tcPr>
          <w:p>
            <w:pPr>
              <w:jc w:val="right"/>
              <w:ind w:right="159"/>
              <w:spacing w:after="0" w:line="129" w:lineRule="exact"/>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Net income attributable to G-III Apparel Group, Ltd.</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19,674</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Adjustments to reconcile net income to net cash provided by (used in)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fixed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Non-cash operating lease costs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gain (loss) in unconsolidated affiliates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Change in fair value of equity securities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Deferred financing charges and debt discount amortization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Non-cash gain on fair value of prior minority ownership of Karl Lagerfeld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155,602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Income taxes,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Other assets,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refund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Operating lease liabilities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(30,242)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accrued expenses and other liabilities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154,376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provided by (used in) operating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212,479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(109,894)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 assets initial direct costs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Investment in e-commerce retailer</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Investment in equity interest of private company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Investment in equity securities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 expenditures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Acquisition of KLH, net of cash acquired</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(224,583)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Repayment of borrowings - revolving facility</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(85,400)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revolving facility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Repayment of borrowings - LVMH Note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 of borrowings - foreign facilities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Proceeds from borrowings - foreign facilities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72,773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of treasury shares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Taxes paid for net share settlements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(194,325)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Net increase (decrease) in cash and cash equivalents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191,652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465,984</w:t>
            </w:r>
          </w:p>
        </w:tc>
        <w:tc>
          <w:tcPr>
            <w:tcW w:w="0" w:type="dxa"/>
            <w:vAlign w:val="bottom"/>
          </w:tcPr>
          <w:p>
            <w:pPr>
              <w:spacing w:after="0"/>
              <w:rPr>
                <w:sz w:val="1"/>
                <w:szCs w:val="1"/>
                <w:color w:val="auto"/>
              </w:rPr>
            </w:pPr>
          </w:p>
        </w:tc>
      </w:tr>
      <w:tr>
        <w:trPr>
          <w:trHeight w:val="236"/>
        </w:trPr>
        <w:tc>
          <w:tcPr>
            <w:tcW w:w="638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4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197,735</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150,977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payments: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Interest, net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16,052</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payments,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6,278</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consolidates the accounts of its wholly-owned and majority-owned subsidiaries. Fabco Holding B.V. (“Fabco”) is a Dutch joint venture limited liability company that is 75% owned by the Company and is treated as a consolidated majority-owned subsidiary. Sonia Rykiel is a wholly-owned operating subsidiary.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spacing w:after="0" w:line="17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KLH, Vilebrequin International SA (“Vilebrequin”), a Swiss corporation that is wholly-owned by the Company, Fabco and Sonia Rykiel report results on a calendar year basis rather than on the January 31 fiscal year basis used by the Company. Accordingly, the results of KLH, Vilebrequin, Fabco and Sonia Rykiel are included in the financial statements for the quarter ended or ending closest to the Company’s fiscal quarter end. For example, with respect to the Company’s results for the six-month period ended July 31, 2023, the results of KLH, Vilebrequin, Fabco and Sonia Rykiel are included for the six-month period ended June 30, 2023. For the year ended January 31, 2023, the results of KLH, which includes KLNA, are included for the period from June 1, 2022 through December 31, 2022. The results of the Company’s previous 49% ownership interest in KLNA and 19% ownership interest in KLH are included for the period from January 1, 2022 through May 30, 2022. The Company’s retail operations segment reports on a 52/53 week fiscal year. For fiscal 2024 and 2023, the three and six-month periods for the retail operations segment were each 13-week and 26-week periods, respectively, and ended on July 29, 2023 and July 30, 2022, respectively.</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results for the three and six months ended July 31, 2023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2023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ALLOWANCE FOR DOUBTFUL ACCOUNTS</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Company’s financial instruments consist of trade receivables arising from revenue transactions in the ordinary course of business. The Company considers its trade receivables to consist of two portfolio segments: wholesale and retail trade</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accounts receivable and allowance for doubtful accounts as of July 31, 2023, July 31, 2022 and January 31, 2023 were: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July 31,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14"/>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4"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536,711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537,852</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(18,428)</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(18,491)</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518,283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519,361</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July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505,635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506,590</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(18,001)</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(18,067)</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487,634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488,523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692,033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1,227</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693,260</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(18,237)</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(18,297)</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673,796</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674,963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5019"/>
          </w:cols>
          <w:pgMar w:left="1440" w:top="517" w:right="1440" w:bottom="1440" w:gutter="0" w:footer="0" w:header="0"/>
          <w:type w:val="continuous"/>
        </w:sectPr>
      </w:pPr>
    </w:p>
    <w:p>
      <w:pPr>
        <w:spacing w:after="0" w:line="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activity in its allowance for credit losses: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(18,237)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2023</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(18,428)</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(17,307)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2023</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(18,237)</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INVENTORIES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was $8.5 million, $9.3 million and $19.2 million as of July 31, 2023, July 31, 2022 and January 31, 2023,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Inventory held on consignment by the Company’s customers totaled $7.9 million, $5.7 million and $6.6 million at July 31, 2023, July 31, 2022 and January 31, 2023, respectively. The Company reflects this inventory on its condensed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OF FINANCIAL INSTRUMENTS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rPr>
              <w:t>July 31,</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July 31,</w:t>
            </w:r>
          </w:p>
        </w:tc>
        <w:tc>
          <w:tcPr>
            <w:tcW w:w="9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88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rPr>
              <w:t>July 31,</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July 31,</w:t>
            </w:r>
          </w:p>
        </w:tc>
        <w:tc>
          <w:tcPr>
            <w:tcW w:w="9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5"/>
        </w:trPr>
        <w:tc>
          <w:tcPr>
            <w:tcW w:w="2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400,000</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400,000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393,000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394,000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380,000</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51,614</w:t>
            </w:r>
          </w:p>
        </w:tc>
        <w:tc>
          <w:tcPr>
            <w:tcW w:w="900" w:type="dxa"/>
            <w:vAlign w:val="bottom"/>
          </w:tcPr>
          <w:p>
            <w:pPr>
              <w:jc w:val="right"/>
              <w:spacing w:after="0"/>
              <w:rPr>
                <w:sz w:val="20"/>
                <w:szCs w:val="20"/>
                <w:color w:val="auto"/>
              </w:rPr>
            </w:pPr>
            <w:r>
              <w:rPr>
                <w:rFonts w:ascii="Arial" w:cs="Arial" w:eastAsia="Arial" w:hAnsi="Arial"/>
                <w:sz w:val="18"/>
                <w:szCs w:val="18"/>
                <w:color w:val="auto"/>
              </w:rPr>
              <w:t>80,087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51,614</w:t>
            </w:r>
          </w:p>
        </w:tc>
        <w:tc>
          <w:tcPr>
            <w:tcW w:w="940" w:type="dxa"/>
            <w:vAlign w:val="bottom"/>
          </w:tcPr>
          <w:p>
            <w:pPr>
              <w:jc w:val="right"/>
              <w:spacing w:after="0"/>
              <w:rPr>
                <w:sz w:val="20"/>
                <w:szCs w:val="20"/>
                <w:color w:val="auto"/>
              </w:rPr>
            </w:pPr>
            <w:r>
              <w:rPr>
                <w:rFonts w:ascii="Arial" w:cs="Arial" w:eastAsia="Arial" w:hAnsi="Arial"/>
                <w:sz w:val="18"/>
                <w:szCs w:val="18"/>
                <w:color w:val="auto"/>
              </w:rPr>
              <w:t>80,087</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117,665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119,426</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9,913</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7,969</w:t>
            </w:r>
          </w:p>
        </w:tc>
        <w:tc>
          <w:tcPr>
            <w:tcW w:w="900" w:type="dxa"/>
            <w:vAlign w:val="bottom"/>
          </w:tcPr>
          <w:p>
            <w:pPr>
              <w:jc w:val="right"/>
              <w:spacing w:after="0"/>
              <w:rPr>
                <w:sz w:val="20"/>
                <w:szCs w:val="20"/>
                <w:color w:val="auto"/>
              </w:rPr>
            </w:pPr>
            <w:r>
              <w:rPr>
                <w:rFonts w:ascii="Arial" w:cs="Arial" w:eastAsia="Arial" w:hAnsi="Arial"/>
                <w:sz w:val="18"/>
                <w:szCs w:val="18"/>
                <w:color w:val="auto"/>
              </w:rPr>
              <w:t>10,866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9,913</w:t>
            </w:r>
          </w:p>
        </w:tc>
        <w:tc>
          <w:tcPr>
            <w:tcW w:w="960" w:type="dxa"/>
            <w:vAlign w:val="bottom"/>
          </w:tcPr>
          <w:p>
            <w:pPr>
              <w:jc w:val="right"/>
              <w:spacing w:after="0"/>
              <w:rPr>
                <w:sz w:val="20"/>
                <w:szCs w:val="20"/>
                <w:color w:val="auto"/>
              </w:rPr>
            </w:pPr>
            <w:r>
              <w:rPr>
                <w:rFonts w:ascii="Arial" w:cs="Arial" w:eastAsia="Arial" w:hAnsi="Arial"/>
                <w:sz w:val="18"/>
                <w:szCs w:val="18"/>
                <w:color w:val="auto"/>
              </w:rPr>
              <w:t>7,969</w:t>
            </w:r>
          </w:p>
        </w:tc>
        <w:tc>
          <w:tcPr>
            <w:tcW w:w="940" w:type="dxa"/>
            <w:vAlign w:val="bottom"/>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Foreign credit facility</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8,213</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391</w:t>
            </w:r>
          </w:p>
        </w:tc>
        <w:tc>
          <w:tcPr>
            <w:tcW w:w="900" w:type="dxa"/>
            <w:vAlign w:val="bottom"/>
          </w:tcPr>
          <w:p>
            <w:pPr>
              <w:jc w:val="right"/>
              <w:spacing w:after="0"/>
              <w:rPr>
                <w:sz w:val="20"/>
                <w:szCs w:val="20"/>
                <w:color w:val="auto"/>
              </w:rPr>
            </w:pPr>
            <w:r>
              <w:rPr>
                <w:rFonts w:ascii="Arial" w:cs="Arial" w:eastAsia="Arial" w:hAnsi="Arial"/>
                <w:sz w:val="18"/>
                <w:szCs w:val="18"/>
                <w:color w:val="auto"/>
              </w:rPr>
              <w:t>7,792</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8,213</w:t>
            </w:r>
          </w:p>
        </w:tc>
        <w:tc>
          <w:tcPr>
            <w:tcW w:w="960" w:type="dxa"/>
            <w:vAlign w:val="bottom"/>
          </w:tcPr>
          <w:p>
            <w:pPr>
              <w:jc w:val="right"/>
              <w:spacing w:after="0"/>
              <w:rPr>
                <w:sz w:val="20"/>
                <w:szCs w:val="20"/>
                <w:color w:val="auto"/>
              </w:rPr>
            </w:pPr>
            <w:r>
              <w:rPr>
                <w:rFonts w:ascii="Arial" w:cs="Arial" w:eastAsia="Arial" w:hAnsi="Arial"/>
                <w:sz w:val="18"/>
                <w:szCs w:val="18"/>
                <w:color w:val="auto"/>
              </w:rPr>
              <w:t>391</w:t>
            </w:r>
          </w:p>
        </w:tc>
        <w:tc>
          <w:tcPr>
            <w:tcW w:w="940" w:type="dxa"/>
            <w:vAlign w:val="bottom"/>
          </w:tcPr>
          <w:p>
            <w:pPr>
              <w:jc w:val="right"/>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fair value of the Company’s secured notes is based on their current market price as of July 31, 2023.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The 2% note in the original principal amount of $125 million (the “LVMH Note”) issued to LVMH Moet Hennessy Louis Vuitton Inc. (“LVMH”) in connection with the acquisition of DKNY and Donna Karan was recorded on the balance sheet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 The Company repaid $75.0 million of the principal amount of the LVMH Note on June 1, 2023.</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Arial" w:cs="Arial" w:eastAsia="Arial" w:hAnsi="Arial"/>
          <w:sz w:val="16"/>
          <w:szCs w:val="16"/>
          <w:color w:val="212529"/>
        </w:rPr>
        <w:t>During fiscal 2023, the Company recorded a</w:t>
      </w:r>
      <w:r>
        <w:rPr>
          <w:rFonts w:ascii="Arial" w:cs="Arial" w:eastAsia="Arial" w:hAnsi="Arial"/>
          <w:sz w:val="16"/>
          <w:szCs w:val="16"/>
          <w:color w:val="auto"/>
        </w:rPr>
        <w:t xml:space="preserve"> </w:t>
      </w:r>
      <w:r>
        <w:rPr>
          <w:rFonts w:ascii="Arial" w:cs="Arial" w:eastAsia="Arial" w:hAnsi="Arial"/>
          <w:sz w:val="16"/>
          <w:szCs w:val="16"/>
          <w:color w:val="212529"/>
        </w:rPr>
        <w:t>$2.7 million impairment charge related to leasehold improvements, furniture and fixtures and operating lease assets at certain DKNY, Karl Lagerfeld Paris and Vilebrequin stores as a result of the performance of these stores.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operating lease assets and liabilities as of July 31, 2023, July 31, 2022 and January 31, 2023 consist of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2023</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2022</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2023</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290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229,723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239,665</w:t>
            </w:r>
          </w:p>
        </w:tc>
      </w:tr>
      <w:tr>
        <w:trPr>
          <w:trHeight w:val="216"/>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operating</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52,917</w:t>
            </w: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operating</w:t>
            </w: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Noncurrent operating lease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192,981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179,247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204,974</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247,544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228,981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257,891</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Company’s operating lease assets and operating lease liabilities increased during fiscal 2023 primarily due to the acquisition of KLH. The Company recorded lease costs of $18.3 million and $36.9 million during the three and six months ended July 31, 2023. The Company recorded lease costs of $14.9 million and $29.0 million during the three and six months ended July 31, 2022. Lease costs are recorded within selling, general and administrative expenses in the Company’s condensed consolidated statements of operations and comprehensive income. The Company recorded variable lease costs and short-term lease costs of $5.5 million and $11.5 million for the three and six months ended July 31, 2023. The Company recorded variable lease costs and short-term lease costs of $5.5 million and $10.6 million for the three and six months ended July 31, 2022. Short-term lease costs are immaterial.</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July 31, 2023, the Company’s maturity of operating lease liabilities in the years ending up to January 31, 2028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35,619</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71,325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45,480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36,938</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2028</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58,013</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305,665</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58,121</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247,544</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July 31, 2023,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July 31, 2023, the weighted average remaining lease term related to operating leases is 5.1 years. The weighted average discount rate related to operating leases is 8.4%.</w:t>
      </w:r>
    </w:p>
    <w:p>
      <w:pPr>
        <w:spacing w:after="0" w:line="170"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Cash paid for amounts included in the measurement of operating lease liabilities was $39.3 million and $30.0 million during the six months ended July 31, 2023 and 2022, respectively. Right-of-use assets obtained in exchange for lease obligations were $18.1 million and $69.9 million during the six months ended July 31, 2023 and 2022,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KARL LAGERFELD ACQUISITION</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April 29, 2022, the Company entered into a share purchase agreement (the “Purchase Agreement”) pursuant to which the Company agreed to acquire the remaining 81% interest in KLH that it did not already own, for an aggregate</w:t>
      </w:r>
    </w:p>
    <w:p>
      <w:pPr>
        <w:sectPr>
          <w:pgSz w:w="11900" w:h="16838" w:orient="portrait"/>
          <w:cols w:equalWidth="0" w:num="1">
            <w:col w:w="9019"/>
          </w:cols>
          <w:pgMar w:left="1440" w:top="51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consideration of €193.4 million (approximately $207.6 million) in cash, after taking into account certain adjustments. The acquisition closed on May 31, 2022. The Company funded the purchase price from cash on hand.</w:t>
      </w:r>
    </w:p>
    <w:p>
      <w:pPr>
        <w:spacing w:after="0" w:line="7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May 31, 2022, the effective date of the acquisition, the Company’s previously held 19% investment in KLH and 49% investment in KLNA were remeasured at fair value using a market approach based on the purchase price of the acquisition and a discount for lack of control related to the Company’s previously held minority investment in KLH. As a result of this remeasurement, a non-cash gain of $27.1 million was recorded as of the effective date of the acquisition.</w:t>
      </w:r>
    </w:p>
    <w:p>
      <w:pPr>
        <w:spacing w:after="0" w:line="9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addition of Karl Lagerfeld to the Company’s portfolio of owned brands advances several of its strategic initiatives,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also include Vilebrequin and Sonia Rykiel. The Company believes that Karl Lagerfeld’s existing digital channel presence provides an opportunity for the Company to enhance its omni-channel business and further accelerate its digital initiatives.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Price Consideration</w:t>
      </w:r>
    </w:p>
    <w:p>
      <w:pPr>
        <w:spacing w:after="0" w:line="14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purchase price of $207.6 million, after taking into account certain adjustments, was paid from cash on hand. The purchase price has been revised to include adjustments in accordance with the Purchase Agreement.</w:t>
      </w:r>
    </w:p>
    <w:p>
      <w:pPr>
        <w:spacing w:after="0" w:line="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initial purchase price and the valuation of the prior minority ownership for the acquisition of KLH is as follows (in thousands):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Cash disbursed for the acquisition of KLH</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168,592</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cash acquired</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38,499</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aggregate adjustments to purchase price</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purchase price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207,607</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fair value of prior minority ownership</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102,858</w:t>
            </w: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310,465</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Allocation of the Purchase Price Consideration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date of acquisition:</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38,499</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28,449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33,489</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11,545</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84,336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4,294</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15,261</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58,942</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42,222</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136,538</w:t>
            </w: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color w:val="auto"/>
              </w:rPr>
              <w:t>Total fair value of acquisition consideration</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310,465</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During the year ended January 31, 2023, the Company recorded adjustments to the fair values of assets acquired and liabilities assumed at the date of acquisition based on additional information obtained. The Company recorded an additional $36.9 million in both total assets and total liabilities, primarily related to goodwill, deferred tax assets and liabilities, operating lease assets, inventories, accounts receivable, net, accounts payable, customer relationships and operating lease liabilities.</w:t>
      </w:r>
    </w:p>
    <w:p>
      <w:pPr>
        <w:spacing w:after="0" w:line="10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recognized goodwill of approximately $84.3 million in connection with the acquisition of KLH. The goodwill was assigned to the Company’s wholesale operations reporting unit. The Company made an election under Internal Revenue Code Section 338(g) to amortize the total goodwill and intangible assets over a 15 year period for income tax purposes in the United States.</w:t>
      </w:r>
    </w:p>
    <w:p>
      <w:pPr>
        <w:spacing w:after="0" w:line="10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jc w:val="right"/>
              <w:ind w:right="257"/>
              <w:spacing w:after="0"/>
              <w:rPr>
                <w:sz w:val="20"/>
                <w:szCs w:val="20"/>
                <w:color w:val="auto"/>
              </w:rPr>
            </w:pPr>
            <w:r>
              <w:rPr>
                <w:rFonts w:ascii="Arial" w:cs="Arial" w:eastAsia="Arial" w:hAnsi="Arial"/>
                <w:sz w:val="14"/>
                <w:szCs w:val="14"/>
                <w:b w:val="1"/>
                <w:bCs w:val="1"/>
                <w:color w:val="auto"/>
              </w:rPr>
              <w:t>Weighted Average</w:t>
            </w:r>
          </w:p>
        </w:tc>
      </w:tr>
      <w:tr>
        <w:trPr>
          <w:trHeight w:val="201"/>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Pr>
          <w:p>
            <w:pPr>
              <w:jc w:val="right"/>
              <w:ind w:right="197"/>
              <w:spacing w:after="0"/>
              <w:rPr>
                <w:sz w:val="20"/>
                <w:szCs w:val="20"/>
                <w:color w:val="auto"/>
              </w:rPr>
            </w:pPr>
            <w:r>
              <w:rPr>
                <w:rFonts w:ascii="Arial" w:cs="Arial" w:eastAsia="Arial" w:hAnsi="Arial"/>
                <w:sz w:val="14"/>
                <w:szCs w:val="14"/>
                <w:b w:val="1"/>
                <w:bCs w:val="1"/>
                <w:color w:val="auto"/>
              </w:rPr>
              <w:t>Amortization Period</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178,823</w:t>
            </w: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5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183,117</w:t>
            </w:r>
          </w:p>
        </w:tc>
        <w:tc>
          <w:tcPr>
            <w:tcW w:w="2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recognized approximately $5.6 million of acquisition related costs that were expensed in fiscal 2023 and fiscal 2022. The fiscal 2023 and fiscal 2022 acquisition and integration costs were recorded within selling, general and administrative expenses in the Company’s condensed consolidated statements of operations and comprehensive income for the fiscal years ended January 31, 2023 and 2022, respectively.</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assets acquired and liabilities assumed have been finalized as of May 31, 2023.</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NET INCOME PER COMMON SHARE</w:t>
      </w:r>
    </w:p>
    <w:p>
      <w:pPr>
        <w:spacing w:after="0" w:line="10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Approximately 106,000 and 312,500 shares of common stock have been excluded from the diluted net income per share calculation for the three and six months ended July 31, 2023. Approximately 301,300 and 205,400 shares of common stock have been excluded from the diluted net income per share calculation for the three and six months ended July 31, 2022. All share-based payments outstanding that vest based on the achievement of performance conditions, and for which the respective performance conditions have not been achieved, have been excluded from the diluted per share calculation.</w:t>
      </w:r>
    </w:p>
    <w:p>
      <w:pPr>
        <w:spacing w:after="0" w:line="10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July 31,</w:t>
            </w: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Six Months Ended July 31,</w:t>
            </w:r>
          </w:p>
        </w:tc>
      </w:tr>
      <w:tr>
        <w:trPr>
          <w:trHeight w:val="142"/>
        </w:trPr>
        <w:tc>
          <w:tcPr>
            <w:tcW w:w="4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r>
      <w:tr>
        <w:trPr>
          <w:trHeight w:val="155"/>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00" w:type="dxa"/>
            <w:vAlign w:val="bottom"/>
            <w:gridSpan w:val="8"/>
          </w:tcPr>
          <w:p>
            <w:pPr>
              <w:ind w:left="460"/>
              <w:spacing w:after="0" w:line="155" w:lineRule="exact"/>
              <w:rPr>
                <w:sz w:val="20"/>
                <w:szCs w:val="20"/>
                <w:color w:val="auto"/>
              </w:rPr>
            </w:pPr>
            <w:r>
              <w:rPr>
                <w:rFonts w:ascii="Arial" w:cs="Arial" w:eastAsia="Arial" w:hAnsi="Arial"/>
                <w:sz w:val="14"/>
                <w:szCs w:val="14"/>
                <w:b w:val="1"/>
                <w:bCs w:val="1"/>
                <w:color w:val="auto"/>
                <w:w w:val="86"/>
              </w:rPr>
              <w:t>(In thousands, except share and per share amounts)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G-III Apparel Group,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66,953</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45,714</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48,007</w:t>
            </w:r>
          </w:p>
        </w:tc>
      </w:tr>
      <w:tr>
        <w:trPr>
          <w:trHeight w:val="250"/>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net income per share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196"/>
        </w:trPr>
        <w:tc>
          <w:tcPr>
            <w:tcW w:w="4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48,007</w:t>
            </w:r>
          </w:p>
        </w:tc>
      </w:tr>
      <w:tr>
        <w:trPr>
          <w:trHeight w:val="216"/>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8"/>
              </w:rPr>
              <w:t>Dilutive restricted stock unit awards and stock options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r>
      <w:tr>
        <w:trPr>
          <w:trHeight w:val="20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common shares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49,061</w:t>
            </w:r>
          </w:p>
        </w:tc>
      </w:tr>
      <w:tr>
        <w:trPr>
          <w:trHeight w:val="210"/>
        </w:trPr>
        <w:tc>
          <w:tcPr>
            <w:tcW w:w="4360" w:type="dxa"/>
            <w:vAlign w:val="bottom"/>
          </w:tcPr>
          <w:p>
            <w:pPr>
              <w:ind w:left="120"/>
              <w:spacing w:after="0"/>
              <w:rPr>
                <w:sz w:val="20"/>
                <w:szCs w:val="20"/>
                <w:color w:val="auto"/>
              </w:rPr>
            </w:pPr>
            <w:r>
              <w:rPr>
                <w:rFonts w:ascii="Arial" w:cs="Arial" w:eastAsia="Arial" w:hAnsi="Arial"/>
                <w:sz w:val="18"/>
                <w:szCs w:val="18"/>
                <w:color w:val="auto"/>
              </w:rPr>
              <w:t>Diluted net income per share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NOTES PAYABLE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debt consists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July 31, 2023</w:t>
            </w:r>
          </w:p>
        </w:tc>
        <w:tc>
          <w:tcPr>
            <w:tcW w:w="18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2022</w:t>
            </w:r>
          </w:p>
        </w:tc>
        <w:tc>
          <w:tcPr>
            <w:tcW w:w="140" w:type="dxa"/>
            <w:vAlign w:val="bottom"/>
          </w:tcPr>
          <w:p>
            <w:pPr>
              <w:spacing w:after="0"/>
              <w:rPr>
                <w:sz w:val="14"/>
                <w:szCs w:val="14"/>
                <w:color w:val="auto"/>
              </w:rPr>
            </w:pPr>
          </w:p>
        </w:tc>
        <w:tc>
          <w:tcPr>
            <w:tcW w:w="130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January 31, 2023</w:t>
            </w:r>
          </w:p>
        </w:tc>
      </w:tr>
      <w:tr>
        <w:trPr>
          <w:trHeight w:val="128"/>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w w:val="99"/>
              </w:rPr>
              <w:t>(In thousands)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80,087</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LVMH Note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10,866</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credit facility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7,792</w:t>
            </w:r>
          </w:p>
        </w:tc>
      </w:tr>
      <w:tr>
        <w:trPr>
          <w:trHeight w:val="209"/>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627,402</w:t>
            </w:r>
          </w:p>
        </w:tc>
      </w:tr>
      <w:tr>
        <w:trPr>
          <w:trHeight w:val="216"/>
        </w:trPr>
        <w:tc>
          <w:tcPr>
            <w:tcW w:w="4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(3,397)</w:t>
            </w: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(4,246)</w:t>
            </w: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discount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(7,335)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(62,732)</w:t>
            </w: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(80,109)</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(135,518)</w:t>
            </w:r>
          </w:p>
        </w:tc>
      </w:tr>
      <w:tr>
        <w:trPr>
          <w:trHeight w:val="209"/>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403,304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483,840</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8" w:lineRule="exact"/>
        <w:rPr>
          <w:sz w:val="20"/>
          <w:szCs w:val="20"/>
          <w:color w:val="auto"/>
        </w:rPr>
      </w:pPr>
    </w:p>
    <w:p>
      <w:pPr>
        <w:jc w:val="both"/>
        <w:ind w:left="380" w:right="79" w:hanging="330"/>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$3.2 million, $4.8 million and $4.0 million as of July 31, 2023, July 31, 2022 and January 31, 2023, respectively, related to the revolving credit facility. These debt issuance costs have been deferred and are classified in assets in the accompanying condensed consolidated balance sheets in accordance with ASC 835.</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the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may redeem some or all of the Notes at any time and from time to time at the redemption prices set forth in the Indenture, plus accrued and unpaid interest, if any, to, but excluding, the applicable redemption date.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certain of its subsidiaries (the “Guarantors”), are Loan Guarantors under the ABL Credit Agreement.</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Amounts available under the ABL Credit Agreement are subject to borrowing base formulas and overadvances as specified in the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In April 2023, the Company amended the ABL Credit Agreement to replace LIBOR with the Adjusted Term Secured Overnight Financing Rate (“SOFR”) as a successor rate. All other material terms and conditions of the ABL Credit Agreement were unchanged. Borrowings under the amended ABL Credit Agreement now bear interest, at the Borrower’s option, at the alternate base rate (defined as, for a given day, the greatest of (i) the “prime rate” in effect on such day, (ii) the NYFRB Rate (as defined in the amendment) in effect on such day plus 0.5% and</w:t>
      </w:r>
    </w:p>
    <w:p>
      <w:pPr>
        <w:spacing w:after="0" w:line="5" w:lineRule="exact"/>
        <w:rPr>
          <w:sz w:val="20"/>
          <w:szCs w:val="20"/>
          <w:color w:val="auto"/>
        </w:rPr>
      </w:pPr>
    </w:p>
    <w:p>
      <w:pPr>
        <w:jc w:val="both"/>
        <w:ind w:left="60" w:right="59" w:hanging="10"/>
        <w:spacing w:after="0" w:line="295" w:lineRule="auto"/>
        <w:tabs>
          <w:tab w:leader="none" w:pos="38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The Company applied certain provisions and practical expedients of ASC 848 – Reference Rate Reform related to the transition from LIBOR to SOFR.</w:t>
      </w:r>
    </w:p>
    <w:p>
      <w:pPr>
        <w:spacing w:after="0" w:line="16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4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2023, the Company was in compliance with these covenants.</w:t>
      </w:r>
    </w:p>
    <w:p>
      <w:pPr>
        <w:spacing w:after="0" w:line="17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of July 31, 2023, the Company had no borrowings outstanding under the ABL Credit Agreement. The ABL credit agreement also includes amounts available for letters of credit. As of July 31, 2023, there were outstanding trade and standby letters of credit amounting to $3.7 million and $2.9 million, respectively.</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recorded $8.0 million of debt issuance costs related to the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a portion of the consideration for the acquisition of Donna Karan International (“DKI”), the Company issued to LVMH a junior lien secured promissory note in the principal amount of $125.0 million that bears interest at the rate of 2% per year. $75.0 million of the principal amount of the LVMH Note was repaid on June 1, 2023 and $50.0 million of such principal amount is due and payable on December 1, 2023. The LVMH Note is classified in current portion of notes payable in the Company’s condensed consolidated balance sheets as of July 31, 2023 and January 31, 2023. $75.0 million of the LVMH Note is classified in current portion of notes payable in the Company’s condensed consolidated balance sheet as of July 31, 2022.</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ASC 820 requires the LVMH Note to be recorded at fair value at issuance. As a result, the Company recorded a $40.0 million debt discount upon issuance of the LVMH Note.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unsecured loans. Interest on the outstanding principal amount of the unsecured loans accrues at a fixed rate equal to 0% to 5.0% per annum, payable on either a quarterly or monthly basis. As of July 31, 2023, the Company had an aggregate outstanding balance of €9.1 million ($9.9 million) under these unsecured loans.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fiscal 2021, T.R.B International SA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(“EURIBOR”)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w:t>
      </w:r>
    </w:p>
    <w:p>
      <w:pPr>
        <w:sectPr>
          <w:pgSz w:w="11900" w:h="16838" w:orient="portrait"/>
          <w:cols w:equalWidth="0" w:num="1">
            <w:col w:w="9019"/>
          </w:cols>
          <w:pgMar w:left="1440" w:top="51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million at varying interest rates of 0% to 0.5%. As of July 31, 2023, TRB had an aggregate of €2.0 million ($2.2 million) drawn under these facilities.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Credit Facility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KLH has a credit agreement with ABN AMRO Bank N.V. with a credit limit of €15.0 million which is secured by specified assets of KLH. Borrowings bear interest at the EURIBOR plus a margin of 1.7%. As of July 31, 2023, KLH had €7.5 million ($8.2 million) of borrowings outstanding under this credit facility.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REVENUE RECOGNITION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Wholesale Operations Segment. </w:t>
      </w:r>
      <w:r>
        <w:rPr>
          <w:rFonts w:ascii="Arial" w:cs="Arial" w:eastAsia="Arial" w:hAnsi="Arial"/>
          <w:sz w:val="17"/>
          <w:szCs w:val="17"/>
          <w:color w:val="auto"/>
        </w:rPr>
        <w:t>Wholesale revenues include sales of products to retailers under owned, licensed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label brands, as well as sales related to the Vilebrequin and Karl Lagerfeld businesses, including from retail stores operated by Vilebrequin and Karl Lagerfeld, other than sales of product under the Karl Lagerfeld Paris brand from the Company’s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Karl Lagerfeld, G.H. Bass, Andrew Marc, Vilebrequin and Sonia Rykiel trademarks owned by the Company. As of July 31, 2023, revenues from license agreements represented an insignificant portion of wholesale revenues.</w:t>
      </w:r>
    </w:p>
    <w:p>
      <w:pPr>
        <w:spacing w:after="0" w:line="18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$4.6 million, $4.0 million and $5.1 million at July 31, 2023, July 31, 2022 and January 31, 2023, respectively. The Company recognized $2.8 million in revenue for the three months ended July 31, 2023 related to contract liabilities that existed at April 30, 2023. The Company recognized $4.2 million in revenue for the six months ended July 31, 2023 related to contract liabilities that existed at January 31, 2023. There were no contract assets recorded as of July 31, 2023, July 31, 2022 and January 31, 2023. Substantially all of the advance payments from licensees as of July 31, 2023 are expected to be recognized as revenue within the next twelve months.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SEGMENTS</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from the Company’s retail stores and digital outlets. Wholesale revenues also include revenues from license agreements related to the DKNY, Donna Karan, Karl Lagerfeld, Vilebrequin, G.H. Bass, Andrew Marc and Sonia Rykiel trademarks owned by the Company. The retail operations segment consists primarily of direct sales to consumers through Company-operated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 and six month periods indicated below:</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 2023</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(13,764)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659,761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379,884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(13,764)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383,108</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276,653</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216,489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239,207</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20" w:type="dxa"/>
            <w:vAlign w:val="bottom"/>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 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(13,823)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605,244</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375,090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(13,823)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376,318</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228,926</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169,677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191,012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20" w:type="dxa"/>
            <w:vAlign w:val="bottom"/>
            <w:shd w:val="clear" w:color="auto" w:fill="CCEEFF"/>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31,258</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Six Months Ended July 31, 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1,226,086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(24,294)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1,266,350</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732,354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(24,294)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739,897</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493,732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526,453</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420,578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467,168</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20" w:type="dxa"/>
            <w:vAlign w:val="bottom"/>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Six Months Ended July 31, 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1,268,859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(33,855)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1,294,001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823,860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(33,855)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819,036</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444,999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474,965</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331,495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376,420</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20" w:type="dxa"/>
            <w:vAlign w:val="bottom"/>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 w:lineRule="exact"/>
        <w:rPr>
          <w:sz w:val="20"/>
          <w:szCs w:val="20"/>
          <w:color w:val="auto"/>
        </w:rPr>
      </w:pPr>
    </w:p>
    <w:p>
      <w:pPr>
        <w:ind w:left="320" w:hanging="270"/>
        <w:spacing w:after="0"/>
        <w:tabs>
          <w:tab w:leader="none" w:pos="320"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net sales by licensed and proprietary product sales for each of the Company’s reportable segments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July 31, 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July 31, 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July 31, 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July 31, 2022</w:t>
            </w:r>
          </w:p>
        </w:tc>
      </w:tr>
      <w:tr>
        <w:trPr>
          <w:trHeight w:val="128"/>
        </w:trPr>
        <w:tc>
          <w:tcPr>
            <w:tcW w:w="22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4"/>
          </w:tcPr>
          <w:p>
            <w:pPr>
              <w:jc w:val="right"/>
              <w:ind w:right="575"/>
              <w:spacing w:after="0" w:line="12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Licensed brands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733,732</w:t>
            </w:r>
          </w:p>
        </w:tc>
      </w:tr>
      <w:tr>
        <w:trPr>
          <w:trHeight w:val="216"/>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Proprietary brands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300,528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589,425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535,127</w:t>
            </w:r>
          </w:p>
        </w:tc>
      </w:tr>
      <w:tr>
        <w:trPr>
          <w:trHeight w:val="209"/>
        </w:trPr>
        <w:tc>
          <w:tcPr>
            <w:tcW w:w="420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Wholesale net sales</w:t>
            </w:r>
            <w:r>
              <w:rPr>
                <w:rFonts w:ascii="Arial" w:cs="Arial" w:eastAsia="Arial" w:hAnsi="Arial"/>
                <w:sz w:val="24"/>
                <w:szCs w:val="24"/>
                <w:color w:val="auto"/>
                <w:vertAlign w:val="superscript"/>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639,184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587,955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1,226,086</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1,268,859</w:t>
            </w: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Licensed brands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Proprietary brands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64,558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58,997</w:t>
            </w:r>
          </w:p>
        </w:tc>
      </w:tr>
      <w:tr>
        <w:trPr>
          <w:trHeight w:val="21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64,558</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58,997</w:t>
            </w: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6"/>
        </w:trPr>
        <w:tc>
          <w:tcPr>
            <w:tcW w:w="224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71" w:lineRule="exact"/>
        <w:rPr>
          <w:sz w:val="20"/>
          <w:szCs w:val="20"/>
          <w:color w:val="auto"/>
        </w:rPr>
      </w:pPr>
    </w:p>
    <w:p>
      <w:pPr>
        <w:jc w:val="both"/>
        <w:ind w:left="380" w:right="79" w:hanging="330"/>
        <w:spacing w:after="0" w:line="235"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The Company acquired the remaining interests in KLH (the Karl Lagerfeld branded product) that it did not already own as of May 31, 2022. Net sales of Karl Lagerfeld product were included in licensed brands net sales of the wholesale operations segment through May 31, 2022. Subsequent to May 31, 2022, net sales of Karl Lagerfeld product are included in proprietary brands net sales of the wholesale operations segment.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three months ended July 31, 2023, the Company issued no shares of common stock and utilized 601,970 shares of treasury stock in connection with the vesting of equity awards. For the three months ended July 31, 2022, the Company issued no shares of common stock and utilized 111,583 shares of treasury stock in connection with the vesting of equity awards. For the six months ended July 31, 2023, the Company issued no shares of common stock and utilized 603,971 shares of treasury stock in connection with the vesting of equity awards. For the six months ended July 31, 2022, the Company issued no shares of common stock and utilized 383,119 shares of treasury stock in connection with the vesting of equity awards.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CANADIAN CUSTOMS DUTY EXAMINATION</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accordance with a favorable ruling by the Canadian International Trade Tribunal, in fiscal 2023, G-III Canada received a refund from the Canada Border Service Agency (“CBSA”) of CAD$1.5 million ($1.1 million), including interest and net of a dutiable design assist, for amounts paid by G-III Canada to the CBSA between February 1, 2014 and January 31, 2018. G-III Canada has filed adjustment requests with the CBSA for the period from February 1, 2018 to January 31, 2022 to amend declared dutiable values. These amendments are expected to result in a refund of duty and interest from the CBSA of approximately CAD$13.5 million ($10.2 million) plus related interest. These amounts are recorded within other assets, net on the condensed consolidated balance sheets.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RELATED PARTY TRANSACTION</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June 2023, the Company entered into a stock sale and purchase agreement (the “Agreement”) with Sammy Aaron, the Company’s Vice Chairman and President and a Director of the Company. Pursuant to the Agreement, the Company purchased from Mr. Aaron 208,943 shares of its common stock for $4.1 million at a price equal to the closing price of the Company’s shares on the date of the Agreement.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RECENT ADOPTED AND ISSUED ACCOUNTING PRONOUNCEMENTS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accounting guidance adopted during the three months ended July 31, 2023.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consolidated financial statements.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August 9, 2023, the Company entered into a new employment agreement with Morris Goldfarb, its Chairman and Chief Executive Officer. The employment agreement included provisions, among others, that (i) changed the structure of Mr. Goldfarb’s annual cash incentive that are designed to align with current market practice and reduce the size of the annual cash incentive, (ii) changed the mix of annual cash compensation and annual equity grants in a manner that increases the weighting of equity compared to cash and encourages long-term performance and shareholder value creation, and (iii) in recognition of the significant reduction in the annual cash incentive agreed to by Mr. Goldfarb, provide for a grant of 700,000 performance share units (PSUs) that may be earned over three years if certain stock price and relative total shareholder return targets are achieved.</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August 29, 2023, the Company entered into a new employment agreement with Sammy Aaron, its Vice Chairman and President. The employment agreement included provisions, among others, that (i) changed to the structure of Mr. Aaron’s annual cash incentive that are designed to align with current market practice and to reduce the size of the annual cash incentive, (ii) changed the mix of annual cash compensation and annual equity grants in a manner that increases the weighting of equity compared to cash and encourages long-term performance and shareholder value creation and (iii) in recognition of the significant reduction in the annual cash incentive agreed to by Mr. Aaron, provides for a special bonus of $2,000,000 and a retention bonus of $1,000,000.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Unless the context otherwise requires, “G-III,” “us,” “we” and “our” refer to G-III Apparel Group, Ltd. and its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31, 2024 is referred to as “fiscal 2024.”</w:t>
      </w:r>
    </w:p>
    <w:p>
      <w:pPr>
        <w:spacing w:after="0" w:line="21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KLH, Vilebrequin, Fabco and Sonia Rykiel report results on a calendar year basis rather than on the January 31 fiscal year basis used by G-III. Accordingly, the results of KLH, Vilebrequin, Fabco and Sonia Rykiel are included in the financial statements for the quarter ended or ending closest to G-III’s fiscal quarter end. For example, with respect to our results for the six-month period ended July 31, 2023, the results of KLH, Vilebrequin, Fabco and Sonia Rykiel are included for the six-month period ended June 30, 2023. We accounted for our investment in each of KLH and KLNA using the equity method of accounting through May 30, 2022. Effective May 31, 2022, KLH is accounted for as our consolidated wholly-owned subsidiary and KLNA is an indirect wholly-owned subsidiary of ours. Our retail operations segment uses a 52/53-week fiscal year. For fiscal 2024 and 2023, the three and six-month periods for the retail operations segment were each 13-week and 26-week periods, respectively, and ended on July 29, 2023 and July 30, 2022, respectively.</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ind w:left="720" w:right="79" w:hanging="319"/>
        <w:spacing w:after="0" w:line="25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to maintain our material license agreements could cause us to lose significant revenues and have a material adverse effect on our results of operations;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we are able to increase the sales of our other products, acquire new businesses and/or enter into other license agreements covering different products, the limited extension period of the recently amended Calvin Klein and Tommy Hilfiger license agreements could cause a significant decrease in our net sales and have a material adverse effect on our results of operations;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adverse change in our relationship with PVH Corp. and its Calvin Klein or Tommy Hilfiger brands would have a material adverse effect on our results of operations;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relating to our wholesale operations including, among others, maintaining the image of our proprietary brands, business practices of our customers that could adversely affect us and retail customer concentration;</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our retail operations;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 including our ownership of the entire Karl Lagerfeld business;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nature of our business and effect of unseasonable or extreme weather on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effects from disruptions to the worldwide supply chain;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that our licensees may not generate expected sales or maintain the value of our brands;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 including without limitation, the effects of inflationary cost pressures and higher interest rates;</w:t>
      </w:r>
    </w:p>
    <w:p>
      <w:pPr>
        <w:ind w:left="720" w:right="79" w:hanging="319"/>
        <w:spacing w:after="0" w:line="26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effects of war, acts of terrorism, natural disasters or public health crises could adversely affect our business and results of operations, including the war in Ukraine;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health crisis caused by COVID-19 has had, and the current and uncertain future outlook with respect to COVID-19 and its variants will likely continue to have, adverse effects on our business, financial condition and results of operations;</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of expansion into foreign markets, conducting business internationally and exposures to foreign currencies;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implementation of the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adverse effects of data security or privacy breaches;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legislation or exposure to additional tax liabilities could impact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corporate responsibility issues by stakeholders;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our trademarks or other intangibles may require us to record charges against earnings as was the case in the fourth quarter of fiscal 2023; and</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2023. We undertake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global power brands: DKNY, Donna Karan, Karl Lagerfeld, Calvin Klein and Tommy Hilfiger. We are not only licensees, but also brand owners, and we distribute our products through multiple channels.</w:t>
      </w:r>
    </w:p>
    <w:p>
      <w:pPr>
        <w:spacing w:after="0" w:line="16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Guess?, Kenneth Cole, Cole Haan, Vince Camuto, Dockers and Champion.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has a substantial online business. In addition, we sell to leading online retail partners such as Amazon, Fanatics, Zalando and Zappos.</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also distribute apparel and other products directly to consumers through our own DKNY, Karl Lagerfeld, Karl Lagerfeld Paris and Vilebrequin retail stores, as well as through our digital channels for the DKNY, Donna Karan, Karl Lagerfeld, Karl Lagerfeld Paris, Vilebrequin, G.H. Bass, Wilsons Leather and Sonia Rykiel businesses.</w:t>
      </w:r>
    </w:p>
    <w:p>
      <w:pPr>
        <w:sectPr>
          <w:pgSz w:w="11900" w:h="16838" w:orient="portrait"/>
          <w:cols w:equalWidth="0" w:num="1">
            <w:col w:w="9019"/>
          </w:cols>
          <w:pgMar w:left="1440" w:top="517" w:right="1440"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Repositioning and Expansion of Donna Karan</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acquired the DKNY and Donna Karan brands, two of the most iconic American fashion brands, in December 2016. We initially repositioned and relaunched DKNY and have successfully grown the brand to approximately $600.0 million in annual net sales. We are now focused on the repositioning and expansion of the Donna Karan brand for Spring 2024. The new Donna Karan will be a modern system of dressing created to appeal to a woman’s senses on every level, addressing her full lifestyle needs. Our Donna Karan product is expected to be distributed in better department stores, digital channels and our own Donna Karan website in North America and internationally. Donna Karan is widely considered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for Nautica Brand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March 2023, we entered into a long-term license with Authentic Brands Group for the Nautica brand in North America.</w:t>
      </w:r>
    </w:p>
    <w:p>
      <w:pPr>
        <w:spacing w:after="0" w:line="2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plan to produce products under the Nautica brand across a number of categories starting with a full women’s jeanswear collection and then expanding in a phased approach into additional categories including sportswear, suit separates and dresses. The new five-year license agreement, effective beginning in January 2024, includes three extensions, for five years each. First deliveries are expected to begin in January 2024. The product is expected to be distributed in better department stores, digital channels and Nautica’s stores and website in North America, as well as in franchised stores globally. We believe that significant opportunity exists in the better women’s apparel space in categories where we have strong expertise. The Nautica brand joins our portfolio of some of the largest American brands in the world.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for Halston Brand</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May 2023, we entered into a global twenty-five year master license with Xcel Brands, Inc. to design and produce all categories of men’s and women’s product for the Halston brand.</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agreement provides for an initial term of five years, followed by a twenty-year period, as well as a purchase option at the end of the twenty-five year term. First deliveries of Halston product are expected to begin in the fall of 2024. Our Halston product is expected to be distributed globally through better department stores and digital channels. We believe that significant opportunity exists in the better women’s apparel space where G-III has significant expertise. The Halston brand joins G-III’s portfolio of some of the largest American brands in the world.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for Champion Brand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September 2023, we entered into a license with HanesBrands Inc. to design and produce a men’s and women’s outerwear collection for their Champion brand in North America.</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agreement provides for an initial term of five years, effective beginning in January 2024, with a five year renewal option based on achieving sales targets. First deliveries of Champion product are expected for the Fall 2024 season. Our Champion product is expected to be distributed through better department stores and digital channels in North America. Our collections will feature quality heritage pieces that complement and enhance Champion’s principles. We believe this license aligns with G-III’s core competencies in outerwear and will fit seamlessly into our well-developed outerwear divisions.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from our retail stores and digital outlets. Wholesale revenues also include revenues from license agreements related to our owned trademarks including DKNY, Donna Karan, Karl Lagerfeld, G.H. Bass, Andrew Marc, Vilebrequin and Sonia Rykiel.</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retail operations segment consists primarily of direct sales to consumers through our company-operated stores and product sales through our digital channels for the DKNY, Donna Karan, Karl Lagerfeld Paris, G.H. Bass and Wilsons Leather businesses. Our company-operated stores primarily consist of DKNY and Karl Lagerfeld Paris retail stores, substantially all of which are operated as outlet stores.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6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www.wilsonsleather.com, www.soniarykiel.com, www.karllagerfeldparis.com and www.karl.com. In addition, we sell to leading online retail partners such as Amazon, Fanatics, Zalando and Zappos and have made minority investments in two e-commerce retailers.</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owned by us that resulted in Karl Lagerfeld becoming our wholly-owned subsidiary, and new license agreements entered into by us, such as our recent license agreements for the Nautica, Halston and Champion brands, that added to our portfolio of licensed and proprietary</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 and Interest Rates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Inflationary pressures have impacted the entire economy, including our industry. Recent high rates of inflation, including increased fuel and food prices, have led to a softening of consumer demand and increased promotional activity in the apparel categories we sell and may lead to further challenges to increase our sales. Ongoing inflation may also negatively impact our cost structure and labor costs in the future.</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Federal Reserve raised interest rates multiple times in fiscal 2023, as well as thus far in fiscal 2024, in response to concerns about inflation and may continue to do so in the remainder of fiscal 2024.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fluctuation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Supply Chain</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fiscal 2022 and 2023, there were numerous factors disrupting the shipping industry that negatively affected transit times from our overseas suppliers, as well as our ability to ensure that we were able to import our product in a manner that allows for timely delivery to our customers.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More recently, shipping costs and transit times have returned to levels comparable to, and in some cases lower than, pre-pandemic time periods. We continue to monitor the transportation market for circumstances that may cause delays and negatively impact our ability to deliver product to our retail partners in a timely manner.</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result of supply chain disruptions, in fiscal 2023, we accelerated production schedules to allow for more lead time and to accommodate the anticipated extended transit times from our overseas suppliers in an effort to import our product in a manner that allows for timely delivery to our customers. As a result, our inventory levels were higher than in the comparable period of prior years.</w:t>
      </w:r>
    </w:p>
    <w:p>
      <w:pPr>
        <w:spacing w:after="0" w:line="18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Elevated inventory levels and disruptions in the shipping industry contributed to us incurring significant demurrage charges in fiscal 2023. We believe we have taken sufficient measures to ensure that we do not again incur these charges in our current fiscal year, including reducing product buys to account for current inventory levels, adjusting our production schedules and contracting with vendors to provide storage options domestically and overseas, if needed. We experienced inventory levels that were higher than normal through the first half of fiscal 2024. As a result, our warehouse operations were less efficient and we continued to incur additional labor and storage costs related to our inventory in the first half of fiscal 2024. In the third and fourth quarters of fiscal 2024, we expect our inventory levels to return to more normalized levels and our warehouse capacity to be sufficient for our needs which is expected to bring these costs in line with historical norms.</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secured new contracts with two of our long-term steamship carrier partners and are finalizing a third in an effort to mitigate our risk should rates increase. We are presently seeking to secure space needed for peak shipping periods through existing contracts and to leverage favorable spot market rates from secondary market providers.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continued impact of COVID-19 on our business operations remains uncertain and cannot be predicted. The extent to which COVID-19 impacts our results will depend on continued developments around the world in the public and private responses to COVID-19. New information may emerge concerning the severity and the spread of variants of the COVID-19 virus in locations that are important to our business. Actions taken to contain COVID-19 or its variants, or treat their impact, may change or become more restrictive if additional waves of infections occur. We continue to monitor the latest developments regarding the impacts of COVID-19 and have incorporated certain assumptions regarding the duration, severity and global macroeconomic impact of the pandemic into our financial outlook.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 in Ukraine</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current war in Ukraine and the continued threat of terrorism, heightened security measures and military action in response to acts of terrorism or civil unrest has disrupted commerce and intensified concerns regarding the United States and world economies. Less than 1% of our revenue in fiscal 2023 was generated in Russia and Ukraine. However, the imposition of additional sanctions by the United States and/or foreign governments, as well as the sanctions already in place, could lead to restrictions related to sales and our supply chain for which the financial impact is uncertain. In addition, the war has also led to, and may lead to further, broader unfavorable macroeconomic implications, including unfavorable foreign exchange rates, increases in fuel prices, food shortages, a weakening of the European economy, lower consumer demand and volatility in financial markets. These implications of the war in Ukraine could have a material adverse effect on our business and our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July 31, 2023 compared to three months ended July 31, 2022</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sales for the three months ended July 31, 2023 increased to $659.8 million from $605.2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of our wholesale operations segment increased to $639.2 million for the three months ended July 31, 2023 from $588.0 million in the comparable period last year. We recognized an additional $37.7 million of net sales as a result of the inclusion of the results of KLH for all of the current period compared to one month in the same period last year. Additionally, the increase in net sales of our wholesale operations segment was also the result of a $10.9 million increase in net sales of our Levi’s outerwear products.</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sales of our retail operations segment increased to $34.3 million for the three months ended July 31, 2023 from $31.1 million in the same period last year. The number of retail stores operated by us was 59 at both July 31, 2023 and 2022. The increase in sales in our retail operations segment was primarily the result of increased sales of our Karl Lagerfeld Paris products associated with our conversion of DKNY stores to Karl Lagerfeld Paris stores.</w:t>
      </w:r>
    </w:p>
    <w:p>
      <w:pPr>
        <w:spacing w:after="0" w:line="17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Gross profit was $276.7 million, or 41.9% of net sales, for the three months ended July 31, 2023, compared to $228.9 million, or 37.8% of net sales, in the same period last year. The gross profit percentage in our wholesale operations segment was 40.6% in the three months ended July 31, 2023 compared to 36.2% in the same period last year. The addition of the results of KLH for all of the current period compared to one month in the same period last year resulted in an increase of approximately 1.5% in the gross profit percentage of our wholesale operations segment as this business operates with a higher gross profit percentage than our other businesses in the wholesale operations segment. The gross profit percentage in the current year period was also positively impacted by slightly higher prices to our customers and lower freight costs compared to the same period last year. The gross profit percentage in our retail operations segment was 50.5% for the three months ended July 31, 2023 compared to 51.6% for the same period last year.</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Selling, general and administrative expenses increased to $239.2 million in the three months ended July 31, 2023 from $191.0 million in the same period last year. We recognized an additional $28.7 million of expenses due to the inclusion of the results of KLH for all of the current period ended July 31, 2023 as compared to one month in the same period last year. The remainder of the increase in expenses was primarily due to an increase of $12.2 million in compensation expense,</w:t>
      </w:r>
    </w:p>
    <w:p>
      <w:pPr>
        <w:sectPr>
          <w:pgSz w:w="11900" w:h="16838" w:orient="portrait"/>
          <w:cols w:equalWidth="0" w:num="1">
            <w:col w:w="9019"/>
          </w:cols>
          <w:pgMar w:left="1440" w:top="517"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primarily from increased salary and bonus expense accruals, and $4.6 million in third-party warehouse and facility expenses primarily related to higher inventory levels during the period.</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Depreciation and amortization was $6.0 million for the three months ended July 31, 2023 compared to $6.7 million in the same period last year. This decrease primarily results from lower depreciation and amortization as a result of a reduction in capital expenditures in recent years, partially offset by an increase of $0.8 million of depreciation and amortization expense due to the inclusion of the results of KLH for all of the current period compared to one month in the same period last year.</w:t>
      </w:r>
    </w:p>
    <w:p>
      <w:pPr>
        <w:spacing w:after="0" w:line="9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Other income was $0.2 million in the three months ended July 31, 2023 compared to other income of $30.3 million for the same period last year. Other income in the prior period resulted from a gain of $30.9 million during the three months ended July 31, 2022 as a result of the remeasurement of our previously held 19% investment in KLH and 49% investment in KLNA as of the effective date of the acquisition by us of the interests in KLH that we did not previously own. Other income in the current period consisted of $0.7 million of foreign currency income during the three months ended July 31, 2023 compared to $2.0 million of foreign currency losses during the same period last year.</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Interest and financing charges, net, for the three months ended July 31, 2023 were $9.5 million compared to $12.6 million in the same period last year. The decrease in interest and financing charges was primarily due to a $1.8 million increase in investment income from having a larger cash position in the current year compared to the prior year and recording lower interest of $0.9 million related to the LVMH Note as we repaid $75 million of the principal amount of this Note on June 1, 2023.</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Income tax expense was $6.0 million for the three months ended July 31, 2023 compared to $13.0 million for the same period last year. Our effective tax rate increased to 26.8% in the current year’s quarter from 26.4% in last year’s comparable quarter.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July 31, 2023 compared to six months ended July 31,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sales for the six months ended July 31, 2023 decreased to $1.27 billion from $1.29 billion in the same period last year.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sales of our segments are reported before intercompany eliminations.</w:t>
      </w:r>
    </w:p>
    <w:p>
      <w:pPr>
        <w:spacing w:after="0" w:line="21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Net sales of our wholesale operations segment decreased to $1.23 billion for the six months ended July 31, 2023 from $1.27 billion in the comparable period last year. This decrease was primarily the result of a decrease in net sales of Calvin Klein and Tommy Hilfiger licensed products and in net sales of our DKNY and Donna Karan products due to a moderation in consumer demand. This decrease was partially offset by the addition of $98.6 million in net sales due to the inclusion of the results of the Karl Lagerfeld business for all of the current period compared to one month in the same period last year.</w:t>
      </w:r>
    </w:p>
    <w:p>
      <w:pPr>
        <w:spacing w:after="0" w:line="16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sales of our retail operations segment increased to $64.6 million for the six months ended July 31, 2023 from $59.0 million in the same period last year. The number of retail stores operated by us was 59 at both July 31, 2023 and 2022. The increase in sales in our retail operations segment was primarily the result of increased sales of our Karl Lagerfeld Paris products associated with our conversion of DKNY stores to Karl Lagerfeld Paris stores.</w:t>
      </w:r>
    </w:p>
    <w:p>
      <w:pPr>
        <w:spacing w:after="0" w:line="17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Gross profit was $526.5 million, or 41.6% of net sales, for the six months ended July 31, 2023, compared to $475.0 million, or 36.7% of net sales, in the same period last year. The gross profit percentage in our wholesale operations segment was 40.3% in the six months ended July 31, 2023 compared to 35.1% in the same period last year. The addition of the results of KLH for all of the current period compared to one month in the same period last year resulted in an increase of approximately 1.8% in the gross profit percentage of our wholesale operations segment as this business operates with a higher gross profit percentage than our other businesses in the wholesale operations segment. The gross profit percentage in the current year period was also positively impacted by slightly higher prices to our customers and lower freight costs compared to the same period last year. The gross profit percentage in our retail operations segment was 50.7% for the six months ended July 31, 2023 compared to 50.8% for the same period last year.</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Selling, general and administrative expenses increased to $467.2 million in the six months ended July 31, 2023 from $376.5 million in the same period last year. We recognized an additional $64.8 million of expenses due to the inclusion of the results of KLH for all of the current period ended July 31, 2023 as compared to one month in the same period last year.</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remainder of the increase in expenses was primarily due to an increase of $15.6 million in compensation expense, primarily from increased salary and bonus expense accruals, and an increase of $10.6 million in third-party warehouse and facility expenses primarily related to higher inventory levels. This increase was partially offset by reduced royalty advertising expenses which decreased due to lower net sales of licensed product.</w:t>
      </w:r>
    </w:p>
    <w:p>
      <w:pPr>
        <w:spacing w:after="0" w:line="187"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Depreciation and amortization was $12.5 million for the six months ended July 31, 2023 compared to $12.8 million in the same period last year. This decrease primarily results from lower depreciation and amortization as a result of a reduction in capital expenditures in recent years, partially offset by an increase of $2.1 million of depreciation and amortization expense due to the inclusion of the results of KLH for all of the current period compared to one month in the same period last year.</w:t>
      </w:r>
    </w:p>
    <w:p>
      <w:pPr>
        <w:spacing w:after="0" w:line="15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Other income was $1.2 million in the six months ended July 31, 2023 compared to other income of $27.6 million for the same period last year. Other income in the prior period resulted from a gain of $30.9 million during the six months ended July 31, 2022 as a result of the remeasurement of our previously held 19% investment in KLH and 49% investment in KLNA as of the effective date of the acquisition by us of the interests in KLH that we did not previously own. Other income in the current period consisted of $1.1 million of foreign currency income during the six months ended July 31, 2023 compared to $5.4 million of foreign currency losses during the same period last year.</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Interest and financing charges, net, for the six months ended July 31, 2023 were $21.6 million compared to $24.8 million in the same period last year. The decrease in interest and financing charges was primarily due to a $2.6 million increase in investment income from having a larger cash position in the current year compared to the prior year and recording lower interest of $0.8 million related to the LVMH Note as we repaid $75 million of the principal amount of this Note on June 1, 2023.</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Income tax expense was $6.9 million for the six months ended July 31, 2023 compared to $22.0 million for the same period last year. Our effective tax rate increased to 26.2% in the current year’s period from 24.8% in last year’s comparable period due to a $1.3 million tax benefit related to the foreign tax credit that was recorded during the first quarter of the prior year.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Availability</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 A principal payment of $75 million was made on June 1, 2023 with respect to the LVMH Note with the remaining principal amount of $50 million due and payable on December 1, 2023. We have also used cash to repurchase our shares.</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July 31, 2023, we had cash and cash equivalents of $197.7 million and availability under our revolving credit facility of approximately $640 million. As of July 31, 2023, we were in compliance with all covenants under our senior secured notes and revolving credit facility.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w:t>
      </w:r>
    </w:p>
    <w:p>
      <w:pPr>
        <w:sectPr>
          <w:pgSz w:w="11900" w:h="16838" w:orient="portrait"/>
          <w:cols w:equalWidth="0" w:num="1">
            <w:col w:w="9019"/>
          </w:cols>
          <w:pgMar w:left="1440" w:top="517"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may redeem some or all of the Notes at any time and from time to time at the redemption prices set forth in the Indenture, plus accrued and unpaid interest, if any, to, but excluding, the applicable redemption date.</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certain of our subsidiaries (the “Guarantors”), are Loan Guarantors under the ABL Credit Agreement.</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ectPr>
          <w:pgSz w:w="11900" w:h="16838" w:orient="portrait"/>
          <w:cols w:equalWidth="0" w:num="1">
            <w:col w:w="9019"/>
          </w:cols>
          <w:pgMar w:left="1440" w:top="517" w:right="1440"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In April 2023, we amended the ABL Credit Agreement to replace LIBOR with Adjusted Term Secured Overnight Financing Rate (“SOFR”) as a successor rate. All other material terms and conditions of the ABL Credit Agreement were unchanged. Borrowings under the amended ABL Credit Agreement now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We applied certain provisions and practical expedients of ASC 848 – Reference Rate Reform related to the transition from LIBOR to SOFR. We do not expect a material change to our interest expense or results of operations as a result of transitioning the reference rate used in our ABL Credit Agreement from LIBOR to SOFR.</w:t>
      </w:r>
    </w:p>
    <w:p>
      <w:pPr>
        <w:spacing w:after="0" w:line="18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July 31, 2023, we were in compliance with these covenants.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July 31, 2023, we had no borrowings outstanding under the ABL Credit Agreement. The ABL Credit Agreement also includes amounts available for letters of credit. As of July 31, 2023, there were outstanding trade and standby letters of credit amounting to $3.7 million and $2.9 million, respectively.</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recorded $8.0 million of debt issuance costs related to our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was repaid on June 1, 2023 and $50 million of such principal amount is due and payable on December 1, 2023. The LVMH Note is classified in current portion of notes payable in our Company’s condensed consolidated balance sheet as of July 31, 2023 and January 31, 2023. $75.0 million of the LVMH Note is classified in current portion of notes payable in our condensed consolidated balance sheet as of July 31, 2022.</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Several of our foreign entities borrow funds under various unsecured loans of which a portion is to provide funding for operations in the normal course of business while other loans are European state backed loans as part of COVID-19 relief programs. In the aggregate, we are currently required to make quarterly installment payments of principal in the amount of €0.6 million under these unsecured loans. Interest on the outstanding principal amount of the unsecured loans accrues at a fixed rate equal to 0% to 5.0% per annum, payable on either a quarterly or monthly basis. As of July 31, 2023, the Company had an aggregate outstanding balance of €9.1 million ($9.9 million) under these unsecured loans.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(“EURIBOR”)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July 31, 2023, TRB had an aggregate of €2.0 million ($2.2 million) drawn under these facilities.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Credit Facility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KLH has a credit agreement with ABN AMRO Bank N.V. with a credit limit of €15.0 million which is secured by specified assets of KLH. Borrowings bear interest at the EURIBOR plus a margin of 1.7%. As of July 31, 2023, KLH had €7.5 million ($8.2 million) of borrowings outstanding under this credit facility.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had no borrowings outstanding under our revolving credit facility at July 31, 2023 and $51.6 million outstanding at July 31, 2022, respectively. We had $400 million in borrowings outstanding under the Notes at July 31, 2023 and July 31, 2022, respectively. Our contingent liability under open letters of credit was approximately $6.7 million and $11.3 million at July 31, 2023 and 2022, respectively. In addition to the amounts outstanding under these two loan agreements, at July 31, 2023 and 2022, we had $50 million and $125 million of face value principal amount outstanding under the LVMH Note, respectively. As of July 31, 2023 and 2022, we had an aggregate of €9.1 million ($9.9 million) and €7.6 million ($8.0 million) outstanding under the Company’s various unsecured loans. As of July 31, 2023 and 2022, we had €2.0 million ($2.2 million) and €3.1 million ($3.2 million) outstanding under our various overdraft facilities. As of July 31, 2023 and 2022, we had €7.5 million ($8.2 million) and €0.4 million ($0.4 million) outstanding under KLH’s foreign credit facility.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August 2023, our Board of Directors authorized an increase in the number of shares covered by our share repurchase program to an aggregate amount of 10,000,000 shares. Prior to this increase, we had 6,813,851 authorized shares under</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this program. Pursuant to this program, during the six months ended July 31, 2023, we acquired 1,598,568 of our shares of common stock for an aggregate purchase price of $26.1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September 5, 2023, we had 45,721,002 shares of common stock outstanding.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generated $212.5 million in cash from operating activities during the six months ended July 31, 2023, primarily as a result of our net income of $19.7 million, a decrease of $155.6 million in accounts receivable and an increase of $154.4 million in accounts payable and accrued expenses. We also generated cash from operating activities as a result of non-cash charges relating primarily to depreciation and amortization of $12.5 million and share-based compensation of $6.8 million. These items were offset, in part, by an increase of $95.5 million in inventories and a decrease of $33.5 million in customer refund liabilities.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changes in operating cash flow items are consistent with our seasonal pattern of building up inventory for the fall shipping season resulting in the increases in inventory and accounts payable. Our accounts receivable and customer refund liabilities decreased because we experience lower sales levels in our first and second quarters than in our third and fourth quarters.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used $14.8 million of cash in investing activities during the six months ended July 31, 2023. We had $11.1 million in capital expenditures primarily related to infrastructure and information technology expenditures and additional fixturing costs at department stores. In addition, we used $3.6 million for an investment in the equity of a private company.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cash used by financing activities was $194.3 million during six months ended July 31, 2023 primarily as a result of repayments of borrowings of $85.4 million under our ABL Credit Agreement, partially offset by borrowings of $5.3 million under that Agreement, as well as the $75.0 million principal repayment of the LVMH Note. In addition, we used $26.1 million of cash to repurchase 1,598,568 shares of our common stock under our share repurchase program and $10.8 million for taxes paid in connection with net share settlements of stock grants that vested.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2023 are those that depend most heavily on these judgments and estimates. As of July 31, 2023, there have been no material changes to our critical accounting policies.</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2023.</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There were no changes in our internal controls over financial reporting during the period covered by the Quarterly Report that have materially affected, or are reasonably likely to materially affect, these internal controls.</w:t>
      </w:r>
    </w:p>
    <w:p>
      <w:pPr>
        <w:spacing w:after="0" w:line="7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31, 2022, we acquired KLH. See Note 6 – Karl Lagerfeld Acquisition in the accompanying Notes to our Condensed Consolidated Financial Statements in this Quarterly Report and Note 15 – Karl Lagerfeld Acquisition in the accompanying Notes to our Consolidated Financial Statements in our Annual Report on Form 10-K for the year ended January 31, 2023 for further information on our acquisition of KLH. The KLH acquisition represents a change in our internal control over financial reporting. We have substantially completed the design of the internal controls environment for KLH and are in the process of completing our effectiveness testing. We will include the internal controls and procedures of KLH in our annual assessment of the effectiveness of our internal control over financial reporting for our 2024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Annual Report on Form 10-K for the year ended January 31, 2023 (the “Annual Report”), which could materially affect our business, financial condition and/or future results. As of July 31, 2023,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provides information with respect to the Company’s common stock that the Company repurchased during the three months ended July 31, 2023. Included in this table are shares withheld during May 2023 and June 2023 to satisfy tax withholding requirements in connection with stock awards.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w:t>
            </w:r>
          </w:p>
        </w:tc>
        <w:tc>
          <w:tcPr>
            <w:tcW w:w="2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7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Average Price Paid Per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4"/>
        </w:trPr>
        <w:tc>
          <w:tcPr>
            <w:tcW w:w="2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Purchased</w:t>
            </w:r>
          </w:p>
        </w:tc>
        <w:tc>
          <w:tcPr>
            <w:tcW w:w="162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5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6"/>
        </w:trPr>
        <w:tc>
          <w:tcPr>
            <w:tcW w:w="2380" w:type="dxa"/>
            <w:vAlign w:val="bottom"/>
            <w:gridSpan w:val="3"/>
            <w:vMerge w:val="continue"/>
          </w:tcPr>
          <w:p>
            <w:pPr>
              <w:spacing w:after="0"/>
              <w:rPr>
                <w:sz w:val="15"/>
                <w:szCs w:val="15"/>
                <w:color w:val="auto"/>
              </w:rPr>
            </w:pPr>
          </w:p>
        </w:tc>
        <w:tc>
          <w:tcPr>
            <w:tcW w:w="1620" w:type="dxa"/>
            <w:vAlign w:val="bottom"/>
            <w:gridSpan w:val="2"/>
          </w:tcPr>
          <w:p>
            <w:pPr>
              <w:jc w:val="center"/>
              <w:ind w:right="200"/>
              <w:spacing w:after="0" w:line="176"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20"/>
                <w:szCs w:val="20"/>
                <w:b w:val="1"/>
                <w:bCs w:val="1"/>
                <w:color w:val="auto"/>
                <w:w w:val="88"/>
                <w:vertAlign w:val="superscript"/>
              </w:rPr>
              <w:t>(1)</w:t>
            </w:r>
          </w:p>
        </w:tc>
        <w:tc>
          <w:tcPr>
            <w:tcW w:w="300" w:type="dxa"/>
            <w:vAlign w:val="bottom"/>
          </w:tcPr>
          <w:p>
            <w:pPr>
              <w:spacing w:after="0"/>
              <w:rPr>
                <w:sz w:val="15"/>
                <w:szCs w:val="15"/>
                <w:color w:val="auto"/>
              </w:rPr>
            </w:pPr>
          </w:p>
        </w:tc>
        <w:tc>
          <w:tcPr>
            <w:tcW w:w="1440" w:type="dxa"/>
            <w:vAlign w:val="bottom"/>
            <w:gridSpan w:val="2"/>
          </w:tcPr>
          <w:p>
            <w:pPr>
              <w:ind w:left="220"/>
              <w:spacing w:after="0" w:line="176" w:lineRule="exact"/>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20"/>
                <w:szCs w:val="20"/>
                <w:b w:val="1"/>
                <w:bCs w:val="1"/>
                <w:color w:val="auto"/>
                <w:vertAlign w:val="superscript"/>
              </w:rPr>
              <w:t>(1)</w:t>
            </w:r>
          </w:p>
        </w:tc>
        <w:tc>
          <w:tcPr>
            <w:tcW w:w="14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7"/>
              </w:rPr>
              <w:t xml:space="preserve">Program </w:t>
            </w:r>
            <w:r>
              <w:rPr>
                <w:rFonts w:ascii="Arial" w:cs="Arial" w:eastAsia="Arial" w:hAnsi="Arial"/>
                <w:sz w:val="20"/>
                <w:szCs w:val="20"/>
                <w:b w:val="1"/>
                <w:bCs w:val="1"/>
                <w:color w:val="auto"/>
                <w:w w:val="87"/>
                <w:vertAlign w:val="superscript"/>
              </w:rPr>
              <w:t>(2) (3)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21"/>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 May 31, 2023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7,288,148</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Arial" w:cs="Arial" w:eastAsia="Arial" w:hAnsi="Arial"/>
                <w:sz w:val="18"/>
                <w:szCs w:val="18"/>
                <w:color w:val="auto"/>
              </w:rPr>
              <w:t>June 1 - June 30, 2023</w:t>
            </w:r>
          </w:p>
        </w:tc>
        <w:tc>
          <w:tcPr>
            <w:tcW w:w="1420" w:type="dxa"/>
            <w:vAlign w:val="bottom"/>
          </w:tcPr>
          <w:p>
            <w:pPr>
              <w:jc w:val="right"/>
              <w:spacing w:after="0"/>
              <w:rPr>
                <w:sz w:val="20"/>
                <w:szCs w:val="20"/>
                <w:color w:val="auto"/>
              </w:rPr>
            </w:pPr>
            <w:r>
              <w:rPr>
                <w:rFonts w:ascii="Arial" w:cs="Arial" w:eastAsia="Arial" w:hAnsi="Arial"/>
                <w:sz w:val="18"/>
                <w:szCs w:val="18"/>
                <w:color w:val="auto"/>
              </w:rPr>
              <w:t>996,120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456,995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6,831,153</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 July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17,302</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6,813,851</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1,013,560</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6,813,851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79" w:hanging="330"/>
        <w:spacing w:after="0" w:line="227" w:lineRule="auto"/>
        <w:tabs>
          <w:tab w:leader="none" w:pos="3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Included in this table are 539,263 shares withheld during the three-month period ended July 2023 in connection with the settlement of vested restricted stock units to satisfy tax withholding requirements. Our 2015 Long-Term Incentive Plan provides that shares withheld are valued at the closing price per share on the date withheld.</w:t>
      </w:r>
    </w:p>
    <w:p>
      <w:pPr>
        <w:spacing w:after="0" w:line="2" w:lineRule="exact"/>
        <w:rPr>
          <w:rFonts w:ascii="Arial" w:cs="Arial" w:eastAsia="Arial" w:hAnsi="Arial"/>
          <w:sz w:val="24"/>
          <w:szCs w:val="24"/>
          <w:color w:val="auto"/>
          <w:vertAlign w:val="superscript"/>
        </w:rPr>
      </w:pPr>
    </w:p>
    <w:p>
      <w:pPr>
        <w:jc w:val="both"/>
        <w:ind w:left="380" w:right="79" w:hanging="330"/>
        <w:spacing w:after="0" w:line="234" w:lineRule="auto"/>
        <w:tabs>
          <w:tab w:leader="none" w:pos="3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In August 2023, our Board of Directors reapproved our previously authorized share repurchase program and increased the number of shares remaining under that program from 6,813,851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2" w:lineRule="exact"/>
        <w:rPr>
          <w:rFonts w:ascii="Arial" w:cs="Arial" w:eastAsia="Arial" w:hAnsi="Arial"/>
          <w:sz w:val="24"/>
          <w:szCs w:val="24"/>
          <w:color w:val="auto"/>
          <w:vertAlign w:val="superscript"/>
        </w:rPr>
      </w:pPr>
    </w:p>
    <w:p>
      <w:pPr>
        <w:jc w:val="both"/>
        <w:ind w:left="380" w:right="79" w:hanging="330"/>
        <w:spacing w:after="0" w:line="234" w:lineRule="auto"/>
        <w:tabs>
          <w:tab w:leader="none" w:pos="3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In June 2023, the Company entered into a stock sale and purchase agreement (the “Agreement”) with Sammy Aaron, the Company’s Vice Chairman and President and a Director of the Company. Pursuant to the Agreement, the Company purchased 208,943 shares of its common stock for $4.1 million at a price equal to the closing price of the Company’s shares on the date of the Agreement.</w:t>
      </w:r>
    </w:p>
    <w:p>
      <w:pPr>
        <w:spacing w:after="0" w:line="206"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During the three months ended July 31, 2023, no director or officer of the Company adopted or terminated a “Rule 10b5-1 trading arrangement” or “non-Rule 10b5-1 trading arrangement,” as each term is defined in Item 408(a) of Regulation S-K.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8100" w:type="dxa"/>
            <w:vAlign w:val="bottom"/>
            <w:gridSpan w:val="7"/>
          </w:tcPr>
          <w:p>
            <w:pPr>
              <w:spacing w:after="0"/>
              <w:rPr>
                <w:sz w:val="20"/>
                <w:szCs w:val="20"/>
                <w:color w:val="auto"/>
              </w:rPr>
            </w:pPr>
            <w:r>
              <w:rPr>
                <w:rFonts w:ascii="Arial" w:cs="Arial" w:eastAsia="Arial" w:hAnsi="Arial"/>
                <w:sz w:val="18"/>
                <w:szCs w:val="18"/>
                <w:color w:val="auto"/>
                <w:w w:val="92"/>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2008).</w:t>
            </w: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3.1(a)</w:t>
            </w:r>
          </w:p>
        </w:tc>
        <w:tc>
          <w:tcPr>
            <w:tcW w:w="8100" w:type="dxa"/>
            <w:vAlign w:val="bottom"/>
            <w:gridSpan w:val="7"/>
          </w:tcPr>
          <w:p>
            <w:pPr>
              <w:spacing w:after="0" w:line="190"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3.1(b)</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3.1(c)</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rPr>
              <w:t>Group, Ltd.’s Quarterly Report on Form 10-Q for the fiscal quarter ended July 31, 2023.</w:t>
            </w:r>
          </w:p>
        </w:tc>
      </w:tr>
      <w:tr>
        <w:trPr>
          <w:trHeight w:val="20"/>
        </w:trPr>
        <w:tc>
          <w:tcPr>
            <w:tcW w:w="80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w w:val="93"/>
              </w:rPr>
              <w:t>Certification by Neal S. Nackman, Chief Financial Officer of G-III Apparel Group, Ltd., pursuant to Rule 13a -</w:t>
            </w:r>
          </w:p>
        </w:tc>
      </w:tr>
      <w:tr>
        <w:trPr>
          <w:trHeight w:val="20"/>
        </w:trPr>
        <w:tc>
          <w:tcPr>
            <w:tcW w:w="800" w:type="dxa"/>
            <w:vAlign w:val="bottom"/>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rPr>
              <w:t>Group, Ltd.’s Quarterly Report on Form 10-Q for the fiscal quarter ended July 31, 2023.</w:t>
            </w:r>
          </w:p>
        </w:tc>
      </w:tr>
      <w:tr>
        <w:trPr>
          <w:trHeight w:val="20"/>
        </w:trPr>
        <w:tc>
          <w:tcPr>
            <w:tcW w:w="80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6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Apparel Group, Ltd.’s Quarterly Report on Form 10-Q for the fiscal quarter ended July 31, 2023.</w:t>
            </w:r>
          </w:p>
        </w:tc>
        <w:tc>
          <w:tcPr>
            <w:tcW w:w="11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w w:val="94"/>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80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6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Apparel Group, Ltd.’s Quarterly Report on Form 10-Q for the fiscal quarter ended July 31, 2023.</w:t>
            </w:r>
          </w:p>
        </w:tc>
        <w:tc>
          <w:tcPr>
            <w:tcW w:w="1120" w:type="dxa"/>
            <w:vAlign w:val="bottom"/>
            <w:gridSpan w:val="2"/>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Presentation Linkbase Document.</w:t>
            </w:r>
          </w:p>
        </w:tc>
      </w:tr>
    </w:tbl>
    <w:p>
      <w:pPr>
        <w:ind w:left="60"/>
        <w:spacing w:after="0"/>
        <w:rPr>
          <w:sz w:val="20"/>
          <w:szCs w:val="20"/>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10"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G-III APPAREL GROUP, LTD.</w:t>
            </w:r>
          </w:p>
        </w:tc>
      </w:tr>
      <w:tr>
        <w:trPr>
          <w:trHeight w:val="230"/>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September 7, 2023</w:t>
            </w: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By: /s/ Morris Goldfarb</w:t>
            </w:r>
          </w:p>
        </w:tc>
      </w:tr>
      <w:tr>
        <w:trPr>
          <w:trHeight w:val="195"/>
        </w:trPr>
        <w:tc>
          <w:tcPr>
            <w:tcW w:w="3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120" w:type="dxa"/>
            <w:vAlign w:val="bottom"/>
          </w:tcPr>
          <w:p>
            <w:pPr>
              <w:spacing w:after="0"/>
              <w:rPr>
                <w:sz w:val="20"/>
                <w:szCs w:val="20"/>
                <w:color w:val="auto"/>
              </w:rPr>
            </w:pPr>
            <w:r>
              <w:rPr>
                <w:rFonts w:ascii="Arial" w:cs="Arial" w:eastAsia="Arial" w:hAnsi="Arial"/>
                <w:sz w:val="18"/>
                <w:szCs w:val="18"/>
                <w:color w:val="auto"/>
              </w:rPr>
              <w:t>Date: September 7, 2023</w:t>
            </w: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By: /s/ Neal S. Nackman</w:t>
            </w:r>
          </w:p>
        </w:tc>
      </w:tr>
      <w:tr>
        <w:trPr>
          <w:trHeight w:val="195"/>
        </w:trPr>
        <w:tc>
          <w:tcPr>
            <w:tcW w:w="3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71" w:lineRule="exact"/>
        <w:rPr>
          <w:rFonts w:ascii="Arial" w:cs="Arial" w:eastAsia="Arial" w:hAnsi="Arial"/>
          <w:sz w:val="18"/>
          <w:szCs w:val="18"/>
          <w:color w:val="auto"/>
        </w:rPr>
      </w:pPr>
    </w:p>
    <w:p>
      <w:pPr>
        <w:jc w:val="both"/>
        <w:ind w:left="700" w:right="79"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700" w:right="79" w:hanging="326"/>
        <w:spacing w:after="0" w:line="285"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14" w:lineRule="exact"/>
        <w:rPr>
          <w:rFonts w:ascii="Arial" w:cs="Arial" w:eastAsia="Arial" w:hAnsi="Arial"/>
          <w:sz w:val="16"/>
          <w:szCs w:val="16"/>
          <w:color w:val="auto"/>
        </w:rPr>
      </w:pPr>
    </w:p>
    <w:p>
      <w:pPr>
        <w:jc w:val="both"/>
        <w:ind w:left="1020" w:right="79" w:hanging="322"/>
        <w:spacing w:after="0" w:line="23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7, 2023</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71" w:lineRule="exact"/>
        <w:rPr>
          <w:rFonts w:ascii="Arial" w:cs="Arial" w:eastAsia="Arial" w:hAnsi="Arial"/>
          <w:sz w:val="18"/>
          <w:szCs w:val="18"/>
          <w:color w:val="auto"/>
        </w:rPr>
      </w:pPr>
    </w:p>
    <w:p>
      <w:pPr>
        <w:jc w:val="both"/>
        <w:ind w:left="700" w:right="79"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700" w:right="79" w:hanging="326"/>
        <w:spacing w:after="0" w:line="285"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14" w:lineRule="exact"/>
        <w:rPr>
          <w:rFonts w:ascii="Arial" w:cs="Arial" w:eastAsia="Arial" w:hAnsi="Arial"/>
          <w:sz w:val="16"/>
          <w:szCs w:val="16"/>
          <w:color w:val="auto"/>
        </w:rPr>
      </w:pPr>
    </w:p>
    <w:p>
      <w:pPr>
        <w:jc w:val="both"/>
        <w:ind w:left="1020" w:right="79" w:hanging="322"/>
        <w:spacing w:after="0" w:line="23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7, 2023</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July 31, 2023,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7, 2023</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July 31, 2023,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7, 2023</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57" Type="http://schemas.openxmlformats.org/officeDocument/2006/relationships/hyperlink" Target="https://www.sec.gov/Archives/edgar/data/821002/000095013606007680/file2.htm" TargetMode="External"/><Relationship Id="rId58" Type="http://schemas.openxmlformats.org/officeDocument/2006/relationships/hyperlink" Target="https://www.sec.gov/Archives/edgar/data/821002/000095012311057737/y04932exv3w1.htm" TargetMode="External"/><Relationship Id="rId59" Type="http://schemas.openxmlformats.org/officeDocument/2006/relationships/hyperlink" Target="https://www.sec.gov/Archives/edgar/data/821002/000157104915005420/t1501536_ex3-1.htm" TargetMode="External"/><Relationship Id="rId60" Type="http://schemas.openxmlformats.org/officeDocument/2006/relationships/hyperlink" Target="https://www.sec.gov/Archives/edgar/data/821002/000119312513107874/d50321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2023-09-07T15:25:50Z</dcterms:created>
  <dcterms:modified xsi:type="dcterms:W3CDTF">2023-09-07T15:25:50Z</dcterms:modified>
</cp:coreProperties>
</file>