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giii-20231031x10q.htm"/>
        <w:bookmarkStart w:id="1" w:name="ksgiii202310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bookmarkStart w:id="2" w:name="_7aae92b2_fef0_47aa_93e8_b173f55832dd"/>
      <w:bookmarkEnd w:id="2"/>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qU_eYAVJm0ywwnhlfpbgGQ_1_1"/>
      <w:bookmarkStart w:id="4" w:name="_67cce160_03ae_4838_aa3c_6a5691c43eca"/>
      <w:bookmarkStart w:id="5" w:name="Tc_qU_eYAVJm0ywwnhlfpbgGQ_1_1"/>
      <w:bookmarkStart w:id="6" w:name="_67cce160_03ae_4838_aa3c_6a5691c43eca"/>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October 31, 2023</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7" w:name="Tc_0e-Rrg_W70e4QxOuW-PC9w_1_1"/>
      <w:bookmarkStart w:id="8" w:name="_48436b49_d26e_4082_874d_b993b378e2b0"/>
      <w:bookmarkStart w:id="9" w:name="Tc_0e-Rrg_W70e4QxOuW-PC9w_1_1"/>
      <w:bookmarkStart w:id="10" w:name="_48436b49_d26e_4082_874d_b993b378e2b0"/>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lineRule="atLeast" w:line="142"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0-18183</w:t>
      </w:r>
    </w:p>
    <w:p>
      <w:pPr>
        <w:pStyle w:val="TextBody"/>
        <w:bidi w:val="0"/>
        <w:spacing w:before="0" w:after="0"/>
        <w:ind w:left="0" w:right="0" w:hanging="0"/>
        <w:jc w:val="center"/>
        <w:rPr/>
      </w:pPr>
      <w:r>
        <w:rPr/>
        <w:t> </w:t>
      </w:r>
      <w:r>
        <w:rPr>
          <w:rFonts w:ascii="Times New Roman;Times;serif" w:hAnsi="Times New Roman;Times;serif"/>
          <w:b/>
          <w:i w:val="false"/>
          <w:caps w:val="false"/>
          <w:smallCaps w:val="false"/>
          <w:sz w:val="40"/>
        </w:rPr>
        <w:t>G-III APPAREL GROUP, LTD</w:t>
      </w:r>
      <w:r>
        <w:rPr>
          <w:rFonts w:ascii="Times New Roman;Times;serif" w:hAnsi="Times New Roman;Times;serif"/>
          <w:b/>
          <w:sz w:val="40"/>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 </w:t>
      </w:r>
    </w:p>
    <w:p>
      <w:pPr>
        <w:pStyle w:val="TextBody"/>
        <w:bidi w:val="0"/>
        <w:spacing w:lineRule="atLeast" w:line="142" w:before="0" w:after="0"/>
        <w:ind w:left="0" w:right="0" w:hanging="0"/>
        <w:jc w:val="center"/>
        <w:rPr/>
      </w:pPr>
      <w:r>
        <w:rPr/>
        <w:t> </w:t>
      </w:r>
    </w:p>
    <w:p>
      <w:pPr>
        <w:pStyle w:val="Normal"/>
        <w:bidi w:val="0"/>
        <w:spacing w:before="0" w:after="0"/>
        <w:jc w:val="left"/>
        <w:rPr>
          <w:sz w:val="4"/>
          <w:szCs w:val="4"/>
        </w:rPr>
      </w:pPr>
      <w:r>
        <w:rPr>
          <w:sz w:val="4"/>
          <w:szCs w:val="4"/>
        </w:rPr>
      </w:r>
      <w:bookmarkStart w:id="11" w:name="Tc_CsyjQtQDA06cRwLZtWiMiQ_6_2"/>
      <w:bookmarkStart w:id="12" w:name="Tc_GOau6O_BTEKsmu_Y5lTaOQ_6_0"/>
      <w:bookmarkStart w:id="13" w:name="Tc_AyMuKyTTiE2GjUD4qPrLDg_5_0"/>
      <w:bookmarkStart w:id="14" w:name="Tc_xWqMaGT5HEym32HgyDHKzg_3_2"/>
      <w:bookmarkStart w:id="15" w:name="Tc_UlcgNAbED0axG_ObUOM4_A_3_0"/>
      <w:bookmarkStart w:id="16" w:name="Tc_fs1xLaJ7Rki2_QoRz1hWlA_2_2"/>
      <w:bookmarkStart w:id="17" w:name="Tc_SmeCBBSHeUmpEGBPbplUVQ_2_0"/>
      <w:bookmarkStart w:id="18" w:name="_bdf98a77_3046_446a_8415_191d22e3bbd2"/>
      <w:bookmarkStart w:id="19" w:name="Tc_CsyjQtQDA06cRwLZtWiMiQ_6_2"/>
      <w:bookmarkStart w:id="20" w:name="Tc_GOau6O_BTEKsmu_Y5lTaOQ_6_0"/>
      <w:bookmarkStart w:id="21" w:name="Tc_AyMuKyTTiE2GjUD4qPrLDg_5_0"/>
      <w:bookmarkStart w:id="22" w:name="Tc_xWqMaGT5HEym32HgyDHKzg_3_2"/>
      <w:bookmarkStart w:id="23" w:name="Tc_UlcgNAbED0axG_ObUOM4_A_3_0"/>
      <w:bookmarkStart w:id="24" w:name="Tc_fs1xLaJ7Rki2_QoRz1hWlA_2_2"/>
      <w:bookmarkStart w:id="25" w:name="Tc_SmeCBBSHeUmpEGBPbplUVQ_2_0"/>
      <w:bookmarkStart w:id="26" w:name="_bdf98a77_3046_446a_8415_191d22e3bbd2"/>
      <w:bookmarkEnd w:id="19"/>
      <w:bookmarkEnd w:id="20"/>
      <w:bookmarkEnd w:id="21"/>
      <w:bookmarkEnd w:id="22"/>
      <w:bookmarkEnd w:id="23"/>
      <w:bookmarkEnd w:id="24"/>
      <w:bookmarkEnd w:id="25"/>
      <w:bookmarkEnd w:id="26"/>
    </w:p>
    <w:tbl>
      <w:tblPr>
        <w:tblW w:w="5338" w:type="dxa"/>
        <w:jc w:val="left"/>
        <w:tblInd w:w="0" w:type="dxa"/>
        <w:tblLayout w:type="fixed"/>
        <w:tblCellMar>
          <w:top w:w="0" w:type="dxa"/>
          <w:left w:w="0" w:type="dxa"/>
          <w:bottom w:w="0" w:type="dxa"/>
          <w:right w:w="0" w:type="dxa"/>
        </w:tblCellMar>
      </w:tblPr>
      <w:tblGrid>
        <w:gridCol w:w="3451"/>
        <w:gridCol w:w="326"/>
        <w:gridCol w:w="156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41-1590959</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451" w:type="dxa"/>
            <w:tcBorders/>
            <w:vAlign w:val="center"/>
          </w:tcPr>
          <w:p>
            <w:pPr>
              <w:pStyle w:val="TableContents"/>
              <w:bidi w:val="0"/>
              <w:spacing w:lineRule="atLeast" w:line="142" w:before="0" w:after="0"/>
              <w:ind w:left="0" w:right="0" w:hanging="0"/>
              <w:jc w:val="center"/>
              <w:rPr/>
            </w:pPr>
            <w:r>
              <w:rPr/>
              <w:t> </w:t>
            </w:r>
          </w:p>
        </w:tc>
        <w:tc>
          <w:tcPr>
            <w:tcW w:w="326" w:type="dxa"/>
            <w:tcBorders/>
            <w:vAlign w:val="center"/>
          </w:tcPr>
          <w:p>
            <w:pPr>
              <w:pStyle w:val="TableContents"/>
              <w:bidi w:val="0"/>
              <w:spacing w:lineRule="atLeast" w:line="142" w:before="0" w:after="0"/>
              <w:ind w:left="0" w:right="0" w:hanging="0"/>
              <w:jc w:val="left"/>
              <w:rPr/>
            </w:pPr>
            <w:r>
              <w:rPr/>
              <w:t> </w:t>
            </w:r>
          </w:p>
        </w:tc>
        <w:tc>
          <w:tcPr>
            <w:tcW w:w="1561" w:type="dxa"/>
            <w:tcBorders/>
            <w:vAlign w:val="center"/>
          </w:tcPr>
          <w:p>
            <w:pPr>
              <w:pStyle w:val="TableContents"/>
              <w:bidi w:val="0"/>
              <w:spacing w:lineRule="atLeast" w:line="142"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512 Seventh Avenue, New York, New York</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10018</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(212) 403-0500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7" w:name="Tc_ucjfsD5UX0K6Hc2_FXYVqQ_2_0"/>
      <w:bookmarkStart w:id="28" w:name="Tc_g-7Qw68Pek678PNjVXxjvg_1_2"/>
      <w:bookmarkStart w:id="29" w:name="Tc_pwNpMRoh-0S2vikfU0eREg_1_1"/>
      <w:bookmarkStart w:id="30" w:name="Tc_5e4e9nw1ukWvLrRs1y9hZw_1_0"/>
      <w:bookmarkStart w:id="31" w:name="_d433f0cd_c7c5_4d94_a9bf_30e46fd249fa"/>
      <w:bookmarkStart w:id="32" w:name="Tc_ucjfsD5UX0K6Hc2_FXYVqQ_2_0"/>
      <w:bookmarkStart w:id="33" w:name="Tc_g-7Qw68Pek678PNjVXxjvg_1_2"/>
      <w:bookmarkStart w:id="34" w:name="Tc_pwNpMRoh-0S2vikfU0eREg_1_1"/>
      <w:bookmarkStart w:id="35" w:name="Tc_5e4e9nw1ukWvLrRs1y9hZw_1_0"/>
      <w:bookmarkStart w:id="36" w:name="_d433f0cd_c7c5_4d94_a9bf_30e46fd249fa"/>
      <w:bookmarkEnd w:id="32"/>
      <w:bookmarkEnd w:id="33"/>
      <w:bookmarkEnd w:id="34"/>
      <w:bookmarkEnd w:id="35"/>
      <w:bookmarkEnd w:id="36"/>
    </w:p>
    <w:tbl>
      <w:tblPr>
        <w:tblW w:w="7713" w:type="dxa"/>
        <w:jc w:val="left"/>
        <w:tblInd w:w="0" w:type="dxa"/>
        <w:tblLayout w:type="fixed"/>
        <w:tblCellMar>
          <w:top w:w="0" w:type="dxa"/>
          <w:left w:w="0" w:type="dxa"/>
          <w:bottom w:w="0" w:type="dxa"/>
          <w:right w:w="0" w:type="dxa"/>
        </w:tblCellMar>
      </w:tblPr>
      <w:tblGrid>
        <w:gridCol w:w="3061"/>
        <w:gridCol w:w="1426"/>
        <w:gridCol w:w="3226"/>
      </w:tblGrid>
      <w:tr>
        <w:trPr/>
        <w:tc>
          <w:tcPr>
            <w:tcW w:w="306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226" w:type="dxa"/>
            <w:tcBorders/>
            <w:vAlign w:val="center"/>
          </w:tcPr>
          <w:p>
            <w:pPr>
              <w:pStyle w:val="TableContents"/>
              <w:bidi w:val="0"/>
              <w:spacing w:before="0" w:after="0"/>
              <w:ind w:left="0" w:right="0" w:hanging="0"/>
              <w:jc w:val="left"/>
              <w:rPr/>
            </w:pPr>
            <w:r>
              <w:rPr/>
              <w: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$0.01 par value per share</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GIII</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w:t>
            </w:r>
          </w:p>
        </w:tc>
      </w:tr>
    </w:tbl>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42" w:before="0" w:after="0"/>
        <w:ind w:left="0" w:right="0" w:hanging="0"/>
        <w:jc w:val="both"/>
        <w:rPr/>
      </w:pPr>
      <w:r>
        <w:rPr/>
        <w:t>​</w:t>
      </w:r>
    </w:p>
    <w:p>
      <w:pPr>
        <w:pStyle w:val="Normal"/>
        <w:bidi w:val="0"/>
        <w:spacing w:before="0" w:after="0"/>
        <w:jc w:val="left"/>
        <w:rPr>
          <w:sz w:val="4"/>
          <w:szCs w:val="4"/>
        </w:rPr>
      </w:pPr>
      <w:r>
        <w:rPr>
          <w:sz w:val="4"/>
          <w:szCs w:val="4"/>
        </w:rPr>
      </w:r>
      <w:bookmarkStart w:id="37" w:name="Tc_CjRx0a88NEeMekHGvao7Ug_3_0"/>
      <w:bookmarkStart w:id="38" w:name="Tc_qcOnxpuK106sknV0u86vuw_2_2"/>
      <w:bookmarkStart w:id="39" w:name="Tc_SD0Lxkel60KIBUPVWxwY0A_2_1"/>
      <w:bookmarkStart w:id="40" w:name="Tc_Zs25s3JknEWZpCftY5X45g_2_0"/>
      <w:bookmarkStart w:id="41" w:name="Tc_mNyLyKHNNUmGioqW4bwuxQ_1_3"/>
      <w:bookmarkStart w:id="42" w:name="Tc_nKz0k7pitU6TBkGfpnwIXA_1_2"/>
      <w:bookmarkStart w:id="43" w:name="Tc_Snsr1aMW8kWl9y_fxyOInw_1_1"/>
      <w:bookmarkStart w:id="44" w:name="_0d100095_6f82_4197_9134_342390c8ed5f"/>
      <w:bookmarkStart w:id="45" w:name="Tc_CjRx0a88NEeMekHGvao7Ug_3_0"/>
      <w:bookmarkStart w:id="46" w:name="Tc_qcOnxpuK106sknV0u86vuw_2_2"/>
      <w:bookmarkStart w:id="47" w:name="Tc_SD0Lxkel60KIBUPVWxwY0A_2_1"/>
      <w:bookmarkStart w:id="48" w:name="Tc_Zs25s3JknEWZpCftY5X45g_2_0"/>
      <w:bookmarkStart w:id="49" w:name="Tc_mNyLyKHNNUmGioqW4bwuxQ_1_3"/>
      <w:bookmarkStart w:id="50" w:name="Tc_nKz0k7pitU6TBkGfpnwIXA_1_2"/>
      <w:bookmarkStart w:id="51" w:name="Tc_Snsr1aMW8kWl9y_fxyOInw_1_1"/>
      <w:bookmarkStart w:id="52" w:name="_0d100095_6f82_4197_9134_342390c8ed5f"/>
      <w:bookmarkEnd w:id="45"/>
      <w:bookmarkEnd w:id="46"/>
      <w:bookmarkEnd w:id="47"/>
      <w:bookmarkEnd w:id="48"/>
      <w:bookmarkEnd w:id="49"/>
      <w:bookmarkEnd w:id="50"/>
      <w:bookmarkEnd w:id="51"/>
      <w:bookmarkEnd w:id="52"/>
    </w:p>
    <w:tbl>
      <w:tblPr>
        <w:tblW w:w="4759" w:type="dxa"/>
        <w:jc w:val="left"/>
        <w:tblInd w:w="0" w:type="dxa"/>
        <w:tblLayout w:type="fixed"/>
        <w:tblCellMar>
          <w:top w:w="0" w:type="dxa"/>
          <w:left w:w="0" w:type="dxa"/>
          <w:bottom w:w="0" w:type="dxa"/>
          <w:right w:w="0" w:type="dxa"/>
        </w:tblCellMar>
      </w:tblPr>
      <w:tblGrid>
        <w:gridCol w:w="2056"/>
        <w:gridCol w:w="31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bl>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December 4, 2023, there were 45,727,662 shares of issuer’s common stock, par value $0.1 per share, outstanding.</w:t>
      </w:r>
    </w:p>
    <w:p>
      <w:pPr>
        <w:pStyle w:val="TextBody"/>
        <w:bidi w:val="0"/>
        <w:spacing w:lineRule="atLeast" w:line="142" w:before="0" w:after="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TOC"/>
      <w:bookmarkStart w:id="54" w:name="_1f7f10df_24be_4c95_9632_71b5ea96b7ec"/>
      <w:bookmarkEnd w:id="53"/>
      <w:bookmarkEnd w:id="5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257"/>
        <w:gridCol w:w="326"/>
        <w:gridCol w:w="8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811" w:type="dxa"/>
            <w:tcBorders/>
            <w:vAlign w:val="center"/>
          </w:tcPr>
          <w:p>
            <w:pPr>
              <w:pStyle w:val="TableContents"/>
              <w:bidi w:val="0"/>
              <w:spacing w:before="0" w:after="0"/>
              <w:ind w:left="0" w:right="0" w:hanging="0"/>
              <w:jc w:val="left"/>
              <w:rPr/>
            </w:pPr>
            <w:hyperlink w:anchor="PARTIFINANCIALINFORMATION_626175">
              <w:r>
                <w:rPr>
                  <w:rStyle w:val="InternetLink"/>
                  <w:rFonts w:ascii="Times New Roman;Times;serif" w:hAnsi="Times New Roman;Times;serif"/>
                  <w:b w:val="false"/>
                  <w:i w:val="false"/>
                  <w:caps w:val="false"/>
                  <w:smallCaps w:val="false"/>
                  <w:sz w:val="20"/>
                </w:rPr>
                <w:t>Part I</w:t>
              </w:r>
            </w:hyperlink>
          </w:p>
        </w:tc>
        <w:tc>
          <w:tcPr>
            <w:tcW w:w="8257" w:type="dxa"/>
            <w:tcBorders/>
            <w:vAlign w:val="center"/>
          </w:tcPr>
          <w:p>
            <w:pPr>
              <w:pStyle w:val="TableContents"/>
              <w:bidi w:val="0"/>
              <w:spacing w:before="0" w:after="0"/>
              <w:ind w:left="0" w:right="0" w:hanging="0"/>
              <w:jc w:val="left"/>
              <w:rPr/>
            </w:pPr>
            <w:hyperlink w:anchor="PARTIFINANCIALINFORMATION_626175">
              <w:r>
                <w:rPr>
                  <w:rStyle w:val="InternetLink"/>
                  <w:rFonts w:ascii="Times New Roman;Times;serif" w:hAnsi="Times New Roman;Times;serif"/>
                  <w:b w:val="false"/>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584850">
              <w:r>
                <w:rPr>
                  <w:rStyle w:val="InternetLink"/>
                  <w:rFonts w:ascii="Times New Roman;Times;serif" w:hAnsi="Times New Roman;Times;serif"/>
                  <w:b w:val="false"/>
                  <w:i w:val="false"/>
                  <w:caps w:val="false"/>
                  <w:smallCaps w:val="false"/>
                  <w:sz w:val="20"/>
                </w:rPr>
                <w:t>Item 1.</w:t>
              </w:r>
            </w:hyperlink>
          </w:p>
        </w:tc>
        <w:tc>
          <w:tcPr>
            <w:tcW w:w="8257" w:type="dxa"/>
            <w:tcBorders/>
            <w:vAlign w:val="center"/>
          </w:tcPr>
          <w:p>
            <w:pPr>
              <w:pStyle w:val="TableContents"/>
              <w:bidi w:val="0"/>
              <w:spacing w:before="0" w:after="0"/>
              <w:ind w:left="0" w:right="0" w:hanging="0"/>
              <w:jc w:val="left"/>
              <w:rPr/>
            </w:pPr>
            <w:hyperlink w:anchor="Item1FinancialStatements_584850">
              <w:r>
                <w:rPr>
                  <w:rStyle w:val="InternetLink"/>
                  <w:rFonts w:ascii="Times New Roman;Times;serif" w:hAnsi="Times New Roman;Time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0"/>
              <w:ind w:left="0" w:right="0" w:hanging="0"/>
              <w:jc w:val="left"/>
              <w:rPr/>
            </w:pPr>
            <w:hyperlink w:anchor="BALANCESHEETS_158698">
              <w:r>
                <w:rPr>
                  <w:rStyle w:val="InternetLink"/>
                  <w:rFonts w:ascii="Times New Roman;Times;serif" w:hAnsi="Times New Roman;Times;serif"/>
                  <w:b w:val="false"/>
                  <w:i w:val="false"/>
                  <w:caps w:val="false"/>
                  <w:smallCaps w:val="false"/>
                  <w:sz w:val="20"/>
                </w:rPr>
                <w:t>Condensed Consolidated Balance Sheets – October 31, 2023 (Unaudited), October 31, 2022 (Unaudited) and January 31, 2023</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0"/>
              <w:ind w:left="0" w:right="0" w:hanging="0"/>
              <w:jc w:val="left"/>
              <w:rPr/>
            </w:pPr>
            <w:hyperlink w:anchor="COMPREHENSIVELOSS_858937">
              <w:r>
                <w:rPr>
                  <w:rStyle w:val="InternetLink"/>
                  <w:rFonts w:ascii="Times New Roman;Times;serif" w:hAnsi="Times New Roman;Times;serif"/>
                  <w:b w:val="false"/>
                  <w:i w:val="false"/>
                  <w:caps w:val="false"/>
                  <w:smallCaps w:val="false"/>
                  <w:sz w:val="20"/>
                </w:rPr>
                <w:t>Condensed Consolidated Statements of Operations and Comprehensive Income – For the Three and Nine Months Ended October 31, 2023 and 2022 (Unaudited)</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257" w:type="dxa"/>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Condensed Consolidated Statements of Stockholders’ Equity – October 31, 2023 and October 31, 2022 (Unaudited)</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0"/>
              <w:ind w:left="0" w:right="0" w:hanging="0"/>
              <w:jc w:val="left"/>
              <w:rPr/>
            </w:pPr>
            <w:hyperlink w:anchor="CASHFLOWS_572760">
              <w:r>
                <w:rPr>
                  <w:rStyle w:val="InternetLink"/>
                  <w:rFonts w:ascii="Times New Roman;Times;serif" w:hAnsi="Times New Roman;Times;serif"/>
                  <w:b w:val="false"/>
                  <w:i w:val="false"/>
                  <w:caps w:val="false"/>
                  <w:smallCaps w:val="false"/>
                  <w:sz w:val="20"/>
                </w:rPr>
                <w:t>Condensed Consolidated Statements of Cash Flows – For the Nine Months Ended October 31, 2023 and 2022 (Unaudited)</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0"/>
              <w:ind w:left="0" w:right="0" w:hanging="0"/>
              <w:jc w:val="left"/>
              <w:rPr/>
            </w:pPr>
            <w:hyperlink w:anchor="NOTESTOCONDENSEDCONSOLIDATED_476308">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hyperlink w:anchor="Item2ManagementsDiscussion_401041">
              <w:r>
                <w:rPr>
                  <w:rStyle w:val="InternetLink"/>
                  <w:rFonts w:ascii="Times New Roman;Times;serif" w:hAnsi="Times New Roman;Times;serif"/>
                  <w:b w:val="false"/>
                  <w:i w:val="false"/>
                  <w:caps w:val="false"/>
                  <w:smallCaps w:val="false"/>
                  <w:sz w:val="20"/>
                </w:rPr>
                <w:t>Item 2.</w:t>
              </w:r>
            </w:hyperlink>
          </w:p>
        </w:tc>
        <w:tc>
          <w:tcPr>
            <w:tcW w:w="8257" w:type="dxa"/>
            <w:tcBorders/>
            <w:vAlign w:val="center"/>
          </w:tcPr>
          <w:p>
            <w:pPr>
              <w:pStyle w:val="TableContents"/>
              <w:bidi w:val="0"/>
              <w:spacing w:before="0" w:after="0"/>
              <w:ind w:left="0" w:right="0" w:hanging="0"/>
              <w:jc w:val="left"/>
              <w:rPr/>
            </w:pPr>
            <w:hyperlink w:anchor="Item2ManagementsDiscussion_40104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vAlign w:val="center"/>
          </w:tcPr>
          <w:p>
            <w:pPr>
              <w:pStyle w:val="TableContents"/>
              <w:bidi w:val="0"/>
              <w:spacing w:before="0" w:after="0"/>
              <w:ind w:left="0" w:right="0" w:hanging="0"/>
              <w:jc w:val="left"/>
              <w:rPr/>
            </w:pPr>
            <w:hyperlink w:anchor="Item3Quantitative_475780">
              <w:r>
                <w:rPr>
                  <w:rStyle w:val="InternetLink"/>
                  <w:rFonts w:ascii="Times New Roman;Times;serif" w:hAnsi="Times New Roman;Times;serif"/>
                  <w:b w:val="false"/>
                  <w:i w:val="false"/>
                  <w:caps w:val="false"/>
                  <w:smallCaps w:val="false"/>
                  <w:sz w:val="20"/>
                </w:rPr>
                <w:t>Item 3.</w:t>
              </w:r>
            </w:hyperlink>
          </w:p>
        </w:tc>
        <w:tc>
          <w:tcPr>
            <w:tcW w:w="8257" w:type="dxa"/>
            <w:tcBorders/>
            <w:vAlign w:val="center"/>
          </w:tcPr>
          <w:p>
            <w:pPr>
              <w:pStyle w:val="TableContents"/>
              <w:bidi w:val="0"/>
              <w:spacing w:before="0" w:after="0"/>
              <w:ind w:left="0" w:right="0" w:hanging="0"/>
              <w:jc w:val="left"/>
              <w:rPr/>
            </w:pPr>
            <w:hyperlink w:anchor="Item3Quantitative_47578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4ControlsandProcedures_978659">
              <w:r>
                <w:rPr>
                  <w:rStyle w:val="InternetLink"/>
                  <w:rFonts w:ascii="Times New Roman;Times;serif" w:hAnsi="Times New Roman;Times;serif"/>
                  <w:b w:val="false"/>
                  <w:i w:val="false"/>
                  <w:caps w:val="false"/>
                  <w:smallCaps w:val="false"/>
                  <w:sz w:val="20"/>
                </w:rPr>
                <w:t>Item 4.</w:t>
              </w:r>
            </w:hyperlink>
          </w:p>
        </w:tc>
        <w:tc>
          <w:tcPr>
            <w:tcW w:w="8257" w:type="dxa"/>
            <w:tcBorders/>
            <w:vAlign w:val="center"/>
          </w:tcPr>
          <w:p>
            <w:pPr>
              <w:pStyle w:val="TableContents"/>
              <w:bidi w:val="0"/>
              <w:spacing w:before="0" w:after="0"/>
              <w:ind w:left="0" w:right="0" w:hanging="0"/>
              <w:jc w:val="left"/>
              <w:rPr/>
            </w:pPr>
            <w:hyperlink w:anchor="Item4ControlsandProcedures_978659">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r>
              <w:rPr/>
              <w:t>​</w:t>
            </w:r>
          </w:p>
        </w:tc>
        <w:tc>
          <w:tcPr>
            <w:tcW w:w="82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14841">
              <w:r>
                <w:rPr>
                  <w:rStyle w:val="InternetLink"/>
                  <w:rFonts w:ascii="Times New Roman;Times;serif" w:hAnsi="Times New Roman;Times;serif"/>
                  <w:b w:val="false"/>
                  <w:i w:val="false"/>
                  <w:caps w:val="false"/>
                  <w:smallCaps w:val="false"/>
                  <w:sz w:val="20"/>
                </w:rPr>
                <w:t>Part II</w:t>
              </w:r>
            </w:hyperlink>
          </w:p>
        </w:tc>
        <w:tc>
          <w:tcPr>
            <w:tcW w:w="8257" w:type="dxa"/>
            <w:tcBorders/>
            <w:vAlign w:val="center"/>
          </w:tcPr>
          <w:p>
            <w:pPr>
              <w:pStyle w:val="TableContents"/>
              <w:bidi w:val="0"/>
              <w:spacing w:before="0" w:after="0"/>
              <w:ind w:left="0" w:right="0" w:hanging="0"/>
              <w:jc w:val="left"/>
              <w:rPr/>
            </w:pPr>
            <w:hyperlink w:anchor="PARTIIOTHERINFORMATION_14841">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ARiskFactors_273079">
              <w:r>
                <w:rPr>
                  <w:rStyle w:val="InternetLink"/>
                  <w:rFonts w:ascii="Times New Roman;Times;serif" w:hAnsi="Times New Roman;Times;serif"/>
                  <w:b w:val="false"/>
                  <w:i w:val="false"/>
                  <w:caps w:val="false"/>
                  <w:smallCaps w:val="false"/>
                  <w:sz w:val="20"/>
                </w:rPr>
                <w:t>Item 1A.</w:t>
              </w:r>
            </w:hyperlink>
          </w:p>
        </w:tc>
        <w:tc>
          <w:tcPr>
            <w:tcW w:w="8257" w:type="dxa"/>
            <w:tcBorders/>
            <w:vAlign w:val="center"/>
          </w:tcPr>
          <w:p>
            <w:pPr>
              <w:pStyle w:val="TableContents"/>
              <w:bidi w:val="0"/>
              <w:spacing w:before="0" w:after="0"/>
              <w:ind w:left="0" w:right="0" w:hanging="0"/>
              <w:jc w:val="left"/>
              <w:rPr/>
            </w:pPr>
            <w:hyperlink w:anchor="Item1ARiskFactors_273079">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257"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5OtherInformation_516384">
              <w:r>
                <w:rPr>
                  <w:rStyle w:val="InternetLink"/>
                  <w:rFonts w:ascii="Times New Roman;Times;serif" w:hAnsi="Times New Roman;Times;serif"/>
                  <w:b w:val="false"/>
                  <w:i w:val="false"/>
                  <w:caps w:val="false"/>
                  <w:smallCaps w:val="false"/>
                  <w:sz w:val="20"/>
                </w:rPr>
                <w:t>Item 5.</w:t>
              </w:r>
            </w:hyperlink>
          </w:p>
        </w:tc>
        <w:tc>
          <w:tcPr>
            <w:tcW w:w="8257" w:type="dxa"/>
            <w:tcBorders/>
            <w:vAlign w:val="center"/>
          </w:tcPr>
          <w:p>
            <w:pPr>
              <w:pStyle w:val="TableContents"/>
              <w:bidi w:val="0"/>
              <w:spacing w:before="0" w:after="0"/>
              <w:ind w:left="0" w:right="0" w:hanging="0"/>
              <w:jc w:val="left"/>
              <w:rPr/>
            </w:pPr>
            <w:hyperlink w:anchor="Item5OtherInformation_516384">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Item 6.</w:t>
              </w:r>
            </w:hyperlink>
          </w:p>
        </w:tc>
        <w:tc>
          <w:tcPr>
            <w:tcW w:w="8257"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7</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55" w:name="PARTIFINANCIALINFORMATION_626175"/>
      <w:bookmarkEnd w:id="55"/>
      <w:r>
        <w:rPr>
          <w:rFonts w:ascii="Times New Roman;Times;serif" w:hAnsi="Times New Roman;Times;serif"/>
          <w:b/>
          <w:sz w:val="20"/>
        </w:rPr>
        <w:t>PART I – FINANCIAL INFORMATION</w:t>
      </w:r>
    </w:p>
    <w:p>
      <w:pPr>
        <w:pStyle w:val="TextBody"/>
        <w:bidi w:val="0"/>
        <w:spacing w:before="0" w:after="60"/>
        <w:ind w:left="0" w:right="0" w:hanging="0"/>
        <w:jc w:val="left"/>
        <w:rPr>
          <w:rFonts w:ascii="Times New Roman;Times;serif" w:hAnsi="Times New Roman;Times;serif"/>
          <w:b/>
          <w:sz w:val="20"/>
        </w:rPr>
      </w:pPr>
      <w:bookmarkStart w:id="56" w:name="Item1FinancialStatements_584850"/>
      <w:bookmarkEnd w:id="56"/>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bookmarkStart w:id="57" w:name="_4615e0a2_baa9_404f_a460_86f93c1b62b0"/>
      <w:bookmarkEnd w:id="57"/>
      <w:r>
        <w:rPr>
          <w:rFonts w:ascii="Times New Roman;Times;serif" w:hAnsi="Times New Roman;Times;serif"/>
          <w:b/>
          <w:sz w:val="20"/>
        </w:rPr>
        <w:t>G-III APPAREL GROUP, LTD. AND SUBSIDIARIES</w:t>
      </w:r>
    </w:p>
    <w:p>
      <w:pPr>
        <w:pStyle w:val="TextBody"/>
        <w:bidi w:val="0"/>
        <w:spacing w:before="0" w:after="60"/>
        <w:ind w:left="0" w:right="0" w:hanging="0"/>
        <w:jc w:val="center"/>
        <w:rPr>
          <w:rFonts w:ascii="Times New Roman;Times;serif" w:hAnsi="Times New Roman;Times;serif"/>
          <w:b/>
          <w:sz w:val="20"/>
        </w:rPr>
      </w:pPr>
      <w:bookmarkStart w:id="58" w:name="BALANCESHEETS_158698"/>
      <w:bookmarkEnd w:id="58"/>
      <w:r>
        <w:rPr>
          <w:rFonts w:ascii="Times New Roman;Times;serif" w:hAnsi="Times New Roman;Times;serif"/>
          <w:b/>
          <w:sz w:val="20"/>
        </w:rPr>
        <w:t>CONDENSED CONSOLIDATED BALANCE SHEETS</w:t>
      </w:r>
    </w:p>
    <w:p>
      <w:pPr>
        <w:pStyle w:val="Normal"/>
        <w:bidi w:val="0"/>
        <w:spacing w:before="0" w:after="0"/>
        <w:jc w:val="left"/>
        <w:rPr>
          <w:sz w:val="4"/>
          <w:szCs w:val="4"/>
        </w:rPr>
      </w:pPr>
      <w:r>
        <w:rPr>
          <w:sz w:val="4"/>
          <w:szCs w:val="4"/>
        </w:rPr>
      </w:r>
      <w:bookmarkStart w:id="59" w:name="Tc_tNvVsoxVm0CmSwh6hC6M8A_48_8"/>
      <w:bookmarkStart w:id="60" w:name="Tc_CRVu7XHfFUOsAF90XCNXRA_48_5"/>
      <w:bookmarkStart w:id="61" w:name="Tc_S8Zou8VTXkGvop5KMej3mA_48_2"/>
      <w:bookmarkStart w:id="62" w:name="Tc_mrS5adHI6kefdnDiNCh59Q_48_0"/>
      <w:bookmarkStart w:id="63" w:name="Tc_JZctzR5Njka2AFU91267ng_47_0"/>
      <w:bookmarkStart w:id="64" w:name="Tc_QjtGtmy-z02YOQnPiRM6aw_46_0"/>
      <w:bookmarkStart w:id="65" w:name="Tc_Do8UoYLKwEyPjajwiu6mdw_45_0"/>
      <w:bookmarkStart w:id="66" w:name="Tc_6Pq6UPlBHUGOt3LBMDMMng_44_0"/>
      <w:bookmarkStart w:id="67" w:name="Tc_KNTIqz9YO0iCMJnyTbWOpA_43_0"/>
      <w:bookmarkStart w:id="68" w:name="Tc_tLkXMaOfI0CLIurnAfd2Yw_42_0"/>
      <w:bookmarkStart w:id="69" w:name="Tc_cB_E6eyYXU-ZgR1OQfqAJw_41_0"/>
      <w:bookmarkStart w:id="70" w:name="Tc_tqyri7cL9UmUed2M-7QVkA_40_0"/>
      <w:bookmarkStart w:id="71" w:name="Tc_7ORsqlpkckexKVqIAtLazg_38_0"/>
      <w:bookmarkStart w:id="72" w:name="Tc_bwbDNB_tFUC0mwgL7-xwCQ_36_0"/>
      <w:bookmarkStart w:id="73" w:name="Tc_1RIUJ97On0CN_ULqFNHzpg_35_0"/>
      <w:bookmarkStart w:id="74" w:name="Tc_nB08qPZf6Um4dV6w-Gk49w_34_0"/>
      <w:bookmarkStart w:id="75" w:name="Tc_ypOShOYyd0OeyF8F8DwDhg_33_0"/>
      <w:bookmarkStart w:id="76" w:name="Tc_NaHMBPk4eEWGn87ewdbyDA_32_0"/>
      <w:bookmarkStart w:id="77" w:name="Tc_HcvfEz0Cl0edRdRPYzPaNQ_31_0"/>
      <w:bookmarkStart w:id="78" w:name="Tc_X_ljfO0exUqYvO4FYwxMag_30_0"/>
      <w:bookmarkStart w:id="79" w:name="Tc_KYcOA5_BQUm_wXUbhVRbHA_29_0"/>
      <w:bookmarkStart w:id="80" w:name="Tc_xzpvvY63VkKHMgzqbFg7JA_28_0"/>
      <w:bookmarkStart w:id="81" w:name="Tc_nJh7u4auoEawucNlYASH7Q_27_0"/>
      <w:bookmarkStart w:id="82" w:name="Tc__2uilHL350qVKVcm4X5HnQ_26_0"/>
      <w:bookmarkStart w:id="83" w:name="Tc_SNEI0BoqRkuNreTOTy5Qaw_25_0"/>
      <w:bookmarkStart w:id="84" w:name="Tc_fNx9C-DBcEeXefQ2s_OKuQ_24_8"/>
      <w:bookmarkStart w:id="85" w:name="Tc_06nO3mhe0EiaQGG7XmRqdw_24_5"/>
      <w:bookmarkStart w:id="86" w:name="Tc_T3fIH5NXpkOwjmarcRg6Lw_24_2"/>
      <w:bookmarkStart w:id="87" w:name="Tc_RDuUXMKo3U-Olz6H4wdCwQ_24_0"/>
      <w:bookmarkStart w:id="88" w:name="Tc_ojS2ULABsky6Apl1Znuqcg_23_0"/>
      <w:bookmarkStart w:id="89" w:name="Tc_uyRgsqwmbkKjnvpWgPMEGw_22_0"/>
      <w:bookmarkStart w:id="90" w:name="Tc_mhPdxO-j0EWUIrYbIwEPMQ_21_8"/>
      <w:bookmarkStart w:id="91" w:name="Tc_2vmRYS6BuEGUl-n9ynYOYA_21_5"/>
      <w:bookmarkStart w:id="92" w:name="Tc_8RwDXu3iYEKhjsH3E5Q7YQ_21_2"/>
      <w:bookmarkStart w:id="93" w:name="Tc_bjuwVYKvZE2du7D5wATOnQ_21_0"/>
      <w:bookmarkStart w:id="94" w:name="Tc_qGi--xZtl0G2C6sZLUdBIw_20_9"/>
      <w:bookmarkStart w:id="95" w:name="Tc_95xPrzto6UiY7hDURvpdwA_20_3"/>
      <w:bookmarkStart w:id="96" w:name="Tc_LVfzQepIykyLclt7qKPIqw_20_0"/>
      <w:bookmarkStart w:id="97" w:name="Tc_yVUTlbwty0qoN3rFfWmbsw_19_0"/>
      <w:bookmarkStart w:id="98" w:name="Tc_-hmqKpPXF0-M8h7GNKOoDA_18_0"/>
      <w:bookmarkStart w:id="99" w:name="Tc_HyS7461EuEeAu1o11PONZQ_17_0"/>
      <w:bookmarkStart w:id="100" w:name="Tc_jAB7EgxGkEi4NhPmVDRZ6A_16_0"/>
      <w:bookmarkStart w:id="101" w:name="Tc_3_vV3azjAkWjCSDIzAY7UQ_15_0"/>
      <w:bookmarkStart w:id="102" w:name="Tc_Le2jcpoT2Eez9IXeq4nQzQ_14_0"/>
      <w:bookmarkStart w:id="103" w:name="Tc_c7cqGQ7080KpAm1Ot4Invw_13_0"/>
      <w:bookmarkStart w:id="104" w:name="Tc_BYK_JPcIT0mK_uyjHwuD6A_12_0"/>
      <w:bookmarkStart w:id="105" w:name="Tc_1NdpnMSbs0uvCKxdzYvu6A_11_0"/>
      <w:bookmarkStart w:id="106" w:name="Tc_a1K8kKf8eky-1_Z8R0zlww_10_0"/>
      <w:bookmarkStart w:id="107" w:name="Tc_9mJnxmW1D022IQcX4S-dVQ_9_0"/>
      <w:bookmarkStart w:id="108" w:name="Tc_Q81bkvNack-d9BB_I-7YJw_8_0"/>
      <w:bookmarkStart w:id="109" w:name="Tc_mHHEbV1Qs0i0z2dHmrPqLQ_7_8"/>
      <w:bookmarkStart w:id="110" w:name="Tc_EypD4FHnQkqV68bf8HqSOg_7_5"/>
      <w:bookmarkStart w:id="111" w:name="Tc_FxD189xKb0WdGLLM-FEa8Q_7_2"/>
      <w:bookmarkStart w:id="112" w:name="Tc_5AYfpWUdc0egSQhbQX89kg_7_0"/>
      <w:bookmarkStart w:id="113" w:name="Tc_wbxjbJbF20KxFz1ckFBFuw_6_0"/>
      <w:bookmarkStart w:id="114" w:name="Tc_mysAIDSYI0OeZQxKFHJK2g_5_0"/>
      <w:bookmarkStart w:id="115" w:name="Tc_h9OPaQ15YkiAxpN_MJ7KBw_4_2"/>
      <w:bookmarkStart w:id="116" w:name="Tc_TcS0GMhTUE-HZXvRVJiqsg_3_5"/>
      <w:bookmarkStart w:id="117" w:name="Tc_-Cu1Afh8X0GzCVUMe7himQ_3_2"/>
      <w:bookmarkStart w:id="118" w:name="Tc_PKxfvSXcm0CM8ihZwfCZLg_2_8"/>
      <w:bookmarkStart w:id="119" w:name="Tc_X9R1oFAZnk2vx9SdtyjV6Q_2_5"/>
      <w:bookmarkStart w:id="120" w:name="Tc_b8wBtXnsSUaAr3j-64KvjQ_2_2"/>
      <w:bookmarkStart w:id="121" w:name="Tc_2BDiyAuNGE2JiWrKYTa1QA_1_8"/>
      <w:bookmarkStart w:id="122" w:name="Tc_8lvpj1h0dUmhGj9AY4qLpA_1_5"/>
      <w:bookmarkStart w:id="123" w:name="Tc_Wrc2RZqrIUaIYwLNA73MQw_1_2"/>
      <w:bookmarkStart w:id="124" w:name="_75933c3a_a737_49d3_b87b_fe535410b0f6"/>
      <w:bookmarkStart w:id="125" w:name="Tc_tNvVsoxVm0CmSwh6hC6M8A_48_8"/>
      <w:bookmarkStart w:id="126" w:name="Tc_CRVu7XHfFUOsAF90XCNXRA_48_5"/>
      <w:bookmarkStart w:id="127" w:name="Tc_S8Zou8VTXkGvop5KMej3mA_48_2"/>
      <w:bookmarkStart w:id="128" w:name="Tc_mrS5adHI6kefdnDiNCh59Q_48_0"/>
      <w:bookmarkStart w:id="129" w:name="Tc_JZctzR5Njka2AFU91267ng_47_0"/>
      <w:bookmarkStart w:id="130" w:name="Tc_QjtGtmy-z02YOQnPiRM6aw_46_0"/>
      <w:bookmarkStart w:id="131" w:name="Tc_Do8UoYLKwEyPjajwiu6mdw_45_0"/>
      <w:bookmarkStart w:id="132" w:name="Tc_6Pq6UPlBHUGOt3LBMDMMng_44_0"/>
      <w:bookmarkStart w:id="133" w:name="Tc_KNTIqz9YO0iCMJnyTbWOpA_43_0"/>
      <w:bookmarkStart w:id="134" w:name="Tc_tLkXMaOfI0CLIurnAfd2Yw_42_0"/>
      <w:bookmarkStart w:id="135" w:name="Tc_cB_E6eyYXU-ZgR1OQfqAJw_41_0"/>
      <w:bookmarkStart w:id="136" w:name="Tc_tqyri7cL9UmUed2M-7QVkA_40_0"/>
      <w:bookmarkStart w:id="137" w:name="Tc_7ORsqlpkckexKVqIAtLazg_38_0"/>
      <w:bookmarkStart w:id="138" w:name="Tc_bwbDNB_tFUC0mwgL7-xwCQ_36_0"/>
      <w:bookmarkStart w:id="139" w:name="Tc_1RIUJ97On0CN_ULqFNHzpg_35_0"/>
      <w:bookmarkStart w:id="140" w:name="Tc_nB08qPZf6Um4dV6w-Gk49w_34_0"/>
      <w:bookmarkStart w:id="141" w:name="Tc_ypOShOYyd0OeyF8F8DwDhg_33_0"/>
      <w:bookmarkStart w:id="142" w:name="Tc_NaHMBPk4eEWGn87ewdbyDA_32_0"/>
      <w:bookmarkStart w:id="143" w:name="Tc_HcvfEz0Cl0edRdRPYzPaNQ_31_0"/>
      <w:bookmarkStart w:id="144" w:name="Tc_X_ljfO0exUqYvO4FYwxMag_30_0"/>
      <w:bookmarkStart w:id="145" w:name="Tc_KYcOA5_BQUm_wXUbhVRbHA_29_0"/>
      <w:bookmarkStart w:id="146" w:name="Tc_xzpvvY63VkKHMgzqbFg7JA_28_0"/>
      <w:bookmarkStart w:id="147" w:name="Tc_nJh7u4auoEawucNlYASH7Q_27_0"/>
      <w:bookmarkStart w:id="148" w:name="Tc__2uilHL350qVKVcm4X5HnQ_26_0"/>
      <w:bookmarkStart w:id="149" w:name="Tc_SNEI0BoqRkuNreTOTy5Qaw_25_0"/>
      <w:bookmarkStart w:id="150" w:name="Tc_fNx9C-DBcEeXefQ2s_OKuQ_24_8"/>
      <w:bookmarkStart w:id="151" w:name="Tc_06nO3mhe0EiaQGG7XmRqdw_24_5"/>
      <w:bookmarkStart w:id="152" w:name="Tc_T3fIH5NXpkOwjmarcRg6Lw_24_2"/>
      <w:bookmarkStart w:id="153" w:name="Tc_RDuUXMKo3U-Olz6H4wdCwQ_24_0"/>
      <w:bookmarkStart w:id="154" w:name="Tc_ojS2ULABsky6Apl1Znuqcg_23_0"/>
      <w:bookmarkStart w:id="155" w:name="Tc_uyRgsqwmbkKjnvpWgPMEGw_22_0"/>
      <w:bookmarkStart w:id="156" w:name="Tc_mhPdxO-j0EWUIrYbIwEPMQ_21_8"/>
      <w:bookmarkStart w:id="157" w:name="Tc_2vmRYS6BuEGUl-n9ynYOYA_21_5"/>
      <w:bookmarkStart w:id="158" w:name="Tc_8RwDXu3iYEKhjsH3E5Q7YQ_21_2"/>
      <w:bookmarkStart w:id="159" w:name="Tc_bjuwVYKvZE2du7D5wATOnQ_21_0"/>
      <w:bookmarkStart w:id="160" w:name="Tc_qGi--xZtl0G2C6sZLUdBIw_20_9"/>
      <w:bookmarkStart w:id="161" w:name="Tc_95xPrzto6UiY7hDURvpdwA_20_3"/>
      <w:bookmarkStart w:id="162" w:name="Tc_LVfzQepIykyLclt7qKPIqw_20_0"/>
      <w:bookmarkStart w:id="163" w:name="Tc_yVUTlbwty0qoN3rFfWmbsw_19_0"/>
      <w:bookmarkStart w:id="164" w:name="Tc_-hmqKpPXF0-M8h7GNKOoDA_18_0"/>
      <w:bookmarkStart w:id="165" w:name="Tc_HyS7461EuEeAu1o11PONZQ_17_0"/>
      <w:bookmarkStart w:id="166" w:name="Tc_jAB7EgxGkEi4NhPmVDRZ6A_16_0"/>
      <w:bookmarkStart w:id="167" w:name="Tc_3_vV3azjAkWjCSDIzAY7UQ_15_0"/>
      <w:bookmarkStart w:id="168" w:name="Tc_Le2jcpoT2Eez9IXeq4nQzQ_14_0"/>
      <w:bookmarkStart w:id="169" w:name="Tc_c7cqGQ7080KpAm1Ot4Invw_13_0"/>
      <w:bookmarkStart w:id="170" w:name="Tc_BYK_JPcIT0mK_uyjHwuD6A_12_0"/>
      <w:bookmarkStart w:id="171" w:name="Tc_1NdpnMSbs0uvCKxdzYvu6A_11_0"/>
      <w:bookmarkStart w:id="172" w:name="Tc_a1K8kKf8eky-1_Z8R0zlww_10_0"/>
      <w:bookmarkStart w:id="173" w:name="Tc_9mJnxmW1D022IQcX4S-dVQ_9_0"/>
      <w:bookmarkStart w:id="174" w:name="Tc_Q81bkvNack-d9BB_I-7YJw_8_0"/>
      <w:bookmarkStart w:id="175" w:name="Tc_mHHEbV1Qs0i0z2dHmrPqLQ_7_8"/>
      <w:bookmarkStart w:id="176" w:name="Tc_EypD4FHnQkqV68bf8HqSOg_7_5"/>
      <w:bookmarkStart w:id="177" w:name="Tc_FxD189xKb0WdGLLM-FEa8Q_7_2"/>
      <w:bookmarkStart w:id="178" w:name="Tc_5AYfpWUdc0egSQhbQX89kg_7_0"/>
      <w:bookmarkStart w:id="179" w:name="Tc_wbxjbJbF20KxFz1ckFBFuw_6_0"/>
      <w:bookmarkStart w:id="180" w:name="Tc_mysAIDSYI0OeZQxKFHJK2g_5_0"/>
      <w:bookmarkStart w:id="181" w:name="Tc_h9OPaQ15YkiAxpN_MJ7KBw_4_2"/>
      <w:bookmarkStart w:id="182" w:name="Tc_TcS0GMhTUE-HZXvRVJiqsg_3_5"/>
      <w:bookmarkStart w:id="183" w:name="Tc_-Cu1Afh8X0GzCVUMe7himQ_3_2"/>
      <w:bookmarkStart w:id="184" w:name="Tc_PKxfvSXcm0CM8ihZwfCZLg_2_8"/>
      <w:bookmarkStart w:id="185" w:name="Tc_X9R1oFAZnk2vx9SdtyjV6Q_2_5"/>
      <w:bookmarkStart w:id="186" w:name="Tc_b8wBtXnsSUaAr3j-64KvjQ_2_2"/>
      <w:bookmarkStart w:id="187" w:name="Tc_2BDiyAuNGE2JiWrKYTa1QA_1_8"/>
      <w:bookmarkStart w:id="188" w:name="Tc_8lvpj1h0dUmhGj9AY4qLpA_1_5"/>
      <w:bookmarkStart w:id="189" w:name="Tc_Wrc2RZqrIUaIYwLNA73MQw_1_2"/>
      <w:bookmarkStart w:id="190" w:name="_75933c3a_a737_49d3_b87b_fe535410b0f6"/>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10205" w:type="dxa"/>
        <w:jc w:val="left"/>
        <w:tblInd w:w="0" w:type="dxa"/>
        <w:tblLayout w:type="fixed"/>
        <w:tblCellMar>
          <w:top w:w="0" w:type="dxa"/>
          <w:left w:w="0" w:type="dxa"/>
          <w:bottom w:w="0" w:type="dxa"/>
          <w:right w:w="0" w:type="dxa"/>
        </w:tblCellMar>
      </w:tblPr>
      <w:tblGrid>
        <w:gridCol w:w="5696"/>
        <w:gridCol w:w="326"/>
        <w:gridCol w:w="211"/>
        <w:gridCol w:w="931"/>
        <w:gridCol w:w="326"/>
        <w:gridCol w:w="211"/>
        <w:gridCol w:w="931"/>
        <w:gridCol w:w="326"/>
        <w:gridCol w:w="211"/>
        <w:gridCol w:w="1036"/>
      </w:tblGrid>
      <w:tr>
        <w:trPr/>
        <w:tc>
          <w:tcPr>
            <w:tcW w:w="5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616960" cy="175260"/>
                      <wp:effectExtent l="0" t="0" r="0" b="0"/>
                      <wp:wrapNone/>
                      <wp:docPr id="1" name="Frame1"/>
                      <a:graphic xmlns:a="http://schemas.openxmlformats.org/drawingml/2006/main">
                        <a:graphicData uri="http://schemas.microsoft.com/office/word/2010/wordprocessingShape">
                          <wps:wsp>
                            <wps:cNvSpPr txBox="1"/>
                            <wps:spPr>
                              <a:xfrm>
                                <a:off x="0" y="0"/>
                                <a:ext cx="361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175260"/>
                      <wp:effectExtent l="0" t="0" r="0" b="0"/>
                      <wp:wrapNone/>
                      <wp:docPr id="4"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175260"/>
                      <wp:effectExtent l="0" t="0" r="0" b="0"/>
                      <wp:wrapNone/>
                      <wp:docPr id="7" name="Frame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175260"/>
                      <wp:effectExtent l="0" t="0" r="0" b="0"/>
                      <wp:wrapNone/>
                      <wp:docPr id="10" name="Frame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October 31, </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October 31, </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5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5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8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197,391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150,719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191,652</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$18,412</w:t>
            </w:r>
            <w:r>
              <w:rPr>
                <w:rFonts w:ascii="Times New Roman;Times;serif" w:hAnsi="Times New Roman;Times;serif"/>
                <w:sz w:val="18"/>
              </w:rPr>
              <w:t xml:space="preserve"> </w:t>
            </w:r>
            <w:r>
              <w:rPr>
                <w:rFonts w:ascii="Times New Roman;Times;serif" w:hAnsi="Times New Roman;Times;serif"/>
                <w:sz w:val="19"/>
              </w:rPr>
              <w:t>$18,258</w:t>
            </w:r>
            <w:r>
              <w:rPr>
                <w:rFonts w:ascii="Times New Roman;Times;serif" w:hAnsi="Times New Roman;Times;serif"/>
                <w:sz w:val="18"/>
              </w:rPr>
              <w:t xml:space="preserve"> </w:t>
            </w:r>
            <w:r>
              <w:rPr>
                <w:rFonts w:ascii="Times New Roman;Times;serif" w:hAnsi="Times New Roman;Times;serif"/>
                <w:sz w:val="19"/>
              </w:rPr>
              <w:t>and $18,297,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863,221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881,135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674,963</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591,530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900,987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709,345</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5,886</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Prepaid expenses and other current assets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58,779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50,594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70,654</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Total current assets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1,713,137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1,984,545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1,652,500</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Investments in unconsolidated 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24,354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25,870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24,467</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and equipment,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52,032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54,185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53,742</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lease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221,474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216,663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239,665</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53,852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54,206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52,644</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intangibles,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32,565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34,585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34,842</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26,389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8,973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26,389</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Trademarks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625,530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607,526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628,156</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Goodwill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303,668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2,749,333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3,290,221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2,712,405</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portion of notes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59,099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91,613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135,518</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179,396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223,154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169,508</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Accrued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153,200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150,349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115,586</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Customer refund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108,042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99,528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89,760</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55,897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50,645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52,917</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46,380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26,956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14,875</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905</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Total current liabilities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602,344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643,178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579,069</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Notes payable, net of discount and unamortized issuance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402,846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787,892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483,840</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 liabilities,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44,265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34,894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44,783</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Noncurrent 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183,522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185,171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204,974</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14,543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16,787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15,141</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1,247,520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1,667,922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1,327,807</w:t>
            </w:r>
          </w:p>
        </w:tc>
      </w:tr>
      <w:tr>
        <w:trPr/>
        <w:tc>
          <w:tcPr>
            <w:tcW w:w="56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Redeemable noncontrolling interests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(850)</w:t>
            </w:r>
          </w:p>
        </w:tc>
      </w:tr>
      <w:tr>
        <w:trPr/>
        <w:tc>
          <w:tcPr>
            <w:tcW w:w="56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Preferred stock; 1,000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Common stock - $0.01</w:t>
            </w:r>
            <w:r>
              <w:rPr>
                <w:rFonts w:ascii="Times New Roman;Times;serif" w:hAnsi="Times New Roman;Times;serif"/>
                <w:sz w:val="18"/>
              </w:rPr>
              <w:t xml:space="preserve"> </w:t>
            </w:r>
            <w:r>
              <w:rPr>
                <w:rFonts w:ascii="Times New Roman;Times;serif" w:hAnsi="Times New Roman;Times;serif"/>
                <w:sz w:val="19"/>
              </w:rPr>
              <w:t>par value; 120,000</w:t>
            </w:r>
            <w:r>
              <w:rPr>
                <w:rFonts w:ascii="Times New Roman;Times;serif" w:hAnsi="Times New Roman;Times;serif"/>
                <w:sz w:val="18"/>
              </w:rPr>
              <w:t xml:space="preserve"> </w:t>
            </w:r>
            <w:r>
              <w:rPr>
                <w:rFonts w:ascii="Times New Roman;Times;serif" w:hAnsi="Times New Roman;Times;serif"/>
                <w:sz w:val="19"/>
              </w:rPr>
              <w:t>shares authorized; 49,396, 49,396</w:t>
            </w:r>
            <w:r>
              <w:rPr>
                <w:rFonts w:ascii="Times New Roman;Times;serif" w:hAnsi="Times New Roman;Times;serif"/>
                <w:sz w:val="18"/>
              </w:rPr>
              <w:t xml:space="preserve"> </w:t>
            </w:r>
            <w:r>
              <w:rPr>
                <w:rFonts w:ascii="Times New Roman;Times;serif" w:hAnsi="Times New Roman;Times;serif"/>
                <w:sz w:val="19"/>
              </w:rPr>
              <w:t>and 49,396</w:t>
            </w:r>
            <w:r>
              <w:rPr>
                <w:rFonts w:ascii="Times New Roman;Times;serif" w:hAnsi="Times New Roman;Times;serif"/>
                <w:sz w:val="18"/>
              </w:rPr>
              <w:t xml:space="preserve"> </w:t>
            </w:r>
            <w:r>
              <w:rPr>
                <w:rFonts w:ascii="Times New Roman;Times;serif" w:hAnsi="Times New Roman;Times;serif"/>
                <w:sz w:val="19"/>
              </w:rPr>
              <w:t>shares issued,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Additional paid-in capital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453,504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465,230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468,712</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Accumulated other comprehensive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(15,995)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(42,744)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(11,653)</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1,131,258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1,245,061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983,944</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Common stock held in treasury, at cost - 3,670, 1,907</w:t>
            </w:r>
            <w:r>
              <w:rPr>
                <w:rFonts w:ascii="Times New Roman;Times;serif" w:hAnsi="Times New Roman;Times;serif"/>
                <w:sz w:val="18"/>
              </w:rPr>
              <w:t xml:space="preserve"> </w:t>
            </w:r>
            <w:r>
              <w:rPr>
                <w:rFonts w:ascii="Times New Roman;Times;serif" w:hAnsi="Times New Roman;Times;serif"/>
                <w:sz w:val="19"/>
              </w:rPr>
              <w:t>and 2,680</w:t>
            </w:r>
            <w:r>
              <w:rPr>
                <w:rFonts w:ascii="Times New Roman;Times;serif" w:hAnsi="Times New Roman;Times;serif"/>
                <w:sz w:val="18"/>
              </w:rPr>
              <w:t xml:space="preserve"> </w:t>
            </w:r>
            <w:r>
              <w:rPr>
                <w:rFonts w:ascii="Times New Roman;Times;serif" w:hAnsi="Times New Roman;Times;serif"/>
                <w:sz w:val="19"/>
              </w:rPr>
              <w:t>shares,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(65,811)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(45,553)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(55,819)</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1,503,220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1,622,258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1,385,448</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 redeemable noncontrolling interests and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2,749,333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3,290,221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2,712,405</w:t>
            </w:r>
          </w:p>
        </w:tc>
      </w:tr>
    </w:tbl>
    <w:p>
      <w:pPr>
        <w:pStyle w:val="TextBody"/>
        <w:bidi w:val="0"/>
        <w:spacing w:before="60" w:after="0"/>
        <w:ind w:left="0" w:right="0" w:hanging="0"/>
        <w:jc w:val="center"/>
        <w:rPr>
          <w:rFonts w:ascii="Times New Roman;Times;serif" w:hAnsi="Times New Roman;Times;serif"/>
          <w:sz w:val="18"/>
        </w:rPr>
      </w:pPr>
      <w:r>
        <w:rPr>
          <w:rFonts w:ascii="Times New Roman;Times;serif" w:hAnsi="Times New Roman;Times;serif"/>
          <w:i/>
          <w:sz w:val="18"/>
        </w:rPr>
        <w:t>The accompanying notes are an integral part of these statements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1" w:name="_76cd4c0d_ae73_45cd_b2a8_501c2b72959e"/>
      <w:bookmarkEnd w:id="191"/>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bookmarkStart w:id="192" w:name="COMPREHENSIVELOSS_858937"/>
      <w:bookmarkEnd w:id="192"/>
      <w:r>
        <w:rPr>
          <w:rFonts w:ascii="Times New Roman;Times;serif" w:hAnsi="Times New Roman;Times;serif"/>
          <w:b/>
          <w:sz w:val="20"/>
        </w:rPr>
        <w:t>CONDENSED CONSOLIDATED STATEMENTS OF OPERATIONS AND COMPREHENSIVE INCOME</w:t>
      </w:r>
    </w:p>
    <w:p>
      <w:pPr>
        <w:pStyle w:val="Normal"/>
        <w:bidi w:val="0"/>
        <w:spacing w:before="0" w:after="0"/>
        <w:jc w:val="left"/>
        <w:rPr>
          <w:sz w:val="4"/>
          <w:szCs w:val="4"/>
        </w:rPr>
      </w:pPr>
      <w:r>
        <w:rPr>
          <w:sz w:val="4"/>
          <w:szCs w:val="4"/>
        </w:rPr>
      </w:r>
      <w:bookmarkStart w:id="193" w:name="Tc_Rqd2pEwIWke5jGX7wUeCAQ_39_11"/>
      <w:bookmarkStart w:id="194" w:name="Tc_4BC3x_D_2UGbB3LZQqRg4Q_39_8"/>
      <w:bookmarkStart w:id="195" w:name="Tc_kKg19EZTZE6jOQJkIJNfWA_39_5"/>
      <w:bookmarkStart w:id="196" w:name="Tc_UIGmueb7AU25U3-hqPV2CA_39_2"/>
      <w:bookmarkStart w:id="197" w:name="Tc_5QcDA_jBT0uNcblmdbUK_Q_39_0"/>
      <w:bookmarkStart w:id="198" w:name="Tc_WWVlqQzfWEuQApNwXp-miQ_38_0"/>
      <w:bookmarkStart w:id="199" w:name="Tc_Bt2ltLMoPUmG1oP9Ko-acg_37_0"/>
      <w:bookmarkStart w:id="200" w:name="Tc_ViFPSTm-eU-UeS1Yg1fEXw_36_0"/>
      <w:bookmarkStart w:id="201" w:name="Tc_0ESg2qPV8kC72fJJaEFcAA_35_0"/>
      <w:bookmarkStart w:id="202" w:name="Tc_12w_t1RYD0CI1S-NCFIdEg_34_11"/>
      <w:bookmarkStart w:id="203" w:name="Tc_mPdCTJu1gkGQS1NhHKj5gw_34_8"/>
      <w:bookmarkStart w:id="204" w:name="Tc_2x8ZPgf4L06ZtFHJs-NkMA_34_5"/>
      <w:bookmarkStart w:id="205" w:name="Tc_iDopqeDZYU-VrUGR2F2epg_34_2"/>
      <w:bookmarkStart w:id="206" w:name="Tc_o9Y4mH4Ic0CQQNfkw_S11w_34_0"/>
      <w:bookmarkStart w:id="207" w:name="Tc_nmNeeAPxGkSOhQW0yEIeYQ_33_0"/>
      <w:bookmarkStart w:id="208" w:name="Tc_roTR3U4kXkOzRSHDI_OZIw_32_0"/>
      <w:bookmarkStart w:id="209" w:name="Tc_T41sEJhY8ECXl9_lEIKeew_31_0"/>
      <w:bookmarkStart w:id="210" w:name="Tc_Rvu8lsRsVUa2cvSG8UM3QA_30_11"/>
      <w:bookmarkStart w:id="211" w:name="Tc_qtsMicaFOUmK25Xb3B16pA_30_8"/>
      <w:bookmarkStart w:id="212" w:name="Tc_T3SM7LWmyUmQdRU1bc8p_A_30_5"/>
      <w:bookmarkStart w:id="213" w:name="Tc_-YCZpjgDnECCRXDp7PXr1g_30_2"/>
      <w:bookmarkStart w:id="214" w:name="Tc_RyIqXuQ_Ykep5uEAA7dGsQ_30_0"/>
      <w:bookmarkStart w:id="215" w:name="Tc_2EtZ_GVDZ0iV7kl9hy_E9w_28_0"/>
      <w:bookmarkStart w:id="216" w:name="Tc_Zv0syHfDW0mbb39YSzkdFg_27_11"/>
      <w:bookmarkStart w:id="217" w:name="Tc_8C6IjcwWf0acUaCpFbpqqQ_27_8"/>
      <w:bookmarkStart w:id="218" w:name="Tc_yR5SitbvC02CK5jKn-CT-Q_27_5"/>
      <w:bookmarkStart w:id="219" w:name="Tc_pQ3G1ojsLkqG6jkg518a8g_27_2"/>
      <w:bookmarkStart w:id="220" w:name="Tc_UyLhB_7QlUCF-1VU4pWeRg_27_0"/>
      <w:bookmarkStart w:id="221" w:name="Tc_tHl2nQ8SXUSFL_7nn2qmMQ_26_0"/>
      <w:bookmarkStart w:id="222" w:name="Tc_4jbWmWXwiEeBYred-6VlPw_24_0"/>
      <w:bookmarkStart w:id="223" w:name="Tc_PSidrAg15EKIARFkidClpA_23_11"/>
      <w:bookmarkStart w:id="224" w:name="Tc_EmgNNCLAQ0yqh1tnacjp6Q_23_8"/>
      <w:bookmarkStart w:id="225" w:name="Tc_cqZ5jnT9yk6oCGAluwVkzQ_23_5"/>
      <w:bookmarkStart w:id="226" w:name="Tc_UjKQpUnJhkacmvg7cE9Tyw_23_2"/>
      <w:bookmarkStart w:id="227" w:name="Tc_7T75ND1ptES1OyDFiHeYKA_23_0"/>
      <w:bookmarkStart w:id="228" w:name="Tc_udLVVUQDm0uZ879SB3J6RQ_22_0"/>
      <w:bookmarkStart w:id="229" w:name="Tc_kj4-v-8EtEmcBXWoqPUJbQ_21_0"/>
      <w:bookmarkStart w:id="230" w:name="Tc_K6SCM55RiUi1TGhWUnG5Kw_18_11"/>
      <w:bookmarkStart w:id="231" w:name="Tc_nwHJcHffKUeBqhG5TVUmCg_18_8"/>
      <w:bookmarkStart w:id="232" w:name="Tc_pgKIxdsYZkqMjKnU1igIGQ_18_5"/>
      <w:bookmarkStart w:id="233" w:name="Tc_lBiuALLLCUyjZIstNMAUVQ_18_2"/>
      <w:bookmarkStart w:id="234" w:name="Tc_tRRpn7ldXUWPdkvq1dRqNw_18_0"/>
      <w:bookmarkStart w:id="235" w:name="Tc_5kCINWJcFkK0q07bi_IbgA_17_0"/>
      <w:bookmarkStart w:id="236" w:name="Tc_p10tK5QDnUStFXQ_qEYdVA_16_0"/>
      <w:bookmarkStart w:id="237" w:name="Tc_G-lVRm3GtUeuyYHe7Zbqsw_15_0"/>
      <w:bookmarkStart w:id="238" w:name="Tc_91TzG3NUh0aWPymV0ZQqkw_14_0"/>
      <w:bookmarkStart w:id="239" w:name="Tc_dOVfEAtCA0uk12M_Gl4r2g_13_0"/>
      <w:bookmarkStart w:id="240" w:name="Tc_RJiYRAJZuEaA74mynuYOpQ_12_0"/>
      <w:bookmarkStart w:id="241" w:name="Tc_PCQNMFF6QUSPftm4aADSKQ_11_0"/>
      <w:bookmarkStart w:id="242" w:name="Tc_iDNwrVTQbUGGJx-NyTmTnw_10_0"/>
      <w:bookmarkStart w:id="243" w:name="Tc_cDlfr5LMuU-T8BRgAI8feA_9_0"/>
      <w:bookmarkStart w:id="244" w:name="Tc_0W9y7x9ojUSxf0ZPZ_jPyw_8_0"/>
      <w:bookmarkStart w:id="245" w:name="Tc_7WpKwbtQR0a62e4n8ADh2Q_7_0"/>
      <w:bookmarkStart w:id="246" w:name="Tc_qr0DdhKOTEOQQpwg0yLGiQ_6_0"/>
      <w:bookmarkStart w:id="247" w:name="Tc_mQU7TQABxEKosfOR2m_rMg_5_11"/>
      <w:bookmarkStart w:id="248" w:name="Tc_9jE7go9ygU6ADPVUEwYRLA_5_8"/>
      <w:bookmarkStart w:id="249" w:name="Tc_KlrZPWKYqEa9VOki3oGHjA_5_5"/>
      <w:bookmarkStart w:id="250" w:name="Tc_XUA6cx8Ga0OPxjE-VFPSNQ_5_2"/>
      <w:bookmarkStart w:id="251" w:name="Tc_6KMongv-Ok2jjMgf1Mebtg_5_0"/>
      <w:bookmarkStart w:id="252" w:name="Tc_xLJF0wd29kGOz76Sd0mWPg_4_2"/>
      <w:bookmarkStart w:id="253" w:name="Tc_dGgxQa-lAUOhzQl86b9Cig_3_2"/>
      <w:bookmarkStart w:id="254" w:name="Tc_5b7LEb_mpkeb6pIIPnzDfg_2_11"/>
      <w:bookmarkStart w:id="255" w:name="Tc_91nIz8F-KEKCUSMAQIqluw_2_8"/>
      <w:bookmarkStart w:id="256" w:name="Tc_xZE9Y6kjSU6V5TYQnau4iw_2_5"/>
      <w:bookmarkStart w:id="257" w:name="Tc_mDZoZYU_f0S9_Xud1yvCpQ_2_2"/>
      <w:bookmarkStart w:id="258" w:name="Tc_gVoUCLEzYkq2ulB28Dvitg_1_8"/>
      <w:bookmarkStart w:id="259" w:name="Tc_t5bRGjjEbk6yOuAcS5QZlw_1_2"/>
      <w:bookmarkStart w:id="260" w:name="_6c539662_6db4_4445_af8f_c0abfa4b34a3"/>
      <w:bookmarkStart w:id="261" w:name="Tc_Rqd2pEwIWke5jGX7wUeCAQ_39_11"/>
      <w:bookmarkStart w:id="262" w:name="Tc_4BC3x_D_2UGbB3LZQqRg4Q_39_8"/>
      <w:bookmarkStart w:id="263" w:name="Tc_kKg19EZTZE6jOQJkIJNfWA_39_5"/>
      <w:bookmarkStart w:id="264" w:name="Tc_UIGmueb7AU25U3-hqPV2CA_39_2"/>
      <w:bookmarkStart w:id="265" w:name="Tc_5QcDA_jBT0uNcblmdbUK_Q_39_0"/>
      <w:bookmarkStart w:id="266" w:name="Tc_WWVlqQzfWEuQApNwXp-miQ_38_0"/>
      <w:bookmarkStart w:id="267" w:name="Tc_Bt2ltLMoPUmG1oP9Ko-acg_37_0"/>
      <w:bookmarkStart w:id="268" w:name="Tc_ViFPSTm-eU-UeS1Yg1fEXw_36_0"/>
      <w:bookmarkStart w:id="269" w:name="Tc_0ESg2qPV8kC72fJJaEFcAA_35_0"/>
      <w:bookmarkStart w:id="270" w:name="Tc_12w_t1RYD0CI1S-NCFIdEg_34_11"/>
      <w:bookmarkStart w:id="271" w:name="Tc_mPdCTJu1gkGQS1NhHKj5gw_34_8"/>
      <w:bookmarkStart w:id="272" w:name="Tc_2x8ZPgf4L06ZtFHJs-NkMA_34_5"/>
      <w:bookmarkStart w:id="273" w:name="Tc_iDopqeDZYU-VrUGR2F2epg_34_2"/>
      <w:bookmarkStart w:id="274" w:name="Tc_o9Y4mH4Ic0CQQNfkw_S11w_34_0"/>
      <w:bookmarkStart w:id="275" w:name="Tc_nmNeeAPxGkSOhQW0yEIeYQ_33_0"/>
      <w:bookmarkStart w:id="276" w:name="Tc_roTR3U4kXkOzRSHDI_OZIw_32_0"/>
      <w:bookmarkStart w:id="277" w:name="Tc_T41sEJhY8ECXl9_lEIKeew_31_0"/>
      <w:bookmarkStart w:id="278" w:name="Tc_Rvu8lsRsVUa2cvSG8UM3QA_30_11"/>
      <w:bookmarkStart w:id="279" w:name="Tc_qtsMicaFOUmK25Xb3B16pA_30_8"/>
      <w:bookmarkStart w:id="280" w:name="Tc_T3SM7LWmyUmQdRU1bc8p_A_30_5"/>
      <w:bookmarkStart w:id="281" w:name="Tc_-YCZpjgDnECCRXDp7PXr1g_30_2"/>
      <w:bookmarkStart w:id="282" w:name="Tc_RyIqXuQ_Ykep5uEAA7dGsQ_30_0"/>
      <w:bookmarkStart w:id="283" w:name="Tc_2EtZ_GVDZ0iV7kl9hy_E9w_28_0"/>
      <w:bookmarkStart w:id="284" w:name="Tc_Zv0syHfDW0mbb39YSzkdFg_27_11"/>
      <w:bookmarkStart w:id="285" w:name="Tc_8C6IjcwWf0acUaCpFbpqqQ_27_8"/>
      <w:bookmarkStart w:id="286" w:name="Tc_yR5SitbvC02CK5jKn-CT-Q_27_5"/>
      <w:bookmarkStart w:id="287" w:name="Tc_pQ3G1ojsLkqG6jkg518a8g_27_2"/>
      <w:bookmarkStart w:id="288" w:name="Tc_UyLhB_7QlUCF-1VU4pWeRg_27_0"/>
      <w:bookmarkStart w:id="289" w:name="Tc_tHl2nQ8SXUSFL_7nn2qmMQ_26_0"/>
      <w:bookmarkStart w:id="290" w:name="Tc_4jbWmWXwiEeBYred-6VlPw_24_0"/>
      <w:bookmarkStart w:id="291" w:name="Tc_PSidrAg15EKIARFkidClpA_23_11"/>
      <w:bookmarkStart w:id="292" w:name="Tc_EmgNNCLAQ0yqh1tnacjp6Q_23_8"/>
      <w:bookmarkStart w:id="293" w:name="Tc_cqZ5jnT9yk6oCGAluwVkzQ_23_5"/>
      <w:bookmarkStart w:id="294" w:name="Tc_UjKQpUnJhkacmvg7cE9Tyw_23_2"/>
      <w:bookmarkStart w:id="295" w:name="Tc_7T75ND1ptES1OyDFiHeYKA_23_0"/>
      <w:bookmarkStart w:id="296" w:name="Tc_udLVVUQDm0uZ879SB3J6RQ_22_0"/>
      <w:bookmarkStart w:id="297" w:name="Tc_kj4-v-8EtEmcBXWoqPUJbQ_21_0"/>
      <w:bookmarkStart w:id="298" w:name="Tc_K6SCM55RiUi1TGhWUnG5Kw_18_11"/>
      <w:bookmarkStart w:id="299" w:name="Tc_nwHJcHffKUeBqhG5TVUmCg_18_8"/>
      <w:bookmarkStart w:id="300" w:name="Tc_pgKIxdsYZkqMjKnU1igIGQ_18_5"/>
      <w:bookmarkStart w:id="301" w:name="Tc_lBiuALLLCUyjZIstNMAUVQ_18_2"/>
      <w:bookmarkStart w:id="302" w:name="Tc_tRRpn7ldXUWPdkvq1dRqNw_18_0"/>
      <w:bookmarkStart w:id="303" w:name="Tc_5kCINWJcFkK0q07bi_IbgA_17_0"/>
      <w:bookmarkStart w:id="304" w:name="Tc_p10tK5QDnUStFXQ_qEYdVA_16_0"/>
      <w:bookmarkStart w:id="305" w:name="Tc_G-lVRm3GtUeuyYHe7Zbqsw_15_0"/>
      <w:bookmarkStart w:id="306" w:name="Tc_91TzG3NUh0aWPymV0ZQqkw_14_0"/>
      <w:bookmarkStart w:id="307" w:name="Tc_dOVfEAtCA0uk12M_Gl4r2g_13_0"/>
      <w:bookmarkStart w:id="308" w:name="Tc_RJiYRAJZuEaA74mynuYOpQ_12_0"/>
      <w:bookmarkStart w:id="309" w:name="Tc_PCQNMFF6QUSPftm4aADSKQ_11_0"/>
      <w:bookmarkStart w:id="310" w:name="Tc_iDNwrVTQbUGGJx-NyTmTnw_10_0"/>
      <w:bookmarkStart w:id="311" w:name="Tc_cDlfr5LMuU-T8BRgAI8feA_9_0"/>
      <w:bookmarkStart w:id="312" w:name="Tc_0W9y7x9ojUSxf0ZPZ_jPyw_8_0"/>
      <w:bookmarkStart w:id="313" w:name="Tc_7WpKwbtQR0a62e4n8ADh2Q_7_0"/>
      <w:bookmarkStart w:id="314" w:name="Tc_qr0DdhKOTEOQQpwg0yLGiQ_6_0"/>
      <w:bookmarkStart w:id="315" w:name="Tc_mQU7TQABxEKosfOR2m_rMg_5_11"/>
      <w:bookmarkStart w:id="316" w:name="Tc_9jE7go9ygU6ADPVUEwYRLA_5_8"/>
      <w:bookmarkStart w:id="317" w:name="Tc_KlrZPWKYqEa9VOki3oGHjA_5_5"/>
      <w:bookmarkStart w:id="318" w:name="Tc_XUA6cx8Ga0OPxjE-VFPSNQ_5_2"/>
      <w:bookmarkStart w:id="319" w:name="Tc_6KMongv-Ok2jjMgf1Mebtg_5_0"/>
      <w:bookmarkStart w:id="320" w:name="Tc_xLJF0wd29kGOz76Sd0mWPg_4_2"/>
      <w:bookmarkStart w:id="321" w:name="Tc_dGgxQa-lAUOhzQl86b9Cig_3_2"/>
      <w:bookmarkStart w:id="322" w:name="Tc_5b7LEb_mpkeb6pIIPnzDfg_2_11"/>
      <w:bookmarkStart w:id="323" w:name="Tc_91nIz8F-KEKCUSMAQIqluw_2_8"/>
      <w:bookmarkStart w:id="324" w:name="Tc_xZE9Y6kjSU6V5TYQnau4iw_2_5"/>
      <w:bookmarkStart w:id="325" w:name="Tc_mDZoZYU_f0S9_Xud1yvCpQ_2_2"/>
      <w:bookmarkStart w:id="326" w:name="Tc_gVoUCLEzYkq2ulB28Dvitg_1_8"/>
      <w:bookmarkStart w:id="327" w:name="Tc_t5bRGjjEbk6yOuAcS5QZlw_1_2"/>
      <w:bookmarkStart w:id="328" w:name="_6c539662_6db4_4445_af8f_c0abfa4b34a3"/>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bl>
      <w:tblPr>
        <w:tblW w:w="10205" w:type="dxa"/>
        <w:jc w:val="left"/>
        <w:tblInd w:w="0" w:type="dxa"/>
        <w:tblLayout w:type="fixed"/>
        <w:tblCellMar>
          <w:top w:w="0" w:type="dxa"/>
          <w:left w:w="0" w:type="dxa"/>
          <w:bottom w:w="0" w:type="dxa"/>
          <w:right w:w="0" w:type="dxa"/>
        </w:tblCellMar>
      </w:tblPr>
      <w:tblGrid>
        <w:gridCol w:w="4505"/>
        <w:gridCol w:w="109"/>
        <w:gridCol w:w="211"/>
        <w:gridCol w:w="931"/>
        <w:gridCol w:w="326"/>
        <w:gridCol w:w="211"/>
        <w:gridCol w:w="931"/>
        <w:gridCol w:w="326"/>
        <w:gridCol w:w="211"/>
        <w:gridCol w:w="931"/>
        <w:gridCol w:w="326"/>
        <w:gridCol w:w="211"/>
        <w:gridCol w:w="976"/>
      </w:tblGrid>
      <w:tr>
        <w:trPr/>
        <w:tc>
          <w:tcPr>
            <w:tcW w:w="4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860675" cy="175260"/>
                      <wp:effectExtent l="0" t="0" r="0" b="0"/>
                      <wp:wrapNone/>
                      <wp:docPr id="11" name="Frame11"/>
                      <a:graphic xmlns:a="http://schemas.openxmlformats.org/drawingml/2006/main">
                        <a:graphicData uri="http://schemas.microsoft.com/office/word/2010/wordprocessingShape">
                          <wps:wsp>
                            <wps:cNvSpPr txBox="1"/>
                            <wps:spPr>
                              <a:xfrm>
                                <a:off x="0" y="0"/>
                                <a:ext cx="286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91185" cy="175260"/>
                      <wp:effectExtent l="0" t="0" r="0" b="0"/>
                      <wp:wrapNone/>
                      <wp:docPr id="13"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5" name="Frame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91185" cy="175260"/>
                      <wp:effectExtent l="0" t="0" r="0" b="0"/>
                      <wp:wrapNone/>
                      <wp:docPr id="16" name="Frame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19760" cy="175260"/>
                      <wp:effectExtent l="0" t="0" r="0" b="0"/>
                      <wp:wrapNone/>
                      <wp:docPr id="18" name="Frame1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October 31,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October 31, </w:t>
            </w:r>
          </w:p>
        </w:tc>
      </w:tr>
      <w:tr>
        <w:trPr/>
        <w:tc>
          <w:tcPr>
            <w:tcW w:w="4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9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9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1,067,110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1,078,299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2,333,460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2,372,300</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Cost of goods sold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633,697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733,672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1,373,594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1,552,708</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433,413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959,866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819,592</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236,308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239,893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703,476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616,351</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20,021</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Asset impairments and gain on lease terminations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190,288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97,214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237,038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183,008</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(loss)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24,823</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and financing charges,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(32,666)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(40,805)</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Income before income taxes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176,135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78,367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202,408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167,026</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48,755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17,521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39,489</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127,380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60,846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146,757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127,537</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Loss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(519)</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attributable to G-III Apparel Group, Ltd.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127,640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61,103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147,314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128,056</w:t>
            </w:r>
          </w:p>
        </w:tc>
      </w:tr>
      <w:tr>
        <w:trPr/>
        <w:tc>
          <w:tcPr>
            <w:tcW w:w="4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 PER COMMON SHARE ATTRIBUTABLE TO G-III APPAREL GROUP, LTD.: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2.68</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number of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47,488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45,904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47,832</w:t>
            </w:r>
          </w:p>
        </w:tc>
      </w:tr>
      <w:tr>
        <w:trPr/>
        <w:tc>
          <w:tcPr>
            <w:tcW w:w="4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2.62</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number of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46,560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46,992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48,866</w:t>
            </w:r>
          </w:p>
        </w:tc>
      </w:tr>
      <w:tr>
        <w:trPr/>
        <w:tc>
          <w:tcPr>
            <w:tcW w:w="4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127,380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60,846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146,757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127,537</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Foreign currency translation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(28,111)</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(28,111)</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115,989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99,426</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loss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(519)</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Foreign currency translation 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loss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(623)</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income attributable to G-III Apparel Group, Ltd.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115,728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141,858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98,803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9" w:name="_52cfa5ea_79d0_40c9_ab35_1646661f78f0"/>
      <w:bookmarkEnd w:id="329"/>
      <w:r>
        <w:rPr>
          <w:rFonts w:ascii="Times New Roman;Times;serif" w:hAnsi="Times New Roman;Times;serif"/>
          <w:b/>
          <w:sz w:val="20"/>
        </w:rPr>
        <w:t>G-III APPAREL GROUP, LTD. AND SUBSIDIARIES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30" w:name="equity"/>
      <w:bookmarkEnd w:id="330"/>
      <w:r>
        <w:rPr>
          <w:rFonts w:ascii="Times New Roman;Times;serif" w:hAnsi="Times New Roman;Times;serif"/>
          <w:b/>
          <w:sz w:val="20"/>
        </w:rPr>
        <w:t>CONDENSED CONSOLIDATED STATEMENTS OF STOCKHOLDERS’ EQUITY</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31" w:name="Tc_sbA6LpNm3EWgoKJlRLQesQ_38_17"/>
      <w:bookmarkStart w:id="332" w:name="Tc_JrDq2WENG0umxT2d_ujVFA_38_14"/>
      <w:bookmarkStart w:id="333" w:name="Tc_CumuMERbTESy2u5Ghodgdg_38_11"/>
      <w:bookmarkStart w:id="334" w:name="Tc_mwzzEe_Af0mWkHigA0ivIA_38_8"/>
      <w:bookmarkStart w:id="335" w:name="Tc_FEguRv8_2EC-fEPJ0EmV0g_38_5"/>
      <w:bookmarkStart w:id="336" w:name="Tc_WJEPRf1tWEuNnjBDVMfW3g_38_2"/>
      <w:bookmarkStart w:id="337" w:name="Tc_E5uTAFPR_E2ue8EYT9iPGw_38_0"/>
      <w:bookmarkStart w:id="338" w:name="Tc_kHha0so5LECba-sBJZBZZg_37_15"/>
      <w:bookmarkStart w:id="339" w:name="Tc_mWOVEnwW-UaS5ByTLyJtBw_37_9"/>
      <w:bookmarkStart w:id="340" w:name="Tc_FjkW9B0MhUGKtQV3m3oRFQ_37_6"/>
      <w:bookmarkStart w:id="341" w:name="Tc_r2Lr_yvlZ0C9hkEDxxoVIg_37_3"/>
      <w:bookmarkStart w:id="342" w:name="Tc_l6zPeQkrgU6XahNmT4mOjA_37_0"/>
      <w:bookmarkStart w:id="343" w:name="Tc_WPhebvM8L0WMkFzh7k5X6A_36_12"/>
      <w:bookmarkStart w:id="344" w:name="Tc_ottl59X5wUa_InC7lW2E4g_36_9"/>
      <w:bookmarkStart w:id="345" w:name="Tc_MHJTNpslZkGLhFbIL9TB-Q_36_6"/>
      <w:bookmarkStart w:id="346" w:name="Tc_OI_c7ZK2dUqoJy6vinuPhg_36_3"/>
      <w:bookmarkStart w:id="347" w:name="Tc_zXPKyO3cTUqt8bVHcorWYw_36_0"/>
      <w:bookmarkStart w:id="348" w:name="Tc_QQnxXCJfP0adZ1T54XKj4g_35_15"/>
      <w:bookmarkStart w:id="349" w:name="Tc_6oazNtHCDkiyTawiMRSZUA_35_12"/>
      <w:bookmarkStart w:id="350" w:name="Tc_w5BBwDqLP0ipivAU9Uoejw_35_6"/>
      <w:bookmarkStart w:id="351" w:name="Tc_IPZhJmXLvUKUGn37D455uA_35_3"/>
      <w:bookmarkStart w:id="352" w:name="Tc_6OZw75rqfECs4hmRc7Y7DA_35_0"/>
      <w:bookmarkStart w:id="353" w:name="Tc_1TT0fXdRrk6DX2ulfO_ajg_34_15"/>
      <w:bookmarkStart w:id="354" w:name="Tc_hW3fsHVUN0G8g7TGy-sj8w_34_12"/>
      <w:bookmarkStart w:id="355" w:name="Tc_9nqKqnhbEkKPZjZqYFKejw_34_9"/>
      <w:bookmarkStart w:id="356" w:name="Tc_w1LwfF-tYE27d6VAQXdEaw_34_3"/>
      <w:bookmarkStart w:id="357" w:name="Tc_sa8Z2QcEhkqWgx6Aji3cGA_34_0"/>
      <w:bookmarkStart w:id="358" w:name="Tc_5CLUZVKw5kOToB0D_Fzf6A_33_15"/>
      <w:bookmarkStart w:id="359" w:name="Tc_wPviH2EDeEykpSTtjOKkbg_33_12"/>
      <w:bookmarkStart w:id="360" w:name="Tc_uNr94SRv2EybI1EvOhdxMQ_33_9"/>
      <w:bookmarkStart w:id="361" w:name="Tc_kUMmp5gyNk2UkrWGpJXaPQ_33_3"/>
      <w:bookmarkStart w:id="362" w:name="Tc_beXzB7jyX0iAPoaqnTI0OQ_33_0"/>
      <w:bookmarkStart w:id="363" w:name="Tc_f3bkbfbUoUmXs7CvsbACfw_32_18"/>
      <w:bookmarkStart w:id="364" w:name="Tc_qwHft8jHgU69OqcGsxbzAA_32_12"/>
      <w:bookmarkStart w:id="365" w:name="Tc_TQMRI4ADSEqD6Ljs2zQ5zA_32_9"/>
      <w:bookmarkStart w:id="366" w:name="Tc_zd__ZlOanUSCYt0uU2MSyQ_32_3"/>
      <w:bookmarkStart w:id="367" w:name="Tc_jOL-TsgpFU-FbjZp9aTP3w_32_0"/>
      <w:bookmarkStart w:id="368" w:name="Tc_YsReD2lIVEukoMEE4Y4YMA_31_17"/>
      <w:bookmarkStart w:id="369" w:name="Tc_aw6JCXKwJkqyBe8o-noUuw_31_14"/>
      <w:bookmarkStart w:id="370" w:name="Tc_2NvUTPRHik2RWDzzV2zUrA_31_11"/>
      <w:bookmarkStart w:id="371" w:name="Tc_Dqt1mMtQZEe7Q2vXWmKwEA_31_8"/>
      <w:bookmarkStart w:id="372" w:name="Tc_hUcb1rsvL0OznrF6mWfGHg_31_5"/>
      <w:bookmarkStart w:id="373" w:name="Tc_DGXYme0_3kWipOHSU6lMgA_31_2"/>
      <w:bookmarkStart w:id="374" w:name="Tc_TUDZu5EgNEKgxEgeujNjFw_31_0"/>
      <w:bookmarkStart w:id="375" w:name="Tc_F48yScL69UOWfMTkNBaiBw_29_17"/>
      <w:bookmarkStart w:id="376" w:name="Tc_FCEX-r0W8Uimltv-270FaA_29_14"/>
      <w:bookmarkStart w:id="377" w:name="Tc_uK7T0GhK6kiQSmsd9OY9GA_29_11"/>
      <w:bookmarkStart w:id="378" w:name="Tc_tvzgM6P5h0yVzfCsJ1sUiA_29_8"/>
      <w:bookmarkStart w:id="379" w:name="Tc_7t7nXzt6O0KPJncdyMq_GA_29_5"/>
      <w:bookmarkStart w:id="380" w:name="Tc_yWIhCS6kv0Og2EOqpbl88w_29_2"/>
      <w:bookmarkStart w:id="381" w:name="Tc_SS6uKXynO0CtIhmFhqg9Pw_29_0"/>
      <w:bookmarkStart w:id="382" w:name="Tc_S7jugT1kzUy0UMwSSd-I-g_28_15"/>
      <w:bookmarkStart w:id="383" w:name="Tc_uD4cj_MubkCY4qHaVijepA_28_9"/>
      <w:bookmarkStart w:id="384" w:name="Tc_GF6JIjfgJ02NvYXwkj8iag_28_6"/>
      <w:bookmarkStart w:id="385" w:name="Tc_VgLeQLEsKkyxkMlJ5IJ_9g_28_3"/>
      <w:bookmarkStart w:id="386" w:name="Tc_fLkyrZ0HqEihjJ6-ZmHOig_28_0"/>
      <w:bookmarkStart w:id="387" w:name="Tc_leAn9VfwKkiw10WOkEpqNw_27_12"/>
      <w:bookmarkStart w:id="388" w:name="Tc_cmTE1Atkb0C4XpoD_aVT0w_27_9"/>
      <w:bookmarkStart w:id="389" w:name="Tc_mcPFaI5vR0yXAi5mOQPo3w_27_6"/>
      <w:bookmarkStart w:id="390" w:name="Tc_mOeP7p34DU6BmwArhMB5gg_27_3"/>
      <w:bookmarkStart w:id="391" w:name="Tc_u79X4heK90aCLs4-9-_8Lw_27_0"/>
      <w:bookmarkStart w:id="392" w:name="Tc_zg2l80B71EqfGM_WtuCVDw_26_15"/>
      <w:bookmarkStart w:id="393" w:name="Tc_QoDAlFH4GE-tAllLFCdw6w_26_12"/>
      <w:bookmarkStart w:id="394" w:name="Tc_5-emKj-gakOQv955EONV3A_26_6"/>
      <w:bookmarkStart w:id="395" w:name="Tc_KZ_gKZaBbUOTtvQp7bYoZQ_26_3"/>
      <w:bookmarkStart w:id="396" w:name="Tc_PQIvqFtdJ0WIQM4AK9yDnQ_26_0"/>
      <w:bookmarkStart w:id="397" w:name="Tc_0XgvU9pEOEqXqbMOFCYiSg_25_15"/>
      <w:bookmarkStart w:id="398" w:name="Tc_cXZmjtwN7kKekZwwOzX_qg_25_12"/>
      <w:bookmarkStart w:id="399" w:name="Tc_ctEyCvghO0WxP8jphuOE1g_25_9"/>
      <w:bookmarkStart w:id="400" w:name="Tc_K7C2P1WSB064xt4EkD01eA_25_3"/>
      <w:bookmarkStart w:id="401" w:name="Tc_aIZOhMzPLUC3vDb2HStuzA_25_0"/>
      <w:bookmarkStart w:id="402" w:name="Tc_tnc-uWgRW0O5Yt538ryYNg_24_15"/>
      <w:bookmarkStart w:id="403" w:name="Tc_D7TIvHZmFUGSdwDPEYTNig_24_12"/>
      <w:bookmarkStart w:id="404" w:name="Tc_p-ikecYNyEK2fNmn1-AC7g_24_9"/>
      <w:bookmarkStart w:id="405" w:name="Tc_v_KgSpQALUKdUJE0FqhF_Q_24_3"/>
      <w:bookmarkStart w:id="406" w:name="Tc_GEJLthYBWkiMTfveRdDa4w_24_0"/>
      <w:bookmarkStart w:id="407" w:name="Tc_2EC_3xMTHkacvEqtTOj8vw_23_18"/>
      <w:bookmarkStart w:id="408" w:name="Tc_tB3fanhebUKpaKK3HA2m5A_23_12"/>
      <w:bookmarkStart w:id="409" w:name="Tc_XcFXaaCJhkekjetZ0Qv1Ag_23_9"/>
      <w:bookmarkStart w:id="410" w:name="Tc_qIVI7wBxPkib2h9XLSi11g_23_3"/>
      <w:bookmarkStart w:id="411" w:name="Tc_Rj9p190ck0i7U4eXMtNISg_23_0"/>
      <w:bookmarkStart w:id="412" w:name="Tc_R5n6Y7qwW0uL1P5lXPHT0g_22_17"/>
      <w:bookmarkStart w:id="413" w:name="Tc_JUbBIU4_SUK3Hr6N8Zv_ng_22_14"/>
      <w:bookmarkStart w:id="414" w:name="Tc_Oui_sReKT0yh8dC44et1BA_22_11"/>
      <w:bookmarkStart w:id="415" w:name="Tc_C470tgmGEkGw3vxKurf0gw_22_8"/>
      <w:bookmarkStart w:id="416" w:name="Tc_XL3P3Gx2OE6NLgxtJRbGTw_22_5"/>
      <w:bookmarkStart w:id="417" w:name="Tc_BMhK9vQteUSIw0lxdEP_ew_22_2"/>
      <w:bookmarkStart w:id="418" w:name="Tc_pbOTgxpi4ESE6s_qg9hZQg_22_0"/>
      <w:bookmarkStart w:id="419" w:name="Tc_DpXPLv7-fUyx4oz9phVlCQ_20_17"/>
      <w:bookmarkStart w:id="420" w:name="Tc_h25JuKFuQUWMbiguEtG2tw_20_14"/>
      <w:bookmarkStart w:id="421" w:name="Tc_Da3nuxPygkWMwFs4_7r4SA_20_11"/>
      <w:bookmarkStart w:id="422" w:name="Tc_-0VRcoaxj062YkBwQE1D9w_20_8"/>
      <w:bookmarkStart w:id="423" w:name="Tc_8ThFAWr6DEuyt6xR2eW7HQ_20_5"/>
      <w:bookmarkStart w:id="424" w:name="Tc_bVPjWzq7K0u54dSyfc_K7g_20_2"/>
      <w:bookmarkStart w:id="425" w:name="Tc_0B48k6IB1kqMnDXKUjn4qw_20_0"/>
      <w:bookmarkStart w:id="426" w:name="Tc_9f9b1IAZ1UK269UMrjuK_A_19_15"/>
      <w:bookmarkStart w:id="427" w:name="Tc_8rCpWzF2eUm64I9X0EtHbA_19_9"/>
      <w:bookmarkStart w:id="428" w:name="Tc_fjOHjVIexkWR579rSjLT6Q_19_6"/>
      <w:bookmarkStart w:id="429" w:name="Tc_aVXwuR1ZZE2OR2OnnoSPlg_19_3"/>
      <w:bookmarkStart w:id="430" w:name="Tc_F5QuvQxUY0qthmIed1FYLQ_19_0"/>
      <w:bookmarkStart w:id="431" w:name="Tc_4N16JN6SQk6iH7GHZNW8Qw_18_15"/>
      <w:bookmarkStart w:id="432" w:name="Tc_q9tmrfiveUWIOU8q_2cK8Q_18_12"/>
      <w:bookmarkStart w:id="433" w:name="Tc_r0XfRXSc8UCh32NaOMVISQ_18_6"/>
      <w:bookmarkStart w:id="434" w:name="Tc_EzXMD2nu6US4uBL_GnRjVg_18_3"/>
      <w:bookmarkStart w:id="435" w:name="Tc_TDmSSwALBUeiJv0AnHRvew_18_0"/>
      <w:bookmarkStart w:id="436" w:name="Tc_2O1sbDU_lkuTTdX7QAOZCw_17_15"/>
      <w:bookmarkStart w:id="437" w:name="Tc_ir6oaYGcR0aBQaFy_lnpbg_17_12"/>
      <w:bookmarkStart w:id="438" w:name="Tc_XYWgGcXLj02IpGdPjRj2vQ_17_9"/>
      <w:bookmarkStart w:id="439" w:name="Tc_e1Ue2sbFgUqzXNYoBSG8fQ_17_3"/>
      <w:bookmarkStart w:id="440" w:name="Tc_PjMUOvPWD0enrYOyMJObgQ_17_0"/>
      <w:bookmarkStart w:id="441" w:name="Tc_KMEbLeTom0ydOowRC3ZutA_16_18"/>
      <w:bookmarkStart w:id="442" w:name="Tc_R-i52xbeRE2m5c82Iy2YIg_16_12"/>
      <w:bookmarkStart w:id="443" w:name="Tc_HQ_KJlma8U6BBXHB0Pc8Cg_16_9"/>
      <w:bookmarkStart w:id="444" w:name="Tc_kR951AC1wUSARAiOvca9Fg_16_3"/>
      <w:bookmarkStart w:id="445" w:name="Tc_YHHJSTXo7UStRBGGNLgPlA_16_0"/>
      <w:bookmarkStart w:id="446" w:name="Tc_DE3MLsFuvEyS9n3_vExqLw_15_17"/>
      <w:bookmarkStart w:id="447" w:name="Tc_D-nzXdhtm0efcM-HS53xdQ_15_14"/>
      <w:bookmarkStart w:id="448" w:name="Tc_gZz_YC-E5EuA9u8kp_nlKg_15_11"/>
      <w:bookmarkStart w:id="449" w:name="Tc_pOKb8UfvbEOC5uzqh188Kw_15_8"/>
      <w:bookmarkStart w:id="450" w:name="Tc_H5EUzQzy7EqCAhDIzBlFMA_15_5"/>
      <w:bookmarkStart w:id="451" w:name="Tc_az41WmtNkkKOh2sjuiLUnA_15_2"/>
      <w:bookmarkStart w:id="452" w:name="Tc__9rSHJuxaEepYDgmhnmpNw_15_0"/>
      <w:bookmarkStart w:id="453" w:name="Tc_VvEy1UVNv0GDAYYT6YcZ7A_13_17"/>
      <w:bookmarkStart w:id="454" w:name="Tc_USnt1B-OdEa_tjDvYv0cBA_13_14"/>
      <w:bookmarkStart w:id="455" w:name="Tc_cgnzvTyoM0SaFe4CW73f5A_13_11"/>
      <w:bookmarkStart w:id="456" w:name="Tc_QQibLvxa7UuemjOJ0HfI3g_13_8"/>
      <w:bookmarkStart w:id="457" w:name="Tc_MiijSiJBRUGdjhhd67mrsQ_13_5"/>
      <w:bookmarkStart w:id="458" w:name="Tc_O6fQ1xeEOEide7FxN97XaQ_13_2"/>
      <w:bookmarkStart w:id="459" w:name="Tc_bvXUwreBJECqnVoLFhzYuw_13_0"/>
      <w:bookmarkStart w:id="460" w:name="Tc_CiJPrf5a7kC93w1uImXJ4A_12_15"/>
      <w:bookmarkStart w:id="461" w:name="Tc_O1Rsw3pTgEa7TSwd3A7yaA_12_9"/>
      <w:bookmarkStart w:id="462" w:name="Tc_CN9BGUh26kyp6-hzxd4SnA_12_6"/>
      <w:bookmarkStart w:id="463" w:name="Tc_7-z_pk1dj0SQppji2XhQjA_12_3"/>
      <w:bookmarkStart w:id="464" w:name="Tc_apNzY9RTKEqUDu7ehteM6A_12_0"/>
      <w:bookmarkStart w:id="465" w:name="Tc_NMInIqlgTk6sC9M0Yp42wA_11_15"/>
      <w:bookmarkStart w:id="466" w:name="Tc_XQzpkpkToUO0tP8skdB2pA_11_12"/>
      <w:bookmarkStart w:id="467" w:name="Tc_6xaqxkFIjUC1a9ILTv3rNg_11_6"/>
      <w:bookmarkStart w:id="468" w:name="Tc_CZlRUPRFSUGFChaWFLtS2w_11_3"/>
      <w:bookmarkStart w:id="469" w:name="Tc_c4StwRJga06DLbV8mF2LAg_11_0"/>
      <w:bookmarkStart w:id="470" w:name="Tc_Xkn0QCr6gkSJGNr2gJ0PkA_10_15"/>
      <w:bookmarkStart w:id="471" w:name="Tc_ke8N9CMPD0eAA6upGdHgpg_10_12"/>
      <w:bookmarkStart w:id="472" w:name="Tc_2q0fVRu60EmM5HSFErfzow_10_9"/>
      <w:bookmarkStart w:id="473" w:name="Tc_yXNiEN_D-Uy0CrvhuliImA_10_3"/>
      <w:bookmarkStart w:id="474" w:name="Tc_3u-OvlwW9kGjY7vUn5WqlA_10_0"/>
      <w:bookmarkStart w:id="475" w:name="Tc_3id-9trnYEmPAm91Z1dvFg_9_15"/>
      <w:bookmarkStart w:id="476" w:name="Tc_q1CFesUu10-WScfMgFuXNQ_9_12"/>
      <w:bookmarkStart w:id="477" w:name="Tc_kqcoTZunNEC6C_pnH57RQA_9_9"/>
      <w:bookmarkStart w:id="478" w:name="Tc_lftIWNSJ-0C975q0_K07CA_9_3"/>
      <w:bookmarkStart w:id="479" w:name="Tc_YBftqpuUC0mRYZs6h3XMjQ_9_0"/>
      <w:bookmarkStart w:id="480" w:name="Tc_c9b2BlnLcUugh5C40oJlAQ_8_18"/>
      <w:bookmarkStart w:id="481" w:name="Tc_YEKaJUcJ2kWSSEaru3yRrA_8_12"/>
      <w:bookmarkStart w:id="482" w:name="Tc_LBPF5FN1Jkyp3vb4QUeOXg_8_9"/>
      <w:bookmarkStart w:id="483" w:name="Tc_ppAWRbW0H0W2Yjb8gzO1Pg_8_3"/>
      <w:bookmarkStart w:id="484" w:name="Tc_H1_wUn0I0EiPMwgKNcoxhw_8_0"/>
      <w:bookmarkStart w:id="485" w:name="Tc_xRiAOaNbOEudFY6Y_tT-zQ_7_17"/>
      <w:bookmarkStart w:id="486" w:name="Tc_L2bSlFtX80y-68LRLYcHJQ_7_14"/>
      <w:bookmarkStart w:id="487" w:name="Tc_804lJo4g7UCMGHih914sPQ_7_11"/>
      <w:bookmarkStart w:id="488" w:name="Tc_L4y4tF_NuUydz7it3SQvuA_7_8"/>
      <w:bookmarkStart w:id="489" w:name="Tc_ChWxL00OXU6Rl_z43Ch1iQ_7_5"/>
      <w:bookmarkStart w:id="490" w:name="Tc_WP9zkh4wNkSV12qIaKXLKg_7_2"/>
      <w:bookmarkStart w:id="491" w:name="Tc_WSoHRfrCxEWuBXzE-nrLtg_7_0"/>
      <w:bookmarkStart w:id="492" w:name="Tc_7W5Vy1E0ZEaoK-aBbCLJnw_6_2"/>
      <w:bookmarkStart w:id="493" w:name="Tc_AQoBLivFu0GufyMHw1Jtsg_5_2"/>
      <w:bookmarkStart w:id="494" w:name="Tc_pRHCRsl6cEeJaeN_2nenWg_4_17"/>
      <w:bookmarkStart w:id="495" w:name="Tc_9zGXl0eBZkaGHDXx11U6hg_4_14"/>
      <w:bookmarkStart w:id="496" w:name="Tc_MbFVYDiCtE6TRkQIXetVbQ_4_11"/>
      <w:bookmarkStart w:id="497" w:name="Tc_AXSJBbI5JkiETllfRbEZjg_4_8"/>
      <w:bookmarkStart w:id="498" w:name="Tc_YI5wB0W7A0q8bzPAcXJuyA_4_5"/>
      <w:bookmarkStart w:id="499" w:name="Tc_zMLwUibY3UadWakksZvspw_4_2"/>
      <w:bookmarkStart w:id="500" w:name="Tc_YWdf6VXcxkG7cfj0GNWe7w_3_14"/>
      <w:bookmarkStart w:id="501" w:name="Tc_CEGZscSPc065bfDry1r2Xw_3_11"/>
      <w:bookmarkStart w:id="502" w:name="Tc_ScnFHifzzE-W6K9-IY7wtA_3_8"/>
      <w:bookmarkStart w:id="503" w:name="Tc_J_0bdSGmSEy_H83pYnm4LQ_3_5"/>
      <w:bookmarkStart w:id="504" w:name="Tc_edNYHPuz6kuMFtuHJU4sWQ_3_2"/>
      <w:bookmarkStart w:id="505" w:name="Tc_ArjUkjzHqESPBK52FhoMBA_2_14"/>
      <w:bookmarkStart w:id="506" w:name="Tc_4sdS34Ps-EW1wEnn1PdPZg_2_8"/>
      <w:bookmarkStart w:id="507" w:name="Tc_qbF4mxZLgkyEvpJ0UvKmaA_2_5"/>
      <w:bookmarkStart w:id="508" w:name="Tc_IwezeUOR_kay2Nnea0Brxw_1_14"/>
      <w:bookmarkStart w:id="509" w:name="Tc_hLOmCofEwUiRYfT-OOA85w_1_8"/>
      <w:bookmarkStart w:id="510" w:name="_11f4119a_33e1_4756_b84d_a1cf16849e20"/>
      <w:bookmarkStart w:id="511" w:name="Tc_sbA6LpNm3EWgoKJlRLQesQ_38_17"/>
      <w:bookmarkStart w:id="512" w:name="Tc_JrDq2WENG0umxT2d_ujVFA_38_14"/>
      <w:bookmarkStart w:id="513" w:name="Tc_CumuMERbTESy2u5Ghodgdg_38_11"/>
      <w:bookmarkStart w:id="514" w:name="Tc_mwzzEe_Af0mWkHigA0ivIA_38_8"/>
      <w:bookmarkStart w:id="515" w:name="Tc_FEguRv8_2EC-fEPJ0EmV0g_38_5"/>
      <w:bookmarkStart w:id="516" w:name="Tc_WJEPRf1tWEuNnjBDVMfW3g_38_2"/>
      <w:bookmarkStart w:id="517" w:name="Tc_E5uTAFPR_E2ue8EYT9iPGw_38_0"/>
      <w:bookmarkStart w:id="518" w:name="Tc_kHha0so5LECba-sBJZBZZg_37_15"/>
      <w:bookmarkStart w:id="519" w:name="Tc_mWOVEnwW-UaS5ByTLyJtBw_37_9"/>
      <w:bookmarkStart w:id="520" w:name="Tc_FjkW9B0MhUGKtQV3m3oRFQ_37_6"/>
      <w:bookmarkStart w:id="521" w:name="Tc_r2Lr_yvlZ0C9hkEDxxoVIg_37_3"/>
      <w:bookmarkStart w:id="522" w:name="Tc_l6zPeQkrgU6XahNmT4mOjA_37_0"/>
      <w:bookmarkStart w:id="523" w:name="Tc_WPhebvM8L0WMkFzh7k5X6A_36_12"/>
      <w:bookmarkStart w:id="524" w:name="Tc_ottl59X5wUa_InC7lW2E4g_36_9"/>
      <w:bookmarkStart w:id="525" w:name="Tc_MHJTNpslZkGLhFbIL9TB-Q_36_6"/>
      <w:bookmarkStart w:id="526" w:name="Tc_OI_c7ZK2dUqoJy6vinuPhg_36_3"/>
      <w:bookmarkStart w:id="527" w:name="Tc_zXPKyO3cTUqt8bVHcorWYw_36_0"/>
      <w:bookmarkStart w:id="528" w:name="Tc_QQnxXCJfP0adZ1T54XKj4g_35_15"/>
      <w:bookmarkStart w:id="529" w:name="Tc_6oazNtHCDkiyTawiMRSZUA_35_12"/>
      <w:bookmarkStart w:id="530" w:name="Tc_w5BBwDqLP0ipivAU9Uoejw_35_6"/>
      <w:bookmarkStart w:id="531" w:name="Tc_IPZhJmXLvUKUGn37D455uA_35_3"/>
      <w:bookmarkStart w:id="532" w:name="Tc_6OZw75rqfECs4hmRc7Y7DA_35_0"/>
      <w:bookmarkStart w:id="533" w:name="Tc_1TT0fXdRrk6DX2ulfO_ajg_34_15"/>
      <w:bookmarkStart w:id="534" w:name="Tc_hW3fsHVUN0G8g7TGy-sj8w_34_12"/>
      <w:bookmarkStart w:id="535" w:name="Tc_9nqKqnhbEkKPZjZqYFKejw_34_9"/>
      <w:bookmarkStart w:id="536" w:name="Tc_w1LwfF-tYE27d6VAQXdEaw_34_3"/>
      <w:bookmarkStart w:id="537" w:name="Tc_sa8Z2QcEhkqWgx6Aji3cGA_34_0"/>
      <w:bookmarkStart w:id="538" w:name="Tc_5CLUZVKw5kOToB0D_Fzf6A_33_15"/>
      <w:bookmarkStart w:id="539" w:name="Tc_wPviH2EDeEykpSTtjOKkbg_33_12"/>
      <w:bookmarkStart w:id="540" w:name="Tc_uNr94SRv2EybI1EvOhdxMQ_33_9"/>
      <w:bookmarkStart w:id="541" w:name="Tc_kUMmp5gyNk2UkrWGpJXaPQ_33_3"/>
      <w:bookmarkStart w:id="542" w:name="Tc_beXzB7jyX0iAPoaqnTI0OQ_33_0"/>
      <w:bookmarkStart w:id="543" w:name="Tc_f3bkbfbUoUmXs7CvsbACfw_32_18"/>
      <w:bookmarkStart w:id="544" w:name="Tc_qwHft8jHgU69OqcGsxbzAA_32_12"/>
      <w:bookmarkStart w:id="545" w:name="Tc_TQMRI4ADSEqD6Ljs2zQ5zA_32_9"/>
      <w:bookmarkStart w:id="546" w:name="Tc_zd__ZlOanUSCYt0uU2MSyQ_32_3"/>
      <w:bookmarkStart w:id="547" w:name="Tc_jOL-TsgpFU-FbjZp9aTP3w_32_0"/>
      <w:bookmarkStart w:id="548" w:name="Tc_YsReD2lIVEukoMEE4Y4YMA_31_17"/>
      <w:bookmarkStart w:id="549" w:name="Tc_aw6JCXKwJkqyBe8o-noUuw_31_14"/>
      <w:bookmarkStart w:id="550" w:name="Tc_2NvUTPRHik2RWDzzV2zUrA_31_11"/>
      <w:bookmarkStart w:id="551" w:name="Tc_Dqt1mMtQZEe7Q2vXWmKwEA_31_8"/>
      <w:bookmarkStart w:id="552" w:name="Tc_hUcb1rsvL0OznrF6mWfGHg_31_5"/>
      <w:bookmarkStart w:id="553" w:name="Tc_DGXYme0_3kWipOHSU6lMgA_31_2"/>
      <w:bookmarkStart w:id="554" w:name="Tc_TUDZu5EgNEKgxEgeujNjFw_31_0"/>
      <w:bookmarkStart w:id="555" w:name="Tc_F48yScL69UOWfMTkNBaiBw_29_17"/>
      <w:bookmarkStart w:id="556" w:name="Tc_FCEX-r0W8Uimltv-270FaA_29_14"/>
      <w:bookmarkStart w:id="557" w:name="Tc_uK7T0GhK6kiQSmsd9OY9GA_29_11"/>
      <w:bookmarkStart w:id="558" w:name="Tc_tvzgM6P5h0yVzfCsJ1sUiA_29_8"/>
      <w:bookmarkStart w:id="559" w:name="Tc_7t7nXzt6O0KPJncdyMq_GA_29_5"/>
      <w:bookmarkStart w:id="560" w:name="Tc_yWIhCS6kv0Og2EOqpbl88w_29_2"/>
      <w:bookmarkStart w:id="561" w:name="Tc_SS6uKXynO0CtIhmFhqg9Pw_29_0"/>
      <w:bookmarkStart w:id="562" w:name="Tc_S7jugT1kzUy0UMwSSd-I-g_28_15"/>
      <w:bookmarkStart w:id="563" w:name="Tc_uD4cj_MubkCY4qHaVijepA_28_9"/>
      <w:bookmarkStart w:id="564" w:name="Tc_GF6JIjfgJ02NvYXwkj8iag_28_6"/>
      <w:bookmarkStart w:id="565" w:name="Tc_VgLeQLEsKkyxkMlJ5IJ_9g_28_3"/>
      <w:bookmarkStart w:id="566" w:name="Tc_fLkyrZ0HqEihjJ6-ZmHOig_28_0"/>
      <w:bookmarkStart w:id="567" w:name="Tc_leAn9VfwKkiw10WOkEpqNw_27_12"/>
      <w:bookmarkStart w:id="568" w:name="Tc_cmTE1Atkb0C4XpoD_aVT0w_27_9"/>
      <w:bookmarkStart w:id="569" w:name="Tc_mcPFaI5vR0yXAi5mOQPo3w_27_6"/>
      <w:bookmarkStart w:id="570" w:name="Tc_mOeP7p34DU6BmwArhMB5gg_27_3"/>
      <w:bookmarkStart w:id="571" w:name="Tc_u79X4heK90aCLs4-9-_8Lw_27_0"/>
      <w:bookmarkStart w:id="572" w:name="Tc_zg2l80B71EqfGM_WtuCVDw_26_15"/>
      <w:bookmarkStart w:id="573" w:name="Tc_QoDAlFH4GE-tAllLFCdw6w_26_12"/>
      <w:bookmarkStart w:id="574" w:name="Tc_5-emKj-gakOQv955EONV3A_26_6"/>
      <w:bookmarkStart w:id="575" w:name="Tc_KZ_gKZaBbUOTtvQp7bYoZQ_26_3"/>
      <w:bookmarkStart w:id="576" w:name="Tc_PQIvqFtdJ0WIQM4AK9yDnQ_26_0"/>
      <w:bookmarkStart w:id="577" w:name="Tc_0XgvU9pEOEqXqbMOFCYiSg_25_15"/>
      <w:bookmarkStart w:id="578" w:name="Tc_cXZmjtwN7kKekZwwOzX_qg_25_12"/>
      <w:bookmarkStart w:id="579" w:name="Tc_ctEyCvghO0WxP8jphuOE1g_25_9"/>
      <w:bookmarkStart w:id="580" w:name="Tc_K7C2P1WSB064xt4EkD01eA_25_3"/>
      <w:bookmarkStart w:id="581" w:name="Tc_aIZOhMzPLUC3vDb2HStuzA_25_0"/>
      <w:bookmarkStart w:id="582" w:name="Tc_tnc-uWgRW0O5Yt538ryYNg_24_15"/>
      <w:bookmarkStart w:id="583" w:name="Tc_D7TIvHZmFUGSdwDPEYTNig_24_12"/>
      <w:bookmarkStart w:id="584" w:name="Tc_p-ikecYNyEK2fNmn1-AC7g_24_9"/>
      <w:bookmarkStart w:id="585" w:name="Tc_v_KgSpQALUKdUJE0FqhF_Q_24_3"/>
      <w:bookmarkStart w:id="586" w:name="Tc_GEJLthYBWkiMTfveRdDa4w_24_0"/>
      <w:bookmarkStart w:id="587" w:name="Tc_2EC_3xMTHkacvEqtTOj8vw_23_18"/>
      <w:bookmarkStart w:id="588" w:name="Tc_tB3fanhebUKpaKK3HA2m5A_23_12"/>
      <w:bookmarkStart w:id="589" w:name="Tc_XcFXaaCJhkekjetZ0Qv1Ag_23_9"/>
      <w:bookmarkStart w:id="590" w:name="Tc_qIVI7wBxPkib2h9XLSi11g_23_3"/>
      <w:bookmarkStart w:id="591" w:name="Tc_Rj9p190ck0i7U4eXMtNISg_23_0"/>
      <w:bookmarkStart w:id="592" w:name="Tc_R5n6Y7qwW0uL1P5lXPHT0g_22_17"/>
      <w:bookmarkStart w:id="593" w:name="Tc_JUbBIU4_SUK3Hr6N8Zv_ng_22_14"/>
      <w:bookmarkStart w:id="594" w:name="Tc_Oui_sReKT0yh8dC44et1BA_22_11"/>
      <w:bookmarkStart w:id="595" w:name="Tc_C470tgmGEkGw3vxKurf0gw_22_8"/>
      <w:bookmarkStart w:id="596" w:name="Tc_XL3P3Gx2OE6NLgxtJRbGTw_22_5"/>
      <w:bookmarkStart w:id="597" w:name="Tc_BMhK9vQteUSIw0lxdEP_ew_22_2"/>
      <w:bookmarkStart w:id="598" w:name="Tc_pbOTgxpi4ESE6s_qg9hZQg_22_0"/>
      <w:bookmarkStart w:id="599" w:name="Tc_DpXPLv7-fUyx4oz9phVlCQ_20_17"/>
      <w:bookmarkStart w:id="600" w:name="Tc_h25JuKFuQUWMbiguEtG2tw_20_14"/>
      <w:bookmarkStart w:id="601" w:name="Tc_Da3nuxPygkWMwFs4_7r4SA_20_11"/>
      <w:bookmarkStart w:id="602" w:name="Tc_-0VRcoaxj062YkBwQE1D9w_20_8"/>
      <w:bookmarkStart w:id="603" w:name="Tc_8ThFAWr6DEuyt6xR2eW7HQ_20_5"/>
      <w:bookmarkStart w:id="604" w:name="Tc_bVPjWzq7K0u54dSyfc_K7g_20_2"/>
      <w:bookmarkStart w:id="605" w:name="Tc_0B48k6IB1kqMnDXKUjn4qw_20_0"/>
      <w:bookmarkStart w:id="606" w:name="Tc_9f9b1IAZ1UK269UMrjuK_A_19_15"/>
      <w:bookmarkStart w:id="607" w:name="Tc_8rCpWzF2eUm64I9X0EtHbA_19_9"/>
      <w:bookmarkStart w:id="608" w:name="Tc_fjOHjVIexkWR579rSjLT6Q_19_6"/>
      <w:bookmarkStart w:id="609" w:name="Tc_aVXwuR1ZZE2OR2OnnoSPlg_19_3"/>
      <w:bookmarkStart w:id="610" w:name="Tc_F5QuvQxUY0qthmIed1FYLQ_19_0"/>
      <w:bookmarkStart w:id="611" w:name="Tc_4N16JN6SQk6iH7GHZNW8Qw_18_15"/>
      <w:bookmarkStart w:id="612" w:name="Tc_q9tmrfiveUWIOU8q_2cK8Q_18_12"/>
      <w:bookmarkStart w:id="613" w:name="Tc_r0XfRXSc8UCh32NaOMVISQ_18_6"/>
      <w:bookmarkStart w:id="614" w:name="Tc_EzXMD2nu6US4uBL_GnRjVg_18_3"/>
      <w:bookmarkStart w:id="615" w:name="Tc_TDmSSwALBUeiJv0AnHRvew_18_0"/>
      <w:bookmarkStart w:id="616" w:name="Tc_2O1sbDU_lkuTTdX7QAOZCw_17_15"/>
      <w:bookmarkStart w:id="617" w:name="Tc_ir6oaYGcR0aBQaFy_lnpbg_17_12"/>
      <w:bookmarkStart w:id="618" w:name="Tc_XYWgGcXLj02IpGdPjRj2vQ_17_9"/>
      <w:bookmarkStart w:id="619" w:name="Tc_e1Ue2sbFgUqzXNYoBSG8fQ_17_3"/>
      <w:bookmarkStart w:id="620" w:name="Tc_PjMUOvPWD0enrYOyMJObgQ_17_0"/>
      <w:bookmarkStart w:id="621" w:name="Tc_KMEbLeTom0ydOowRC3ZutA_16_18"/>
      <w:bookmarkStart w:id="622" w:name="Tc_R-i52xbeRE2m5c82Iy2YIg_16_12"/>
      <w:bookmarkStart w:id="623" w:name="Tc_HQ_KJlma8U6BBXHB0Pc8Cg_16_9"/>
      <w:bookmarkStart w:id="624" w:name="Tc_kR951AC1wUSARAiOvca9Fg_16_3"/>
      <w:bookmarkStart w:id="625" w:name="Tc_YHHJSTXo7UStRBGGNLgPlA_16_0"/>
      <w:bookmarkStart w:id="626" w:name="Tc_DE3MLsFuvEyS9n3_vExqLw_15_17"/>
      <w:bookmarkStart w:id="627" w:name="Tc_D-nzXdhtm0efcM-HS53xdQ_15_14"/>
      <w:bookmarkStart w:id="628" w:name="Tc_gZz_YC-E5EuA9u8kp_nlKg_15_11"/>
      <w:bookmarkStart w:id="629" w:name="Tc_pOKb8UfvbEOC5uzqh188Kw_15_8"/>
      <w:bookmarkStart w:id="630" w:name="Tc_H5EUzQzy7EqCAhDIzBlFMA_15_5"/>
      <w:bookmarkStart w:id="631" w:name="Tc_az41WmtNkkKOh2sjuiLUnA_15_2"/>
      <w:bookmarkStart w:id="632" w:name="Tc__9rSHJuxaEepYDgmhnmpNw_15_0"/>
      <w:bookmarkStart w:id="633" w:name="Tc_VvEy1UVNv0GDAYYT6YcZ7A_13_17"/>
      <w:bookmarkStart w:id="634" w:name="Tc_USnt1B-OdEa_tjDvYv0cBA_13_14"/>
      <w:bookmarkStart w:id="635" w:name="Tc_cgnzvTyoM0SaFe4CW73f5A_13_11"/>
      <w:bookmarkStart w:id="636" w:name="Tc_QQibLvxa7UuemjOJ0HfI3g_13_8"/>
      <w:bookmarkStart w:id="637" w:name="Tc_MiijSiJBRUGdjhhd67mrsQ_13_5"/>
      <w:bookmarkStart w:id="638" w:name="Tc_O6fQ1xeEOEide7FxN97XaQ_13_2"/>
      <w:bookmarkStart w:id="639" w:name="Tc_bvXUwreBJECqnVoLFhzYuw_13_0"/>
      <w:bookmarkStart w:id="640" w:name="Tc_CiJPrf5a7kC93w1uImXJ4A_12_15"/>
      <w:bookmarkStart w:id="641" w:name="Tc_O1Rsw3pTgEa7TSwd3A7yaA_12_9"/>
      <w:bookmarkStart w:id="642" w:name="Tc_CN9BGUh26kyp6-hzxd4SnA_12_6"/>
      <w:bookmarkStart w:id="643" w:name="Tc_7-z_pk1dj0SQppji2XhQjA_12_3"/>
      <w:bookmarkStart w:id="644" w:name="Tc_apNzY9RTKEqUDu7ehteM6A_12_0"/>
      <w:bookmarkStart w:id="645" w:name="Tc_NMInIqlgTk6sC9M0Yp42wA_11_15"/>
      <w:bookmarkStart w:id="646" w:name="Tc_XQzpkpkToUO0tP8skdB2pA_11_12"/>
      <w:bookmarkStart w:id="647" w:name="Tc_6xaqxkFIjUC1a9ILTv3rNg_11_6"/>
      <w:bookmarkStart w:id="648" w:name="Tc_CZlRUPRFSUGFChaWFLtS2w_11_3"/>
      <w:bookmarkStart w:id="649" w:name="Tc_c4StwRJga06DLbV8mF2LAg_11_0"/>
      <w:bookmarkStart w:id="650" w:name="Tc_Xkn0QCr6gkSJGNr2gJ0PkA_10_15"/>
      <w:bookmarkStart w:id="651" w:name="Tc_ke8N9CMPD0eAA6upGdHgpg_10_12"/>
      <w:bookmarkStart w:id="652" w:name="Tc_2q0fVRu60EmM5HSFErfzow_10_9"/>
      <w:bookmarkStart w:id="653" w:name="Tc_yXNiEN_D-Uy0CrvhuliImA_10_3"/>
      <w:bookmarkStart w:id="654" w:name="Tc_3u-OvlwW9kGjY7vUn5WqlA_10_0"/>
      <w:bookmarkStart w:id="655" w:name="Tc_3id-9trnYEmPAm91Z1dvFg_9_15"/>
      <w:bookmarkStart w:id="656" w:name="Tc_q1CFesUu10-WScfMgFuXNQ_9_12"/>
      <w:bookmarkStart w:id="657" w:name="Tc_kqcoTZunNEC6C_pnH57RQA_9_9"/>
      <w:bookmarkStart w:id="658" w:name="Tc_lftIWNSJ-0C975q0_K07CA_9_3"/>
      <w:bookmarkStart w:id="659" w:name="Tc_YBftqpuUC0mRYZs6h3XMjQ_9_0"/>
      <w:bookmarkStart w:id="660" w:name="Tc_c9b2BlnLcUugh5C40oJlAQ_8_18"/>
      <w:bookmarkStart w:id="661" w:name="Tc_YEKaJUcJ2kWSSEaru3yRrA_8_12"/>
      <w:bookmarkStart w:id="662" w:name="Tc_LBPF5FN1Jkyp3vb4QUeOXg_8_9"/>
      <w:bookmarkStart w:id="663" w:name="Tc_ppAWRbW0H0W2Yjb8gzO1Pg_8_3"/>
      <w:bookmarkStart w:id="664" w:name="Tc_H1_wUn0I0EiPMwgKNcoxhw_8_0"/>
      <w:bookmarkStart w:id="665" w:name="Tc_xRiAOaNbOEudFY6Y_tT-zQ_7_17"/>
      <w:bookmarkStart w:id="666" w:name="Tc_L2bSlFtX80y-68LRLYcHJQ_7_14"/>
      <w:bookmarkStart w:id="667" w:name="Tc_804lJo4g7UCMGHih914sPQ_7_11"/>
      <w:bookmarkStart w:id="668" w:name="Tc_L4y4tF_NuUydz7it3SQvuA_7_8"/>
      <w:bookmarkStart w:id="669" w:name="Tc_ChWxL00OXU6Rl_z43Ch1iQ_7_5"/>
      <w:bookmarkStart w:id="670" w:name="Tc_WP9zkh4wNkSV12qIaKXLKg_7_2"/>
      <w:bookmarkStart w:id="671" w:name="Tc_WSoHRfrCxEWuBXzE-nrLtg_7_0"/>
      <w:bookmarkStart w:id="672" w:name="Tc_7W5Vy1E0ZEaoK-aBbCLJnw_6_2"/>
      <w:bookmarkStart w:id="673" w:name="Tc_AQoBLivFu0GufyMHw1Jtsg_5_2"/>
      <w:bookmarkStart w:id="674" w:name="Tc_pRHCRsl6cEeJaeN_2nenWg_4_17"/>
      <w:bookmarkStart w:id="675" w:name="Tc_9zGXl0eBZkaGHDXx11U6hg_4_14"/>
      <w:bookmarkStart w:id="676" w:name="Tc_MbFVYDiCtE6TRkQIXetVbQ_4_11"/>
      <w:bookmarkStart w:id="677" w:name="Tc_AXSJBbI5JkiETllfRbEZjg_4_8"/>
      <w:bookmarkStart w:id="678" w:name="Tc_YI5wB0W7A0q8bzPAcXJuyA_4_5"/>
      <w:bookmarkStart w:id="679" w:name="Tc_zMLwUibY3UadWakksZvspw_4_2"/>
      <w:bookmarkStart w:id="680" w:name="Tc_YWdf6VXcxkG7cfj0GNWe7w_3_14"/>
      <w:bookmarkStart w:id="681" w:name="Tc_CEGZscSPc065bfDry1r2Xw_3_11"/>
      <w:bookmarkStart w:id="682" w:name="Tc_ScnFHifzzE-W6K9-IY7wtA_3_8"/>
      <w:bookmarkStart w:id="683" w:name="Tc_J_0bdSGmSEy_H83pYnm4LQ_3_5"/>
      <w:bookmarkStart w:id="684" w:name="Tc_edNYHPuz6kuMFtuHJU4sWQ_3_2"/>
      <w:bookmarkStart w:id="685" w:name="Tc_ArjUkjzHqESPBK52FhoMBA_2_14"/>
      <w:bookmarkStart w:id="686" w:name="Tc_4sdS34Ps-EW1wEnn1PdPZg_2_8"/>
      <w:bookmarkStart w:id="687" w:name="Tc_qbF4mxZLgkyEvpJ0UvKmaA_2_5"/>
      <w:bookmarkStart w:id="688" w:name="Tc_IwezeUOR_kay2Nnea0Brxw_1_14"/>
      <w:bookmarkStart w:id="689" w:name="Tc_hLOmCofEwUiRYfT-OOA85w_1_8"/>
      <w:bookmarkStart w:id="690" w:name="_11f4119a_33e1_4756_b84d_a1cf16849e2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tbl>
      <w:tblPr>
        <w:tblW w:w="10205" w:type="dxa"/>
        <w:jc w:val="left"/>
        <w:tblInd w:w="0" w:type="dxa"/>
        <w:tblLayout w:type="fixed"/>
        <w:tblCellMar>
          <w:top w:w="0" w:type="dxa"/>
          <w:left w:w="0" w:type="dxa"/>
          <w:bottom w:w="0" w:type="dxa"/>
          <w:right w:w="0" w:type="dxa"/>
        </w:tblCellMar>
      </w:tblPr>
      <w:tblGrid>
        <w:gridCol w:w="1924"/>
        <w:gridCol w:w="326"/>
        <w:gridCol w:w="255"/>
        <w:gridCol w:w="511"/>
        <w:gridCol w:w="326"/>
        <w:gridCol w:w="211"/>
        <w:gridCol w:w="783"/>
        <w:gridCol w:w="326"/>
        <w:gridCol w:w="270"/>
        <w:gridCol w:w="946"/>
        <w:gridCol w:w="326"/>
        <w:gridCol w:w="211"/>
        <w:gridCol w:w="931"/>
        <w:gridCol w:w="326"/>
        <w:gridCol w:w="211"/>
        <w:gridCol w:w="747"/>
        <w:gridCol w:w="326"/>
        <w:gridCol w:w="211"/>
        <w:gridCol w:w="1038"/>
      </w:tblGrid>
      <w:tr>
        <w:trPr/>
        <w:tc>
          <w:tcPr>
            <w:tcW w:w="1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21740" cy="175260"/>
                      <wp:effectExtent l="0" t="0" r="0" b="0"/>
                      <wp:wrapNone/>
                      <wp:docPr id="19" name="Frame19"/>
                      <a:graphic xmlns:a="http://schemas.openxmlformats.org/drawingml/2006/main">
                        <a:graphicData uri="http://schemas.microsoft.com/office/word/2010/wordprocessingShape">
                          <wps:wsp>
                            <wps:cNvSpPr txBox="1"/>
                            <wps:spPr>
                              <a:xfrm>
                                <a:off x="0" y="0"/>
                                <a:ext cx="1221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24485" cy="175260"/>
                      <wp:effectExtent l="0" t="0" r="0" b="0"/>
                      <wp:wrapNone/>
                      <wp:docPr id="21" name="Frame2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97205" cy="175260"/>
                      <wp:effectExtent l="0" t="0" r="0" b="0"/>
                      <wp:wrapNone/>
                      <wp:docPr id="23" name="Frame23"/>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00710" cy="175260"/>
                      <wp:effectExtent l="0" t="0" r="0" b="0"/>
                      <wp:wrapNone/>
                      <wp:docPr id="25" name="Frame2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91185" cy="175260"/>
                      <wp:effectExtent l="0" t="0" r="0" b="0"/>
                      <wp:wrapNone/>
                      <wp:docPr id="27" name="Frame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74345" cy="175260"/>
                      <wp:effectExtent l="0" t="0" r="0" b="0"/>
                      <wp:wrapNone/>
                      <wp:docPr id="29" name="Frame29"/>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59130" cy="175260"/>
                      <wp:effectExtent l="0" t="0" r="0" b="0"/>
                      <wp:wrapNone/>
                      <wp:docPr id="31" name="Frame31"/>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pPr>
            <w:r>
              <w:rPr/>
              <w:t>​</w:t>
            </w:r>
          </w:p>
        </w:tc>
      </w:tr>
      <w:tr>
        <w:trPr/>
        <w:tc>
          <w:tcPr>
            <w:tcW w:w="19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w:t>
            </w:r>
          </w:p>
        </w:tc>
        <w:tc>
          <w:tcPr>
            <w:tcW w:w="1249" w:type="dxa"/>
            <w:gridSpan w:val="2"/>
            <w:tcBorders/>
            <w:vAlign w:val="center"/>
          </w:tcPr>
          <w:p>
            <w:pPr>
              <w:pStyle w:val="TableContents"/>
              <w:bidi w:val="0"/>
              <w:spacing w:before="0" w:after="1"/>
              <w:ind w:left="0" w:right="0" w:hanging="0"/>
              <w:jc w:val="center"/>
              <w:rPr/>
            </w:pPr>
            <w:r>
              <w:rPr/>
              <w:t>​</w:t>
            </w:r>
          </w:p>
        </w:tc>
      </w:tr>
      <w:tr>
        <w:trPr/>
        <w:tc>
          <w:tcPr>
            <w:tcW w:w="19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1"/>
              <w:ind w:left="0" w:right="0" w:hanging="0"/>
              <w:jc w:val="left"/>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9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Held In</w:t>
            </w:r>
          </w:p>
        </w:tc>
        <w:tc>
          <w:tcPr>
            <w:tcW w:w="326" w:type="dxa"/>
            <w:tcBorders/>
            <w:vAlign w:val="center"/>
          </w:tcPr>
          <w:p>
            <w:pPr>
              <w:pStyle w:val="TableContents"/>
              <w:bidi w:val="0"/>
              <w:spacing w:before="0" w:after="1"/>
              <w:ind w:left="0" w:right="0" w:hanging="0"/>
              <w:jc w:val="left"/>
              <w:rPr/>
            </w:pPr>
            <w:r>
              <w:rPr/>
              <w:t>​</w:t>
            </w:r>
          </w:p>
        </w:tc>
        <w:tc>
          <w:tcPr>
            <w:tcW w:w="1249" w:type="dxa"/>
            <w:gridSpan w:val="2"/>
            <w:tcBorders/>
            <w:vAlign w:val="center"/>
          </w:tcPr>
          <w:p>
            <w:pPr>
              <w:pStyle w:val="TableContents"/>
              <w:bidi w:val="0"/>
              <w:spacing w:before="0" w:after="1"/>
              <w:ind w:left="0" w:right="0" w:hanging="0"/>
              <w:jc w:val="center"/>
              <w:rPr/>
            </w:pPr>
            <w:r>
              <w:rPr/>
              <w:t>​</w:t>
            </w:r>
          </w:p>
        </w:tc>
      </w:tr>
      <w:tr>
        <w:trPr/>
        <w:tc>
          <w:tcPr>
            <w:tcW w:w="19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Loss </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9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9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55"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9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55"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448,762</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1,003,618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1,382,115</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vested,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pPr>
            <w:r>
              <w:rPr/>
              <w:t>—</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paid for net share settlements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(11,392)</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127,640</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October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453,504</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1,131,258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1,503,220</w:t>
            </w:r>
          </w:p>
        </w:tc>
      </w:tr>
      <w:tr>
        <w:trPr/>
        <w:tc>
          <w:tcPr>
            <w:tcW w:w="19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left"/>
              <w:rPr/>
            </w:pPr>
            <w:r>
              <w:rPr/>
              <w:t>​</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461,621</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1,183,958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1,584,001</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vested,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pPr>
            <w:r>
              <w:rPr/>
              <w:t>—</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3,672</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3,672</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(26,518)</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61,103</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October 31, 2022</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465,230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1,245,061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1,622,258</w:t>
            </w:r>
          </w:p>
        </w:tc>
      </w:tr>
      <w:tr>
        <w:trPr/>
        <w:tc>
          <w:tcPr>
            <w:tcW w:w="19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left"/>
              <w:rPr/>
            </w:pPr>
            <w:r>
              <w:rPr/>
              <w:t>​</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468,712</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983,944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1,385,448</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vested,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(16,108)</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pPr>
            <w:r>
              <w:rPr/>
              <w:t>—</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11,728</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11,728</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paid for net share settlements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(10,828)</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(10,828)</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(4,342)</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(26,100)</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147,314</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October 31, 2023</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453,504</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1,131,258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1,503,220</w:t>
            </w:r>
          </w:p>
        </w:tc>
      </w:tr>
      <w:tr>
        <w:trPr/>
        <w:tc>
          <w:tcPr>
            <w:tcW w:w="192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left"/>
              <w:rPr/>
            </w:pPr>
            <w:r>
              <w:rPr/>
              <w:t>​</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2022</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456,329</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1,117,005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1,519,912</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vested, net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(10,226)</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pPr>
            <w:r>
              <w:rPr/>
              <w:t>—</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28,917</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28,917</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paid for net share settlements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(9,790)</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(28,215)</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(16,622)</w:t>
            </w:r>
          </w:p>
        </w:tc>
      </w:tr>
      <w:tr>
        <w:trPr/>
        <w:tc>
          <w:tcPr>
            <w:tcW w:w="19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128,056</w:t>
            </w:r>
          </w:p>
        </w:tc>
      </w:tr>
      <w:tr>
        <w:trPr/>
        <w:tc>
          <w:tcPr>
            <w:tcW w:w="19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October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465,230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1,245,061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1,622,258</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91" w:name="_4c21c090_e47d_48e0_840e_ffb787788527"/>
      <w:bookmarkEnd w:id="691"/>
      <w:r>
        <w:rPr>
          <w:rFonts w:ascii="Times New Roman;Times;serif" w:hAnsi="Times New Roman;Times;serif"/>
          <w:b/>
          <w:sz w:val="20"/>
        </w:rPr>
        <w:t>G-III APPAREL GROUP, LTD. AND SUBSIDIARIES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692" w:name="CASHFLOWS_572760"/>
      <w:bookmarkEnd w:id="692"/>
      <w:r>
        <w:rPr>
          <w:rFonts w:ascii="Times New Roman;Times;serif" w:hAnsi="Times New Roman;Times;serif"/>
          <w:b/>
          <w:sz w:val="20"/>
        </w:rPr>
        <w:t>CONDENSED CONSOLIDATED STATEMENTS OF CASH FLOWS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93" w:name="Tc_JzSMvTEmxEGvD4V-rGMEbQ_58_5"/>
      <w:bookmarkStart w:id="694" w:name="Tc_7PLwU_UUoUuSJjoybAuA1w_58_2"/>
      <w:bookmarkStart w:id="695" w:name="Tc_T_pEoCCX_E2_SD64WTOuWQ_58_0"/>
      <w:bookmarkStart w:id="696" w:name="Tc_iZlHN_3wp0WHKNICLejHUA_57_5"/>
      <w:bookmarkStart w:id="697" w:name="Tc_0pB9yAKUf0mpFQACkM7p6w_57_2"/>
      <w:bookmarkStart w:id="698" w:name="Tc_kV1PgYPJhkKsnke7sSKjYQ_57_0"/>
      <w:bookmarkStart w:id="699" w:name="Tc_30efWRqAZki3NDkrxddNAA_56_0"/>
      <w:bookmarkStart w:id="700" w:name="Tc_2OA1XqXKikW1i9YlpoJ0DA_55_0"/>
      <w:bookmarkStart w:id="701" w:name="Tc_VaKMoKVFRkqtjLkPqc2_ew_53_5"/>
      <w:bookmarkStart w:id="702" w:name="Tc_XE9mjuRxTkqlabn2LGus4g_53_2"/>
      <w:bookmarkStart w:id="703" w:name="Tc_1xTocCpUg02DsqrdKhNCyA_53_0"/>
      <w:bookmarkStart w:id="704" w:name="Tc_9S43uyd3i0CKdZlJDSSTPw_52_0"/>
      <w:bookmarkStart w:id="705" w:name="Tc_-vLLJYYqF0Cb3AJgn8L6Tg_51_0"/>
      <w:bookmarkStart w:id="706" w:name="Tc_lFKVcTmFSUef54D_fiyVkw_50_0"/>
      <w:bookmarkStart w:id="707" w:name="Tc_Azrx-rvu10O0vGrKEbe95Q_48_0"/>
      <w:bookmarkStart w:id="708" w:name="Tc_77iOOypivkCaYjZPyF2Vrw_47_0"/>
      <w:bookmarkStart w:id="709" w:name="Tc_W9auf5uDBEKST4ixsvlBSQ_46_0"/>
      <w:bookmarkStart w:id="710" w:name="Tc_wWrbq1t2eUyaUFxFSravLw_45_0"/>
      <w:bookmarkStart w:id="711" w:name="Tc_zLyfsSQHiEeCuR0lNt3ajw_44_0"/>
      <w:bookmarkStart w:id="712" w:name="Tc_Mac3TAZiSkOGBC9eeM7Zew_43_6"/>
      <w:bookmarkStart w:id="713" w:name="Tc_jIaWcnSGoU62Gp_bKi4Pag_43_0"/>
      <w:bookmarkStart w:id="714" w:name="Tc_kVFBdmn6mESGvcX5nOIXUw_42_0"/>
      <w:bookmarkStart w:id="715" w:name="Tc__lWR5SS130enyTTjghuaEA_41_0"/>
      <w:bookmarkStart w:id="716" w:name="Tc_JTaxibylaUCWhCJTRrT2Zw_40_0"/>
      <w:bookmarkStart w:id="717" w:name="Tc_o_EaiwsngUSkRktqiCyNAw_38_0"/>
      <w:bookmarkStart w:id="718" w:name="Tc_Rdis2fcyMUGYysYuAS8bpw_37_3"/>
      <w:bookmarkStart w:id="719" w:name="Tc_1OvLxKenLUeOkZ9c3L0uqQ_37_0"/>
      <w:bookmarkStart w:id="720" w:name="Tc_W5bhuoIaIEC_t3JjHgHvpw_36_3"/>
      <w:bookmarkStart w:id="721" w:name="Tc_u_OVNVPo3EG9nw5O_m5o6g_36_0"/>
      <w:bookmarkStart w:id="722" w:name="Tc_BpJIDrj83ESPtb43GRr9Ew_35_0"/>
      <w:bookmarkStart w:id="723" w:name="Tc_AoDjxGXjrEOOlZomRUa12A_34_3"/>
      <w:bookmarkStart w:id="724" w:name="Tc_Z9IkaSJCekCTnCmTANuvfQ_34_0"/>
      <w:bookmarkStart w:id="725" w:name="Tc_g8pWsqpXKUaKMIfu9XWYqQ_33_3"/>
      <w:bookmarkStart w:id="726" w:name="Tc_6n_WIjZ-TU6YkQEA7IM3DQ_33_0"/>
      <w:bookmarkStart w:id="727" w:name="Tc_XXIVuk2qv0ago1l8YbtcrQ_32_6"/>
      <w:bookmarkStart w:id="728" w:name="Tc_GQkWrFCf80CZaIup63ecLg_32_0"/>
      <w:bookmarkStart w:id="729" w:name="Tc_w0R71I2kgUaHqzxORiNf9A_31_3"/>
      <w:bookmarkStart w:id="730" w:name="Tc_xPcBLMiKn0elYkvWFxSJng_31_0"/>
      <w:bookmarkStart w:id="731" w:name="Tc_ylQqi-3fSEy0rxH9iaqi7g_30_0"/>
      <w:bookmarkStart w:id="732" w:name="Tc_vjg9MluRpEKV5mxht8_vdg_29_0"/>
      <w:bookmarkStart w:id="733" w:name="Tc_ZnpbOuhIPk6F2nf44Xdt0Q_27_0"/>
      <w:bookmarkStart w:id="734" w:name="Tc_JFItTYWQpUWnzumEDtn1bg_26_0"/>
      <w:bookmarkStart w:id="735" w:name="Tc_y4TmXa4fhEavhWy4aYdAPA_25_0"/>
      <w:bookmarkStart w:id="736" w:name="Tc_4hgsVVgnPkC1enf-gnvTFw_24_0"/>
      <w:bookmarkStart w:id="737" w:name="Tc_gnzAlqfOM06rLJzgL1_Epw_23_0"/>
      <w:bookmarkStart w:id="738" w:name="Tc_X21auQs3JEq73deJJdOdPw_22_0"/>
      <w:bookmarkStart w:id="739" w:name="Tc_v4RFoUrKREWOGMUdemfrwA_21_0"/>
      <w:bookmarkStart w:id="740" w:name="Tc_94_i82_yo0m0jkm0Qpf0tQ_20_0"/>
      <w:bookmarkStart w:id="741" w:name="Tc_nOqPu0niH0augHeSGezkvw_19_0"/>
      <w:bookmarkStart w:id="742" w:name="Tc_As_V0lb92kiye4wbSUZ0Qw_18_0"/>
      <w:bookmarkStart w:id="743" w:name="Tc_jnIxVehswUSDACQ6uEUjvQ_17_3"/>
      <w:bookmarkStart w:id="744" w:name="Tc_OwPSHyOwb0O-OR42QDAEGg_17_0"/>
      <w:bookmarkStart w:id="745" w:name="Tc_roErcsTFVUSScmB9kYq4eg_16_0"/>
      <w:bookmarkStart w:id="746" w:name="Tc_Gfe0ez6prk-bq8U4phQBiw_15_0"/>
      <w:bookmarkStart w:id="747" w:name="Tc_o5mWkDruKkuTeqVl-hrqHg_14_0"/>
      <w:bookmarkStart w:id="748" w:name="Tc_DYgKIM9q2EOtuKxAa7UwVg_13_0"/>
      <w:bookmarkStart w:id="749" w:name="Tc_XQaNF-IHVEOq1-WklVGBYw_12_0"/>
      <w:bookmarkStart w:id="750" w:name="Tc_0yO-WGTDmEy-rhqYL0sFOw_11_0"/>
      <w:bookmarkStart w:id="751" w:name="Tc_3MT3apdBD0ipLp8_stbuBA_10_3"/>
      <w:bookmarkStart w:id="752" w:name="Tc_ZIhx3_CqU06dRag9cB280g_10_0"/>
      <w:bookmarkStart w:id="753" w:name="Tc_dTa7ORN4rEebGsRxcvDV8g_9_0"/>
      <w:bookmarkStart w:id="754" w:name="Tc_WwrjfLSMR0iBCdtu9mK7rQ_8_0"/>
      <w:bookmarkStart w:id="755" w:name="Tc_UjhE0LQEpkGyc8ZQVWJLZA_7_0"/>
      <w:bookmarkStart w:id="756" w:name="Tc_7jT1ubl2TEuy6oSwGT1_VA_6_0"/>
      <w:bookmarkStart w:id="757" w:name="Tc_J3fbSni6uEyglms329Oq5w_5_5"/>
      <w:bookmarkStart w:id="758" w:name="Tc_AhnoYUJ9TkWmWC4NdHUP3g_5_2"/>
      <w:bookmarkStart w:id="759" w:name="Tc_9WdtICgqZkmcTdDos0hPIA_5_0"/>
      <w:bookmarkStart w:id="760" w:name="Tc_EYSYL-gYSU68BmD17dc0zA_4_0"/>
      <w:bookmarkStart w:id="761" w:name="Tc_BQtOcz6dxkaLx0LXYXemdg_3_2"/>
      <w:bookmarkStart w:id="762" w:name="Tc_5QtJsI8Te0ClVnBP7CJ46A_2_5"/>
      <w:bookmarkStart w:id="763" w:name="Tc_frTFhVyNm0ayKzXB0WW9Og_2_2"/>
      <w:bookmarkStart w:id="764" w:name="Tc_F_iYxeQyrEqh5utLQGMPBw_1_2"/>
      <w:bookmarkStart w:id="765" w:name="_bbf8cee8_bb09_4daf_a03b_5ec366f91cfd"/>
      <w:bookmarkStart w:id="766" w:name="Tc_JzSMvTEmxEGvD4V-rGMEbQ_58_5"/>
      <w:bookmarkStart w:id="767" w:name="Tc_7PLwU_UUoUuSJjoybAuA1w_58_2"/>
      <w:bookmarkStart w:id="768" w:name="Tc_T_pEoCCX_E2_SD64WTOuWQ_58_0"/>
      <w:bookmarkStart w:id="769" w:name="Tc_iZlHN_3wp0WHKNICLejHUA_57_5"/>
      <w:bookmarkStart w:id="770" w:name="Tc_0pB9yAKUf0mpFQACkM7p6w_57_2"/>
      <w:bookmarkStart w:id="771" w:name="Tc_kV1PgYPJhkKsnke7sSKjYQ_57_0"/>
      <w:bookmarkStart w:id="772" w:name="Tc_30efWRqAZki3NDkrxddNAA_56_0"/>
      <w:bookmarkStart w:id="773" w:name="Tc_2OA1XqXKikW1i9YlpoJ0DA_55_0"/>
      <w:bookmarkStart w:id="774" w:name="Tc_VaKMoKVFRkqtjLkPqc2_ew_53_5"/>
      <w:bookmarkStart w:id="775" w:name="Tc_XE9mjuRxTkqlabn2LGus4g_53_2"/>
      <w:bookmarkStart w:id="776" w:name="Tc_1xTocCpUg02DsqrdKhNCyA_53_0"/>
      <w:bookmarkStart w:id="777" w:name="Tc_9S43uyd3i0CKdZlJDSSTPw_52_0"/>
      <w:bookmarkStart w:id="778" w:name="Tc_-vLLJYYqF0Cb3AJgn8L6Tg_51_0"/>
      <w:bookmarkStart w:id="779" w:name="Tc_lFKVcTmFSUef54D_fiyVkw_50_0"/>
      <w:bookmarkStart w:id="780" w:name="Tc_Azrx-rvu10O0vGrKEbe95Q_48_0"/>
      <w:bookmarkStart w:id="781" w:name="Tc_77iOOypivkCaYjZPyF2Vrw_47_0"/>
      <w:bookmarkStart w:id="782" w:name="Tc_W9auf5uDBEKST4ixsvlBSQ_46_0"/>
      <w:bookmarkStart w:id="783" w:name="Tc_wWrbq1t2eUyaUFxFSravLw_45_0"/>
      <w:bookmarkStart w:id="784" w:name="Tc_zLyfsSQHiEeCuR0lNt3ajw_44_0"/>
      <w:bookmarkStart w:id="785" w:name="Tc_Mac3TAZiSkOGBC9eeM7Zew_43_6"/>
      <w:bookmarkStart w:id="786" w:name="Tc_jIaWcnSGoU62Gp_bKi4Pag_43_0"/>
      <w:bookmarkStart w:id="787" w:name="Tc_kVFBdmn6mESGvcX5nOIXUw_42_0"/>
      <w:bookmarkStart w:id="788" w:name="Tc__lWR5SS130enyTTjghuaEA_41_0"/>
      <w:bookmarkStart w:id="789" w:name="Tc_JTaxibylaUCWhCJTRrT2Zw_40_0"/>
      <w:bookmarkStart w:id="790" w:name="Tc_o_EaiwsngUSkRktqiCyNAw_38_0"/>
      <w:bookmarkStart w:id="791" w:name="Tc_Rdis2fcyMUGYysYuAS8bpw_37_3"/>
      <w:bookmarkStart w:id="792" w:name="Tc_1OvLxKenLUeOkZ9c3L0uqQ_37_0"/>
      <w:bookmarkStart w:id="793" w:name="Tc_W5bhuoIaIEC_t3JjHgHvpw_36_3"/>
      <w:bookmarkStart w:id="794" w:name="Tc_u_OVNVPo3EG9nw5O_m5o6g_36_0"/>
      <w:bookmarkStart w:id="795" w:name="Tc_BpJIDrj83ESPtb43GRr9Ew_35_0"/>
      <w:bookmarkStart w:id="796" w:name="Tc_AoDjxGXjrEOOlZomRUa12A_34_3"/>
      <w:bookmarkStart w:id="797" w:name="Tc_Z9IkaSJCekCTnCmTANuvfQ_34_0"/>
      <w:bookmarkStart w:id="798" w:name="Tc_g8pWsqpXKUaKMIfu9XWYqQ_33_3"/>
      <w:bookmarkStart w:id="799" w:name="Tc_6n_WIjZ-TU6YkQEA7IM3DQ_33_0"/>
      <w:bookmarkStart w:id="800" w:name="Tc_XXIVuk2qv0ago1l8YbtcrQ_32_6"/>
      <w:bookmarkStart w:id="801" w:name="Tc_GQkWrFCf80CZaIup63ecLg_32_0"/>
      <w:bookmarkStart w:id="802" w:name="Tc_w0R71I2kgUaHqzxORiNf9A_31_3"/>
      <w:bookmarkStart w:id="803" w:name="Tc_xPcBLMiKn0elYkvWFxSJng_31_0"/>
      <w:bookmarkStart w:id="804" w:name="Tc_ylQqi-3fSEy0rxH9iaqi7g_30_0"/>
      <w:bookmarkStart w:id="805" w:name="Tc_vjg9MluRpEKV5mxht8_vdg_29_0"/>
      <w:bookmarkStart w:id="806" w:name="Tc_ZnpbOuhIPk6F2nf44Xdt0Q_27_0"/>
      <w:bookmarkStart w:id="807" w:name="Tc_JFItTYWQpUWnzumEDtn1bg_26_0"/>
      <w:bookmarkStart w:id="808" w:name="Tc_y4TmXa4fhEavhWy4aYdAPA_25_0"/>
      <w:bookmarkStart w:id="809" w:name="Tc_4hgsVVgnPkC1enf-gnvTFw_24_0"/>
      <w:bookmarkStart w:id="810" w:name="Tc_gnzAlqfOM06rLJzgL1_Epw_23_0"/>
      <w:bookmarkStart w:id="811" w:name="Tc_X21auQs3JEq73deJJdOdPw_22_0"/>
      <w:bookmarkStart w:id="812" w:name="Tc_v4RFoUrKREWOGMUdemfrwA_21_0"/>
      <w:bookmarkStart w:id="813" w:name="Tc_94_i82_yo0m0jkm0Qpf0tQ_20_0"/>
      <w:bookmarkStart w:id="814" w:name="Tc_nOqPu0niH0augHeSGezkvw_19_0"/>
      <w:bookmarkStart w:id="815" w:name="Tc_As_V0lb92kiye4wbSUZ0Qw_18_0"/>
      <w:bookmarkStart w:id="816" w:name="Tc_jnIxVehswUSDACQ6uEUjvQ_17_3"/>
      <w:bookmarkStart w:id="817" w:name="Tc_OwPSHyOwb0O-OR42QDAEGg_17_0"/>
      <w:bookmarkStart w:id="818" w:name="Tc_roErcsTFVUSScmB9kYq4eg_16_0"/>
      <w:bookmarkStart w:id="819" w:name="Tc_Gfe0ez6prk-bq8U4phQBiw_15_0"/>
      <w:bookmarkStart w:id="820" w:name="Tc_o5mWkDruKkuTeqVl-hrqHg_14_0"/>
      <w:bookmarkStart w:id="821" w:name="Tc_DYgKIM9q2EOtuKxAa7UwVg_13_0"/>
      <w:bookmarkStart w:id="822" w:name="Tc_XQaNF-IHVEOq1-WklVGBYw_12_0"/>
      <w:bookmarkStart w:id="823" w:name="Tc_0yO-WGTDmEy-rhqYL0sFOw_11_0"/>
      <w:bookmarkStart w:id="824" w:name="Tc_3MT3apdBD0ipLp8_stbuBA_10_3"/>
      <w:bookmarkStart w:id="825" w:name="Tc_ZIhx3_CqU06dRag9cB280g_10_0"/>
      <w:bookmarkStart w:id="826" w:name="Tc_dTa7ORN4rEebGsRxcvDV8g_9_0"/>
      <w:bookmarkStart w:id="827" w:name="Tc_WwrjfLSMR0iBCdtu9mK7rQ_8_0"/>
      <w:bookmarkStart w:id="828" w:name="Tc_UjhE0LQEpkGyc8ZQVWJLZA_7_0"/>
      <w:bookmarkStart w:id="829" w:name="Tc_7jT1ubl2TEuy6oSwGT1_VA_6_0"/>
      <w:bookmarkStart w:id="830" w:name="Tc_J3fbSni6uEyglms329Oq5w_5_5"/>
      <w:bookmarkStart w:id="831" w:name="Tc_AhnoYUJ9TkWmWC4NdHUP3g_5_2"/>
      <w:bookmarkStart w:id="832" w:name="Tc_9WdtICgqZkmcTdDos0hPIA_5_0"/>
      <w:bookmarkStart w:id="833" w:name="Tc_EYSYL-gYSU68BmD17dc0zA_4_0"/>
      <w:bookmarkStart w:id="834" w:name="Tc_BQtOcz6dxkaLx0LXYXemdg_3_2"/>
      <w:bookmarkStart w:id="835" w:name="Tc_5QtJsI8Te0ClVnBP7CJ46A_2_5"/>
      <w:bookmarkStart w:id="836" w:name="Tc_frTFhVyNm0ayKzXB0WW9Og_2_2"/>
      <w:bookmarkStart w:id="837" w:name="Tc_F_iYxeQyrEqh5utLQGMPBw_1_2"/>
      <w:bookmarkStart w:id="838" w:name="_bbf8cee8_bb09_4daf_a03b_5ec366f91cfd"/>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tbl>
      <w:tblPr>
        <w:tblW w:w="9221" w:type="dxa"/>
        <w:jc w:val="left"/>
        <w:tblInd w:w="0" w:type="dxa"/>
        <w:tblLayout w:type="fixed"/>
        <w:tblCellMar>
          <w:top w:w="0" w:type="dxa"/>
          <w:left w:w="0" w:type="dxa"/>
          <w:bottom w:w="0" w:type="dxa"/>
          <w:right w:w="0" w:type="dxa"/>
        </w:tblCellMar>
      </w:tblPr>
      <w:tblGrid>
        <w:gridCol w:w="6376"/>
        <w:gridCol w:w="326"/>
        <w:gridCol w:w="207"/>
        <w:gridCol w:w="857"/>
        <w:gridCol w:w="344"/>
        <w:gridCol w:w="207"/>
        <w:gridCol w:w="904"/>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48760" cy="175260"/>
                      <wp:effectExtent l="0" t="0" r="0" b="0"/>
                      <wp:wrapNone/>
                      <wp:docPr id="32" name="Frame32"/>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1445" cy="175260"/>
                      <wp:effectExtent l="0" t="0" r="0" b="0"/>
                      <wp:wrapNone/>
                      <wp:docPr id="33" name="Frame33"/>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44195" cy="175260"/>
                      <wp:effectExtent l="0" t="0" r="0" b="0"/>
                      <wp:wrapNone/>
                      <wp:docPr id="34" name="Frame34"/>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8440" cy="175260"/>
                      <wp:effectExtent l="0" t="0" r="0" b="0"/>
                      <wp:wrapNone/>
                      <wp:docPr id="35" name="Frame3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1445" cy="175260"/>
                      <wp:effectExtent l="0" t="0" r="0" b="0"/>
                      <wp:wrapNone/>
                      <wp:docPr id="36" name="Frame3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74040" cy="175260"/>
                      <wp:effectExtent l="0" t="0" r="0" b="0"/>
                      <wp:wrapNone/>
                      <wp:docPr id="37" name="Frame3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October 31, </w:t>
            </w:r>
          </w:p>
        </w:tc>
      </w:tr>
      <w:tr>
        <w:trPr/>
        <w:tc>
          <w:tcPr>
            <w:tcW w:w="6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4" w:type="dxa"/>
            <w:tcBorders/>
            <w:vAlign w:val="center"/>
          </w:tcPr>
          <w:p>
            <w:pPr>
              <w:pStyle w:val="TableContents"/>
              <w:bidi w:val="0"/>
              <w:spacing w:before="0" w:after="0"/>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22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attributable to G-III Apparel Group, Ltd.</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147,314</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128,056</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income to 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19,130</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20,021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Loss on disposal of fixed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127</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operating lease costs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43,467</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38,264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Gain on lease terminations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Asset impairment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222</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Equity gain (loss) in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3,725</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(817)</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 in fair value of equity securities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(1,009)</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1,182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11,728</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28,917</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financing charges and debt discount amortization</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6,054</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7,629</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(519)</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(1,347)</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gain on fair value of prior minority ownership of Karl Lagerfeld</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(30,925)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 net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(188,258)</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(248,280)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117,815</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(355,313)</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taxes, net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35,175</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29,444</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12,636</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5,274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assets, net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(3,044)</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Customer refund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18,282</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12,740</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(43,750)</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(38,312)</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 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47,064</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(11,484)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(used in) operating activities</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226,271</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(415,330)</w:t>
            </w:r>
          </w:p>
        </w:tc>
      </w:tr>
      <w:tr>
        <w:trPr/>
        <w:tc>
          <w:tcPr>
            <w:tcW w:w="63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lease assets initial 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Investment in e-commerce retailer</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(25,000)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Investment in equity interest of private company</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(3,600)</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Investment in equity securities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(22,378)</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 of equity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22,434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 expenditures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(15,653)</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(14,803)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Acquisition of KLH, net of cash acquired</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(168,592)</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Acquisition of other foreign business, net of cash required</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(2,701)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(19,305)</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(211,125)</w:t>
            </w:r>
          </w:p>
        </w:tc>
      </w:tr>
      <w:tr>
        <w:trPr/>
        <w:tc>
          <w:tcPr>
            <w:tcW w:w="6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center"/>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center"/>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Repayment of borrowings - revolving facility</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(112,826)</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(172,513)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borrowings - revolving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32,738</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512,748</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Repayment of borrowings - LVMH Note</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(75,000)</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Repayment of borrowings - foreign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(106,100)</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(28,512)</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borrowings - foreign facilities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99,032</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36,863</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 of treasury shares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(26,100)</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(16,622)</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Taxes paid for net share settlements</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(10,828)</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(9,790)</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(199,084)</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322,174</w:t>
            </w:r>
          </w:p>
        </w:tc>
      </w:tr>
      <w:tr>
        <w:trPr/>
        <w:tc>
          <w:tcPr>
            <w:tcW w:w="6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(2,143)</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(10,984)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increase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5,739</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(315,265)</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191,652</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465,984</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197,391</w:t>
            </w:r>
          </w:p>
        </w:tc>
        <w:tc>
          <w:tcPr>
            <w:tcW w:w="344"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150,719</w:t>
            </w:r>
          </w:p>
        </w:tc>
      </w:tr>
      <w:tr>
        <w:trPr/>
        <w:tc>
          <w:tcPr>
            <w:tcW w:w="63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center"/>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center"/>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Supplemental disclosures of cash flow information</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left"/>
              <w:rPr/>
            </w:pPr>
            <w:r>
              <w:rPr/>
              <w:t>​</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left"/>
              <w:rPr/>
            </w:pPr>
            <w:r>
              <w:rPr/>
              <w:t>​</w:t>
            </w:r>
          </w:p>
        </w:tc>
      </w:tr>
      <w:tr>
        <w:trPr/>
        <w:tc>
          <w:tcPr>
            <w:tcW w:w="637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net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32,882</w:t>
            </w:r>
          </w:p>
        </w:tc>
        <w:tc>
          <w:tcPr>
            <w:tcW w:w="344"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38,391</w:t>
            </w:r>
          </w:p>
        </w:tc>
      </w:tr>
      <w:tr>
        <w:trPr/>
        <w:tc>
          <w:tcPr>
            <w:tcW w:w="637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 payments,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20,195</w:t>
            </w:r>
          </w:p>
        </w:tc>
        <w:tc>
          <w:tcPr>
            <w:tcW w:w="344"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4" w:type="dxa"/>
            <w:tcBorders/>
            <w:shd w:fill="CCEEFF" w:val="cle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4,643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The accompanying notes are an integral part of these statements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39" w:name="_f9902c6e_bdee_42fe_a4e8_6eb556a6b89e"/>
      <w:bookmarkEnd w:id="839"/>
      <w:r>
        <w:rPr>
          <w:rFonts w:ascii="Times New Roman;Times;serif" w:hAnsi="Times New Roman;Times;serif"/>
          <w:b/>
          <w:sz w:val="20"/>
        </w:rPr>
        <w:t>G-III APPAREL GROUP, LTD. AND SUBSIDIARIES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840" w:name="NOTESTOCONDENSEDCONSOLIDATED_476308"/>
      <w:bookmarkEnd w:id="840"/>
      <w:r>
        <w:rPr>
          <w:rFonts w:ascii="Times New Roman;Times;serif" w:hAnsi="Times New Roman;Times;serif"/>
          <w:b/>
          <w:sz w:val="20"/>
        </w:rPr>
        <w:t>NOTES TO CONDENSED CONSOLIDATED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NOTE 1 – BASIS OF PRESENTATION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consolidates the accounts of its wholly-owned and majority-owned subsidiaries. Fabco Holding B.V. (“Fabco”) is a Dutch joint venture limited liability company that is 75% owned by the Company and is treated as a consolidated majority-owned subsidiary. Sonia Rykiel is a wholly-owned operating subsidiary. Karl Lagerfeld Holding B.V. (“KLH”) is a Dutch limited liability company that was 19% owned by the Company through May 30, 2022 and was accounted for during that time using the equity method of accounting. Effective May 31, 2022, the Company acquired the remaining 81% interest in KLH that it did not previously own and, as a result, KLH began being treated as a consolidated wholly-owned subsidiary. KL North America B.V. (“KLNA”) is a Dutch joint venture limited liability company that was 49% owned by the Company and 51% indirectly owned by KLH through May 30, 2022 and was accounted for during that time using the equity method of accounting. Effective May 31, 2022, KLNA became an indirect wholly-owned subsidiary of the Company as a result of the Company’s acquisition of the remaining 81% interest in KLH it did not previously own. All material intercompany balances and transactions have been eliminated. The results of KLH are included in the Company’s consolidated financial statements beginning May 31, 2022.</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KLH, Vilebrequin International SA (“Vilebrequin”), a Swiss corporation that is wholly-owned by the Company, Fabco and Sonia Rykiel report results on a calendar year basis rather than on the January 31 fiscal year basis used by the Company. Accordingly, the results of KLH, Vilebrequin, Fabco and Sonia Rykiel are included in the financial statements for the quarter ended or ending closest to the Company’s fiscal quarter end. For example, with respect to the Company’s results for the nine-month period ended October 31, 2023, the results of KLH, Vilebrequin, Fabco and Sonia Rykiel are included for the nine-month period ended September 30, 2023. For the year ended January 31, 2023, the results of KLH, which includes KLNA, are included for the period from May 31, 2022 through December 31, 2022. The results of the Company’s previous 49% ownership interest in KLNA and 19% ownership interest in KLH are included for the period from January 1, 2022 through May 30, 2022. The Company’s retail operations segment reports on a 52/53 week fiscal year. For fiscal 2024 and 2023, the three and nine-month periods for the retail operations segment were each 13-week and 39-week periods, respectively, and ended on October 28, 2023 and October 29, 2022, respectively.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three and nine months ended October 31, 2023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financial statements should be read in conjunction with the financial statements and notes included in the Company’s Annual Report on Form 10-K for the fiscal year ended January 31, 2023 filed with the Securities and Exchange Commission (the “SEC”).</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841" w:name="Tc_rks8FfScXk-h_rNbAc-tZg_20_8"/>
      <w:bookmarkStart w:id="842" w:name="Tc_ethL3hZbbESaFat3bEz0-w_20_5"/>
      <w:bookmarkStart w:id="843" w:name="Tc_DqET9OwU7E2UnDEg1mVwIA_20_2"/>
      <w:bookmarkStart w:id="844" w:name="Tc_5E1LCBIwWUGHdvO-SbJBiQ_20_0"/>
      <w:bookmarkStart w:id="845" w:name="Tc_MqL0X5E4H0iia1EgJh6UrQ_19_0"/>
      <w:bookmarkStart w:id="846" w:name="Tc_3XiK-2BaYEeWedoJFdssiA_18_8"/>
      <w:bookmarkStart w:id="847" w:name="Tc_PGAJhZI_iEKDblMTvS3J6Q_18_5"/>
      <w:bookmarkStart w:id="848" w:name="Tc_mz-Ac9o0WkuHJ3hYjBUxmA_18_2"/>
      <w:bookmarkStart w:id="849" w:name="Tc_cCmw1TUgskukhO0rgwm07w_18_0"/>
      <w:bookmarkStart w:id="850" w:name="Tc__8EQ90GRfk-GRZaxPskddQ_17_2"/>
      <w:bookmarkStart w:id="851" w:name="Tc_Y6loudmohU64D9pkAKckfQ_16_8"/>
      <w:bookmarkStart w:id="852" w:name="Tc_7aRrgPxemESjzt7Xup85-A_16_5"/>
      <w:bookmarkStart w:id="853" w:name="Tc_JCw1xTIhA0u9qRba8Df9AA_16_2"/>
      <w:bookmarkStart w:id="854" w:name="Tc_TN4NXrMMCUG4-beshbt6_A_15_2"/>
      <w:bookmarkStart w:id="855" w:name="Tc_yJ1D2yVL4UOH15nCymiIEQ_13_8"/>
      <w:bookmarkStart w:id="856" w:name="Tc_rh60Q-pdjk6r7Ly8GH61jw_13_5"/>
      <w:bookmarkStart w:id="857" w:name="Tc_vEfs4hoa2UWyywqRdhsJew_13_2"/>
      <w:bookmarkStart w:id="858" w:name="Tc_zS2hiZpiyEK55WvqGT1rSA_13_0"/>
      <w:bookmarkStart w:id="859" w:name="Tc_c-IoyDZNLE6cwIl8jST3dw_12_0"/>
      <w:bookmarkStart w:id="860" w:name="Tc_CFpW9P9t6kC3VdNYIYq-yg_11_8"/>
      <w:bookmarkStart w:id="861" w:name="Tc_6wRxTFDMzkSIIZstFF0nlw_11_5"/>
      <w:bookmarkStart w:id="862" w:name="Tc_ni-7U6u2NkCKLOnZ-KesNw_11_2"/>
      <w:bookmarkStart w:id="863" w:name="Tc_2_GiJwrRyUutnFx6_rHUwA_11_0"/>
      <w:bookmarkStart w:id="864" w:name="Tc_MxbVHntuxUKMLPLEhvuDCQ_10_2"/>
      <w:bookmarkStart w:id="865" w:name="Tc_Mr2tPan9jkiVfHdk391-Qw_9_8"/>
      <w:bookmarkStart w:id="866" w:name="Tc_yOUM8H4MQ0u9RUk9xNsNQw_9_5"/>
      <w:bookmarkStart w:id="867" w:name="Tc_mXkOwmaQ5UKlUUsX7_m5vQ_9_2"/>
      <w:bookmarkStart w:id="868" w:name="Tc_l2UaMAQOqU6MQ2jPG7cOjg_8_2"/>
      <w:bookmarkStart w:id="869" w:name="Tc_dQyhRniPp0O6kbuJ3hsC6g_6_8"/>
      <w:bookmarkStart w:id="870" w:name="Tc_LGch_spwu0aeEPmUY5sjew_6_5"/>
      <w:bookmarkStart w:id="871" w:name="Tc_9HUEncjSS0OqTjMJ3ZUhug_6_2"/>
      <w:bookmarkStart w:id="872" w:name="Tc_mMzUvGZ6Z0yjo9kiBgxNSA_6_0"/>
      <w:bookmarkStart w:id="873" w:name="Tc_EcSKoSYBFkSOBvA4AEiraQ_5_0"/>
      <w:bookmarkStart w:id="874" w:name="Tc_ppbWbipyT0CNGUvkP9Qocw_4_8"/>
      <w:bookmarkStart w:id="875" w:name="Tc_4dJHirWQhEWg4YE6QhN_aw_4_5"/>
      <w:bookmarkStart w:id="876" w:name="Tc_b034h_Eu70Gh1zc0mOkxFg_4_2"/>
      <w:bookmarkStart w:id="877" w:name="Tc_nI-XozR_fUe_12vNWb_OCQ_4_0"/>
      <w:bookmarkStart w:id="878" w:name="Tc_F_4UPS9I0ki_qRR5sR0jaQ_3_2"/>
      <w:bookmarkStart w:id="879" w:name="Tc_bKc-WjrY4k21AnnIPUIhgA_2_8"/>
      <w:bookmarkStart w:id="880" w:name="Tc_aYRcW79G70GC1AxYX7qM8A_2_5"/>
      <w:bookmarkStart w:id="881" w:name="Tc_2BjOjv2YYE6uOe3QJBnLlg_2_2"/>
      <w:bookmarkStart w:id="882" w:name="Tc_pK9dslpNQkKFnji_Lt-EVQ_1_2"/>
      <w:bookmarkStart w:id="883" w:name="_8b931519_b53b_4ebb_9c12_6ffcc5e95258"/>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Pr>
          <w:rFonts w:ascii="Times New Roman;Times;serif" w:hAnsi="Times New Roman;Times;serif"/>
          <w:b/>
          <w:sz w:val="20"/>
        </w:rPr>
        <w:t>NOTE 2 – ALLOWANCE FOR DOUBTFUL ACCOUNTS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accounts receivable and allowance for doubtful accounts as of October 31, 2023, October 31, 2022 and January 31, 2023 were:</w:t>
      </w:r>
    </w:p>
    <w:p>
      <w:pPr>
        <w:pStyle w:val="TextBody"/>
        <w:bidi w:val="0"/>
        <w:spacing w:before="0" w:after="240"/>
        <w:ind w:left="0" w:right="0" w:hanging="0"/>
        <w:jc w:val="both"/>
        <w:rPr>
          <w:color w:val="212529"/>
        </w:rPr>
      </w:pPr>
      <w:r>
        <w:rPr>
          <w:color w:val="212529"/>
        </w:rPr>
        <w:t>​</w:t>
      </w:r>
    </w:p>
    <w:tbl>
      <w:tblPr>
        <w:tblW w:w="6640" w:type="dxa"/>
        <w:jc w:val="left"/>
        <w:tblInd w:w="0" w:type="dxa"/>
        <w:tblLayout w:type="fixed"/>
        <w:tblCellMar>
          <w:top w:w="0" w:type="dxa"/>
          <w:left w:w="0" w:type="dxa"/>
          <w:bottom w:w="0" w:type="dxa"/>
          <w:right w:w="0" w:type="dxa"/>
        </w:tblCellMar>
      </w:tblPr>
      <w:tblGrid>
        <w:gridCol w:w="2776"/>
        <w:gridCol w:w="326"/>
        <w:gridCol w:w="211"/>
        <w:gridCol w:w="796"/>
        <w:gridCol w:w="326"/>
        <w:gridCol w:w="211"/>
        <w:gridCol w:w="571"/>
        <w:gridCol w:w="326"/>
        <w:gridCol w:w="211"/>
        <w:gridCol w:w="8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62760" cy="175260"/>
                      <wp:effectExtent l="0" t="0" r="0" b="0"/>
                      <wp:wrapNone/>
                      <wp:docPr id="38" name="Frame38"/>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05460" cy="175260"/>
                      <wp:effectExtent l="0" t="0" r="0" b="0"/>
                      <wp:wrapNone/>
                      <wp:docPr id="41" name="Frame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62585" cy="175260"/>
                      <wp:effectExtent l="0" t="0" r="0" b="0"/>
                      <wp:wrapNone/>
                      <wp:docPr id="44" name="Frame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62610" cy="175260"/>
                      <wp:effectExtent l="0" t="0" r="0" b="0"/>
                      <wp:wrapNone/>
                      <wp:docPr id="47" name="Frame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31, 2023</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880,827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881,633</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(18,412)</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862,478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863,221</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31, 2022</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898,383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899,393</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(18,258)</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880,191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881,135</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2023</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692,033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693,260</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(18,297)</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673,796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674,963</w:t>
            </w:r>
          </w:p>
        </w:tc>
      </w:tr>
    </w:tbl>
    <w:p>
      <w:pPr>
        <w:pStyle w:val="TextBody"/>
        <w:bidi w:val="0"/>
        <w:spacing w:before="0" w:after="240"/>
        <w:ind w:left="0" w:right="0" w:hanging="0"/>
        <w:jc w:val="both"/>
        <w:rPr>
          <w:color w:val="212529"/>
        </w:rPr>
      </w:pPr>
      <w:r>
        <w:rPr>
          <w:color w:val="212529"/>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84" w:name="Tc_VuHy2y_V7kOmf2m3MWPNZQ_16_8"/>
      <w:bookmarkStart w:id="885" w:name="Tc_2NlyePO42UWbA-b9QrrFIQ_16_5"/>
      <w:bookmarkStart w:id="886" w:name="Tc_fUvJhG0dFE2CcyizCMfeVA_16_2"/>
      <w:bookmarkStart w:id="887" w:name="Tc_PNF_wVUOcU6w5V1dfc1nQQ_16_0"/>
      <w:bookmarkStart w:id="888" w:name="Tc_2OH_J6NE-kys0iOC6ATWmw_15_6"/>
      <w:bookmarkStart w:id="889" w:name="Tc_KmIJy-gI40OgtmGuFzZ3Ew_15_0"/>
      <w:bookmarkStart w:id="890" w:name="Tc_pYmiJ38c8keqjbp1MHjNEg_14_0"/>
      <w:bookmarkStart w:id="891" w:name="Tc_0Wn9gNG_-Uy0mXRdAFoGLw_13_8"/>
      <w:bookmarkStart w:id="892" w:name="Tc_N9G5Bhp1xkm78eUpsgsThQ_13_5"/>
      <w:bookmarkStart w:id="893" w:name="Tc_IHwfRQAYKE-W3hEledBQkQ_13_2"/>
      <w:bookmarkStart w:id="894" w:name="Tc_AQuTJaTc7k-0w3xBCBnKUQ_13_0"/>
      <w:bookmarkStart w:id="895" w:name="Tc_ranY1ZTTdE6GnhkmV4O5Qw_11_8"/>
      <w:bookmarkStart w:id="896" w:name="Tc_Bn7YDHysW0SViz5VXWy8lQ_11_5"/>
      <w:bookmarkStart w:id="897" w:name="Tc_oD2QlmeqjEOSmEGuhsJZ5g_11_2"/>
      <w:bookmarkStart w:id="898" w:name="Tc_PDVINkWxpEuEl4ZtmxLvCw_11_0"/>
      <w:bookmarkStart w:id="899" w:name="Tc_CBFF2f6WsUedhFG2PFrGwg_10_6"/>
      <w:bookmarkStart w:id="900" w:name="Tc_y_VdGa-c4UisqpE92OE2Cw_10_0"/>
      <w:bookmarkStart w:id="901" w:name="Tc_oV6Upfm9CU-Op0dKb_226Q_9_0"/>
      <w:bookmarkStart w:id="902" w:name="Tc_HypdcNPLEUeyw2vnnGU6bg_8_8"/>
      <w:bookmarkStart w:id="903" w:name="Tc_Ako1Gla8GECxXvANt5QbSw_8_5"/>
      <w:bookmarkStart w:id="904" w:name="Tc_xKjQ24y7pku-70ZmZCNqbw_8_2"/>
      <w:bookmarkStart w:id="905" w:name="Tc_VX4KRjo3DE2pqALX65-MGw_8_0"/>
      <w:bookmarkStart w:id="906" w:name="Tc_yFCRn8J4KESRuA0u9gNHbQ_6_8"/>
      <w:bookmarkStart w:id="907" w:name="Tc_Ob336osO2k2wJjsSzRNp1A_6_5"/>
      <w:bookmarkStart w:id="908" w:name="Tc_33HQJrafRESk0kwO45hyOQ_6_2"/>
      <w:bookmarkStart w:id="909" w:name="Tc_zJICay0EGkO2WJ4LjSmokw_6_0"/>
      <w:bookmarkStart w:id="910" w:name="Tc_OfChGo9IbU2xg5jLQiiAWA_5_6"/>
      <w:bookmarkStart w:id="911" w:name="Tc_uKhYgmbiL0-kjzJoIGuI0g_5_0"/>
      <w:bookmarkStart w:id="912" w:name="Tc_MUfHbZ88yU6DyOySClI5ww_4_0"/>
      <w:bookmarkStart w:id="913" w:name="Tc_tXjaE_GXDEi8le2PRAFOAg_3_8"/>
      <w:bookmarkStart w:id="914" w:name="Tc__IboCEorvEeLx80TmEYgJg_3_5"/>
      <w:bookmarkStart w:id="915" w:name="Tc_YxujJeM51kqWfcyim-_d4Q_3_2"/>
      <w:bookmarkStart w:id="916" w:name="Tc__0ROAw1Sh0qVbicXatDKBw_3_0"/>
      <w:bookmarkStart w:id="917" w:name="Tc_lbSt0xYNA0uTV-iEPGztcQ_2_2"/>
      <w:bookmarkStart w:id="918" w:name="Tc_Iwbxd6R8skqRy6A6yI68kA_1_8"/>
      <w:bookmarkStart w:id="919" w:name="Tc_XNc_7WI3s0uS6Fgb4d8aOQ_1_5"/>
      <w:bookmarkStart w:id="920" w:name="Tc_QBO-aomNj0-rlfZ5TD0HBQ_1_2"/>
      <w:bookmarkStart w:id="921" w:name="_c8161a9e_e633_4dce_ad71_3c0202485872"/>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Pr>
          <w:rFonts w:ascii="Times New Roman;Times;serif" w:hAnsi="Times New Roman;Times;serif"/>
          <w:sz w:val="20"/>
        </w:rPr>
        <w:t>The Company had the following activity in its allowance for credit losses:</w:t>
      </w:r>
    </w:p>
    <w:p>
      <w:pPr>
        <w:pStyle w:val="TextBody"/>
        <w:bidi w:val="0"/>
        <w:spacing w:before="0" w:after="240"/>
        <w:ind w:left="0" w:right="0" w:hanging="0"/>
        <w:jc w:val="both"/>
        <w:rPr/>
      </w:pPr>
      <w:r>
        <w:rPr/>
        <w:t>​</w:t>
      </w:r>
    </w:p>
    <w:tbl>
      <w:tblPr>
        <w:tblW w:w="6790" w:type="dxa"/>
        <w:jc w:val="left"/>
        <w:tblInd w:w="0" w:type="dxa"/>
        <w:tblLayout w:type="fixed"/>
        <w:tblCellMar>
          <w:top w:w="0" w:type="dxa"/>
          <w:left w:w="0" w:type="dxa"/>
          <w:bottom w:w="0" w:type="dxa"/>
          <w:right w:w="0" w:type="dxa"/>
        </w:tblCellMar>
      </w:tblPr>
      <w:tblGrid>
        <w:gridCol w:w="3106"/>
        <w:gridCol w:w="326"/>
        <w:gridCol w:w="211"/>
        <w:gridCol w:w="796"/>
        <w:gridCol w:w="326"/>
        <w:gridCol w:w="211"/>
        <w:gridCol w:w="436"/>
        <w:gridCol w:w="326"/>
        <w:gridCol w:w="211"/>
        <w:gridCol w:w="84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972310" cy="175260"/>
                      <wp:effectExtent l="0" t="0" r="0" b="0"/>
                      <wp:wrapNone/>
                      <wp:docPr id="48" name="Frame48"/>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5460" cy="175260"/>
                      <wp:effectExtent l="0" t="0" r="0" b="0"/>
                      <wp:wrapNone/>
                      <wp:docPr id="51" name="Frame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76860" cy="175260"/>
                      <wp:effectExtent l="0" t="0" r="0" b="0"/>
                      <wp:wrapNone/>
                      <wp:docPr id="54" name="Frame5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34035" cy="175260"/>
                      <wp:effectExtent l="0" t="0" r="0" b="0"/>
                      <wp:wrapNone/>
                      <wp:docPr id="57" name="Frame5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9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5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(18,297)</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October 31, 2023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(18,412)</w:t>
            </w:r>
          </w:p>
        </w:tc>
      </w:tr>
      <w:tr>
        <w:trPr/>
        <w:tc>
          <w:tcPr>
            <w:tcW w:w="31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(17,391)</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October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(18,258)</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(17,391)</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(18,297)</w:t>
            </w:r>
          </w:p>
        </w:tc>
      </w:tr>
    </w:tbl>
    <w:p>
      <w:pPr>
        <w:pStyle w:val="TextBody"/>
        <w:bidi w:val="0"/>
        <w:spacing w:before="0" w:after="240"/>
        <w:ind w:left="0" w:right="0" w:hanging="0"/>
        <w:jc w:val="both"/>
        <w:rPr>
          <w:color w:val="212529"/>
        </w:rPr>
      </w:pPr>
      <w:r>
        <w:rPr>
          <w:color w:val="212529"/>
        </w:rPr>
        <w:t>​</w:t>
      </w:r>
    </w:p>
    <w:p>
      <w:pPr>
        <w:pStyle w:val="TextBody"/>
        <w:bidi w:val="0"/>
        <w:spacing w:before="0" w:after="240"/>
        <w:ind w:left="0" w:right="0" w:hanging="0"/>
        <w:jc w:val="both"/>
        <w:rPr>
          <w:color w:val="212529"/>
        </w:rPr>
      </w:pPr>
      <w:r>
        <w:rPr>
          <w:color w:val="212529"/>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3 – INVENTORIES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which comprise a significant portion of the Company’s inventory,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inventory return asset, which consists of the amount of goods that are anticipated to be returned by customers, was $15.6 million, $17.1 million and $19.2 million as of October 31, 2023, October 31, 2022 and January 31, 2023, respectively. The inventory return asset is recorded within prepaid expenses and other current assets on the condensed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Inventory held on consignment by the Company’s customers totaled $7.9 million, $6.5 million and $6.6 million at October 31, 2023, October 31, 2022 and January 31, 2023, respectively. The Company reflects this inventory on its condensed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 FAIR VALUE OF FINANCIAL INSTRUMENTS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based on quoted prices (unadjusted) for identical assets or liabilities in active markets.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based on unobservable prices or valuation techniques that are significant to the fair value measurement.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22" w:name="Tc_2gFOPxYb-ECrgwoj_g0zVg_10_2"/>
      <w:bookmarkStart w:id="923" w:name="Tc_6C5inolf-Eyq2wk2EudtFA_10_0"/>
      <w:bookmarkStart w:id="924" w:name="Tc_MdTH9_5gk0aOKy_yXXSgkg_9_2"/>
      <w:bookmarkStart w:id="925" w:name="Tc_vq3KTbHwP0q6ch5JyXiCJA_9_0"/>
      <w:bookmarkStart w:id="926" w:name="Tc_jKynY3A-d0i3z4Kd9nZcnw_8_2"/>
      <w:bookmarkStart w:id="927" w:name="Tc_Of7mNUv-xUClAryrQT1sYA_8_0"/>
      <w:bookmarkStart w:id="928" w:name="Tc_trANrp_2iEWjzCNx9e8KZA_7_2"/>
      <w:bookmarkStart w:id="929" w:name="Tc_4FfMwrLuCkKSKUoaZiVR0A_7_0"/>
      <w:bookmarkStart w:id="930" w:name="Tc_VKidmzR9O0aqgKVS9lxsIQ_6_14"/>
      <w:bookmarkStart w:id="931" w:name="Tc_xNeTqEkvcku-PtedmSbjaQ_6_5"/>
      <w:bookmarkStart w:id="932" w:name="Tc_4CJfY_8fwESXgH-Yv6BDcA_6_2"/>
      <w:bookmarkStart w:id="933" w:name="Tc_AuxFcZ38Ck2J_5DpJV2frg_6_0"/>
      <w:bookmarkStart w:id="934" w:name="Tc_18XvDTOx5063W6qzSOADVg_5_19"/>
      <w:bookmarkStart w:id="935" w:name="Tc_xhUQBI3NJkC91QUctC5KtA_5_16"/>
      <w:bookmarkStart w:id="936" w:name="Tc_-wRzvKMrhkiABOfFtRd0og_5_13"/>
      <w:bookmarkStart w:id="937" w:name="Tc_nzGOnPNzuUqaW_8bGAAmzw_5_10"/>
      <w:bookmarkStart w:id="938" w:name="Tc_r3DkdwWB3UCTdOjbnUH0Pg_5_7"/>
      <w:bookmarkStart w:id="939" w:name="Tc_GmQO7e2gjkK-nOpSh8kktA_5_4"/>
      <w:bookmarkStart w:id="940" w:name="Tc_UlU-je9TPE6x3gQPNLweoQ_5_2"/>
      <w:bookmarkStart w:id="941" w:name="Tc_J1K-SCZv5UmD_ctrgFiXFQ_5_0"/>
      <w:bookmarkStart w:id="942" w:name="Tc_XYce73uwKU-zRNnmqXEJ1g_4_4"/>
      <w:bookmarkStart w:id="943" w:name="Tc_rNljV_DqbECgOtiLLm8R4w_3_19"/>
      <w:bookmarkStart w:id="944" w:name="Tc_TeJ7j2UN706gpX6HP9NArg_3_16"/>
      <w:bookmarkStart w:id="945" w:name="Tc_2unH1ZGuOEu5TXYSwNRm5g_3_13"/>
      <w:bookmarkStart w:id="946" w:name="Tc_h1RYxXgXzE-pcqIHzSmEWw_3_10"/>
      <w:bookmarkStart w:id="947" w:name="Tc_bnZxdmtUv02607Kdu__teA_3_7"/>
      <w:bookmarkStart w:id="948" w:name="Tc_mYEj5v9qLk2GYhxtymBAjA_3_4"/>
      <w:bookmarkStart w:id="949" w:name="Tc_FpV119gFvUixBd584FgeXQ_3_2"/>
      <w:bookmarkStart w:id="950" w:name="Tc_0NCh0mXA9kuRYhkRe0puYw_3_0"/>
      <w:bookmarkStart w:id="951" w:name="Tc_2p6yI3Vfq0e4W9F3I0STSg_2_19"/>
      <w:bookmarkStart w:id="952" w:name="Tc_1vkNOdBc2EeFXw4wurEeBw_2_16"/>
      <w:bookmarkStart w:id="953" w:name="Tc_DSCjN6UINUiCQJRy2P6Vpw_2_13"/>
      <w:bookmarkStart w:id="954" w:name="Tc_M4-LnKjKTU-JAECdtbp5nQ_2_10"/>
      <w:bookmarkStart w:id="955" w:name="Tc_MlYuPT78f0GzEl08wBJzjw_2_7"/>
      <w:bookmarkStart w:id="956" w:name="Tc_mzhwMkGS5ECZI836qpX6Fg_2_4"/>
      <w:bookmarkStart w:id="957" w:name="Tc_SJVJVAjBwUeflBziBmxHrg_1_13"/>
      <w:bookmarkStart w:id="958" w:name="Tc_2b-gFGvIaUW9A1FQ-_UkKw_1_4"/>
      <w:bookmarkStart w:id="959" w:name="_080e3744_5439_49e9_9516_979d83051804"/>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Times New Roman;Times;serif" w:hAnsi="Times New Roman;Times;serif"/>
          <w:sz w:val="20"/>
        </w:rPr>
        <w:t>The following table summarizes the carrying values and the estimated fair values of the Company’s debt instruments:</w:t>
      </w:r>
    </w:p>
    <w:p>
      <w:pPr>
        <w:pStyle w:val="TextBody"/>
        <w:bidi w:val="0"/>
        <w:spacing w:before="0" w:after="240"/>
        <w:ind w:left="0" w:right="0" w:hanging="0"/>
        <w:jc w:val="both"/>
        <w:rPr/>
      </w:pPr>
      <w:r>
        <w:rPr/>
        <w:t>​</w:t>
      </w:r>
    </w:p>
    <w:tbl>
      <w:tblPr>
        <w:tblW w:w="10019" w:type="dxa"/>
        <w:jc w:val="left"/>
        <w:tblInd w:w="0" w:type="dxa"/>
        <w:tblLayout w:type="fixed"/>
        <w:tblCellMar>
          <w:top w:w="0" w:type="dxa"/>
          <w:left w:w="0" w:type="dxa"/>
          <w:bottom w:w="0" w:type="dxa"/>
          <w:right w:w="0" w:type="dxa"/>
        </w:tblCellMar>
      </w:tblPr>
      <w:tblGrid>
        <w:gridCol w:w="2131"/>
        <w:gridCol w:w="109"/>
        <w:gridCol w:w="496"/>
        <w:gridCol w:w="326"/>
        <w:gridCol w:w="217"/>
        <w:gridCol w:w="803"/>
        <w:gridCol w:w="109"/>
        <w:gridCol w:w="217"/>
        <w:gridCol w:w="803"/>
        <w:gridCol w:w="109"/>
        <w:gridCol w:w="220"/>
        <w:gridCol w:w="815"/>
        <w:gridCol w:w="326"/>
        <w:gridCol w:w="217"/>
        <w:gridCol w:w="803"/>
        <w:gridCol w:w="109"/>
        <w:gridCol w:w="217"/>
        <w:gridCol w:w="803"/>
        <w:gridCol w:w="109"/>
        <w:gridCol w:w="219"/>
        <w:gridCol w:w="86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53185" cy="175260"/>
                      <wp:effectExtent l="0" t="0" r="0" b="0"/>
                      <wp:wrapNone/>
                      <wp:docPr id="58" name="Frame5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14960" cy="175260"/>
                      <wp:effectExtent l="0" t="0" r="0" b="0"/>
                      <wp:wrapNone/>
                      <wp:docPr id="60" name="Frame6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9905" cy="175260"/>
                      <wp:effectExtent l="0" t="0" r="0" b="0"/>
                      <wp:wrapNone/>
                      <wp:docPr id="61" name="Frame61"/>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9905" cy="175260"/>
                      <wp:effectExtent l="0" t="0" r="0" b="0"/>
                      <wp:wrapNone/>
                      <wp:docPr id="63" name="Frame63"/>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17525" cy="175260"/>
                      <wp:effectExtent l="0" t="0" r="0" b="0"/>
                      <wp:wrapNone/>
                      <wp:docPr id="65" name="Frame65"/>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09905" cy="175260"/>
                      <wp:effectExtent l="0" t="0" r="0" b="0"/>
                      <wp:wrapNone/>
                      <wp:docPr id="66" name="Frame66"/>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09905" cy="175260"/>
                      <wp:effectExtent l="0" t="0" r="0" b="0"/>
                      <wp:wrapNone/>
                      <wp:docPr id="68" name="Frame68"/>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46735" cy="175260"/>
                      <wp:effectExtent l="0" t="0" r="0" b="0"/>
                      <wp:wrapNone/>
                      <wp:docPr id="70" name="Frame70"/>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33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October 31, </w:t>
            </w:r>
          </w:p>
        </w:tc>
        <w:tc>
          <w:tcPr>
            <w:tcW w:w="109"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October 31,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c>
          <w:tcPr>
            <w:tcW w:w="32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October 31, </w:t>
            </w:r>
          </w:p>
        </w:tc>
        <w:tc>
          <w:tcPr>
            <w:tcW w:w="109" w:type="dxa"/>
            <w:tcBorders/>
            <w:vAlign w:val="center"/>
          </w:tcPr>
          <w:p>
            <w:pPr>
              <w:pStyle w:val="TableContents"/>
              <w:bidi w:val="0"/>
              <w:spacing w:before="0" w:after="0"/>
              <w:ind w:left="0" w:right="0" w:hanging="0"/>
              <w:jc w:val="center"/>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October 31, </w:t>
            </w:r>
          </w:p>
        </w:tc>
        <w:tc>
          <w:tcPr>
            <w:tcW w:w="109"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Financial</w:t>
            </w:r>
            <w:r>
              <w:rPr>
                <w:rFonts w:ascii="Times New Roman;Times;serif" w:hAnsi="Times New Roman;Times;serif"/>
                <w:sz w:val="16"/>
              </w:rPr>
              <w:t> </w:t>
            </w:r>
            <w:r>
              <w:rPr>
                <w:rFonts w:ascii="Times New Roman;Times;serif" w:hAnsi="Times New Roman;Times;serif"/>
                <w:b/>
                <w:sz w:val="16"/>
              </w:rPr>
              <w:t>Instrument</w:t>
            </w:r>
          </w:p>
        </w:tc>
        <w:tc>
          <w:tcPr>
            <w:tcW w:w="109"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26" w:type="dxa"/>
            <w:tcBorders/>
            <w:vAlign w:val="center"/>
          </w:tcPr>
          <w:p>
            <w:pPr>
              <w:pStyle w:val="TableContents"/>
              <w:bidi w:val="0"/>
              <w:spacing w:before="0" w:after="0"/>
              <w:ind w:left="0" w:right="0" w:hanging="0"/>
              <w:jc w:val="left"/>
              <w:rPr/>
            </w:pPr>
            <w:r>
              <w:rPr/>
              <w:t>​</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019" w:type="dxa"/>
            <w:gridSpan w:val="21"/>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57"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Secured Notes</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396,340</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379,000</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380,000</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340,235</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80,087</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340,235</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80,087</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issued to LVMH</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49,787</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119,415</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121,202</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49,350</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118,173</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119,426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9,097</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10,866</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9,097</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10,866</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credit facility</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10,416</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7,792</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10,416</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7,792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debt instruments are recorded at their carrying values in its condensed consolidated balance sheets, which may differ from their respective fair values. The fair value of the Company’s secured notes is based on their current market price as of October 31, 2023. The carrying amount of the Company’s variable rate debt approximates the fair value, as interest rates change with market rates. Furthermore, the carrying value of all other financial instruments potentially subject to valuation risk (principally consisting of cash, accounts receivable and accounts payable) also approximates fair value due to the short-term nature of these accounts.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2% note in the original principal amount of $125 million (the “LVMH Note”) issued to LVMH Moet Hennessy Louis Vuitton Inc. (“LVMH”) in connection with the acquisition of DKNY and Donna Karan was recorded on the balance sheet at a discount of $40.0 million in accordance with ASC 820 – </w:t>
      </w:r>
      <w:r>
        <w:rPr>
          <w:rFonts w:ascii="Times New Roman;Times;serif" w:hAnsi="Times New Roman;Times;serif"/>
          <w:i/>
          <w:sz w:val="20"/>
        </w:rPr>
        <w:t xml:space="preserve">Fair Value Measurements </w:t>
      </w:r>
      <w:r>
        <w:rPr>
          <w:rFonts w:ascii="Times New Roman;Times;serif" w:hAnsi="Times New Roman;Times;serif"/>
          <w:sz w:val="20"/>
        </w:rPr>
        <w:t>(“ASC 820”). For purposes of this fair value disclosure, the Company based its fair value estimate for the LVMH Note on the initial fair value as determined at the date of the acquisition of DKNY and Donna Karan and records the amortization using the effective interest method over the term of the LVMH Note. The Company repaid $75.0 million of the principal amount of the LVMH Note on June 1, 2023 and the remaining $50.0 million of such principal amount on December 1, 2023.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LVMH Note was considered a Level 3 valuation in the fair value hierarchy.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Non-Financial Assets and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r>
        <w:rPr>
          <w:rFonts w:ascii="Times New Roman;Times;serif" w:hAnsi="Times New Roman;Times;serif"/>
          <w:color w:val="212529"/>
          <w:sz w:val="20"/>
          <w:shd w:fill="FFFFFF" w:val="clear"/>
        </w:rPr>
        <w:t xml:space="preserve">During fiscal 2023, the Company recorded a $2.7 million impairment charge related to leasehold improvements, furniture and fixtures and operating lease assets at certain DKNY, Karl Lagerfeld Paris and Vilebrequin stores as a result of the performance of these stores. </w:t>
      </w:r>
    </w:p>
    <w:p>
      <w:pPr>
        <w:pStyle w:val="TextBody"/>
        <w:bidi w:val="0"/>
        <w:spacing w:before="0" w:after="240"/>
        <w:ind w:left="0" w:right="0" w:hanging="0"/>
        <w:jc w:val="both"/>
        <w:rPr>
          <w:color w:val="212529"/>
          <w:shd w:fill="FFFFFF" w:val="clear"/>
        </w:rPr>
      </w:pPr>
      <w:r>
        <w:rPr>
          <w:color w:val="212529"/>
          <w:shd w:fill="FFFFFF"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5 – LEASES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Most leases are for a term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Some leases include one or more options to renew, with renewal terms that can extend the lease term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 </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60" w:name="Tc_r7-7-qiAhESxYi7Tz5XqQw_11_2"/>
      <w:bookmarkStart w:id="961" w:name="Tc_GZ68asBmuEWlMx29iQHHiA_11_0"/>
      <w:bookmarkStart w:id="962" w:name="Tc_rWCSX8opv0mkn5ufezbMwg_10_0"/>
      <w:bookmarkStart w:id="963" w:name="Tc_L4aAUMkOkEmnqnApRDhwBw_9_2"/>
      <w:bookmarkStart w:id="964" w:name="Tc_p2ec03cg2kmrhNfDpuy_wA_9_0"/>
      <w:bookmarkStart w:id="965" w:name="Tc_-caPG_HnAkym6N1zYMCjXw_8_0"/>
      <w:bookmarkStart w:id="966" w:name="Tc_8-j0eYMd4U-5mdN94NKBDA_7_0"/>
      <w:bookmarkStart w:id="967" w:name="Tc_qGPVJi-fU0mPeI1hVFkZ8w_6_0"/>
      <w:bookmarkStart w:id="968" w:name="Tc_LxGXCqwm2ECUZuTGA1WvaQ_5_0"/>
      <w:bookmarkStart w:id="969" w:name="Tc_UoqMub2alU-VMCtZA403cA_4_0"/>
      <w:bookmarkStart w:id="970" w:name="Tc_sz9YQvzsq0ipZ30B2zGr7g_3_2"/>
      <w:bookmarkStart w:id="971" w:name="Tc_HRSZqy0wnkG9jjsTFFLdxg_3_0"/>
      <w:bookmarkStart w:id="972" w:name="Tc_dWm2IJT5JkWWyC8NUY_nAw_2_2"/>
      <w:bookmarkStart w:id="973" w:name="Tc_QcTBQcHYlUWFvT9sGHliLQ_1_2"/>
      <w:bookmarkStart w:id="974" w:name="Tc_TItU9toU6kWtMctbqs1SUw_1_0"/>
      <w:bookmarkStart w:id="975" w:name="_836005a6_c4a2_424a_92e3_e8a37ee62022"/>
      <w:bookmarkStart w:id="976" w:name="Tc_zjGdNUcw00eg4edITOb4tw_10_10"/>
      <w:bookmarkStart w:id="977" w:name="Tc_mtd9Gb32yUqGi5Kbop5zcA_10_7"/>
      <w:bookmarkStart w:id="978" w:name="Tc_TPqMXb8JxkiERtLjmBAspw_10_4"/>
      <w:bookmarkStart w:id="979" w:name="Tc_iN3Hn24FUk6pOAB_iJQUKA_10_0"/>
      <w:bookmarkStart w:id="980" w:name="Tc_Ft2ZUfGzJ06K_nvxF6g6Ig_9_0"/>
      <w:bookmarkStart w:id="981" w:name="Tc_ydvmOhPySUq2nAH28xvtrg_8_10"/>
      <w:bookmarkStart w:id="982" w:name="Tc_cfcxW_9TPkeSe-p55giOqw_8_7"/>
      <w:bookmarkStart w:id="983" w:name="Tc_xJblSWFGFUqVj1HeBxP_NQ_8_4"/>
      <w:bookmarkStart w:id="984" w:name="Tc_LQBNLdaoAk2Nuy5X5QRQCg_8_0"/>
      <w:bookmarkStart w:id="985" w:name="Tc_YhOnlvxPqkSxd_1C1LWj7A_7_0"/>
      <w:bookmarkStart w:id="986" w:name="Tc_AtdlVhDdp025uDg9T2-SQg_5_10"/>
      <w:bookmarkStart w:id="987" w:name="Tc_U7IGOclGxUOtEaOOk5cTTA_5_7"/>
      <w:bookmarkStart w:id="988" w:name="Tc_jM9JcfMGYUWtn4i5qDSEUg_5_4"/>
      <w:bookmarkStart w:id="989" w:name="Tc_oHukBfbEXU6W2KAKyISJxA_5_0"/>
      <w:bookmarkStart w:id="990" w:name="Tc_cYrza10bqkyOS1zfyN3Z1A_4_0"/>
      <w:bookmarkStart w:id="991" w:name="Tc_gGA0jQOnC0ax5RejbR6fBA_3_4"/>
      <w:bookmarkStart w:id="992" w:name="Tc_OXacw35AVEODqv0dYMRtaw_2_10"/>
      <w:bookmarkStart w:id="993" w:name="Tc_jaTOGa8VaEOYk2S6LKSSmQ_2_7"/>
      <w:bookmarkStart w:id="994" w:name="Tc_TIZLD7iBek2-tgCtHdYQwQ_2_4"/>
      <w:bookmarkStart w:id="995" w:name="Tc_RAeQ9D33_ECpLxomxTrimg_2_2"/>
      <w:bookmarkStart w:id="996" w:name="Tc_-gBZHvf9pUKJ68aR81bt2Q_2_0"/>
      <w:bookmarkStart w:id="997" w:name="_fbb4c741_8c65_40f4_a2b5_1acb2730c71d"/>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r>
        <w:rPr>
          <w:rFonts w:ascii="Times New Roman;Times;serif" w:hAnsi="Times New Roman;Times;serif"/>
          <w:sz w:val="20"/>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operating lease assets and liabilities as of October 31, 2023, October 31, 2022 and January 31, 2023 consist of the following:</w:t>
      </w:r>
    </w:p>
    <w:tbl>
      <w:tblPr>
        <w:tblW w:w="9618" w:type="dxa"/>
        <w:jc w:val="left"/>
        <w:tblInd w:w="0" w:type="dxa"/>
        <w:tblLayout w:type="fixed"/>
        <w:tblCellMar>
          <w:top w:w="0" w:type="dxa"/>
          <w:left w:w="0" w:type="dxa"/>
          <w:bottom w:w="0" w:type="dxa"/>
          <w:right w:w="0" w:type="dxa"/>
        </w:tblCellMar>
      </w:tblPr>
      <w:tblGrid>
        <w:gridCol w:w="1861"/>
        <w:gridCol w:w="109"/>
        <w:gridCol w:w="3121"/>
        <w:gridCol w:w="109"/>
        <w:gridCol w:w="293"/>
        <w:gridCol w:w="1087"/>
        <w:gridCol w:w="109"/>
        <w:gridCol w:w="293"/>
        <w:gridCol w:w="1087"/>
        <w:gridCol w:w="109"/>
        <w:gridCol w:w="277"/>
        <w:gridCol w:w="1163"/>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181735" cy="175260"/>
                      <wp:effectExtent l="0" t="0" r="0" b="0"/>
                      <wp:wrapNone/>
                      <wp:docPr id="71" name="Frame71"/>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981835" cy="175260"/>
                      <wp:effectExtent l="0" t="0" r="0" b="0"/>
                      <wp:wrapNone/>
                      <wp:docPr id="73" name="Frame73"/>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86055" cy="175260"/>
                      <wp:effectExtent l="0" t="0" r="0" b="0"/>
                      <wp:wrapNone/>
                      <wp:docPr id="75" name="Frame75"/>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0245" cy="175260"/>
                      <wp:effectExtent l="0" t="0" r="0" b="0"/>
                      <wp:wrapNone/>
                      <wp:docPr id="76" name="Frame76"/>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6055" cy="175260"/>
                      <wp:effectExtent l="0" t="0" r="0" b="0"/>
                      <wp:wrapNone/>
                      <wp:docPr id="78" name="Frame78"/>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0245" cy="175260"/>
                      <wp:effectExtent l="0" t="0" r="0" b="0"/>
                      <wp:wrapNone/>
                      <wp:docPr id="79" name="Frame79"/>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75895" cy="175260"/>
                      <wp:effectExtent l="0" t="0" r="0" b="0"/>
                      <wp:wrapNone/>
                      <wp:docPr id="81" name="Frame8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38505" cy="175260"/>
                      <wp:effectExtent l="0" t="0" r="0" b="0"/>
                      <wp:wrapNone/>
                      <wp:docPr id="82" name="Frame82"/>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pPr>
            <w:r>
              <w:rPr/>
              <w:t>​</w:t>
            </w:r>
          </w:p>
        </w:tc>
      </w:tr>
      <w:tr>
        <w:trPr/>
        <w:tc>
          <w:tcPr>
            <w:tcW w:w="1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left"/>
              <w:rPr/>
            </w:pPr>
            <w:r>
              <w:rPr/>
              <w:t>​</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 2023</w:t>
            </w:r>
          </w:p>
        </w:tc>
        <w:tc>
          <w:tcPr>
            <w:tcW w:w="109" w:type="dxa"/>
            <w:tcBorders/>
            <w:vAlign w:val="center"/>
          </w:tcPr>
          <w:p>
            <w:pPr>
              <w:pStyle w:val="TableContents"/>
              <w:bidi w:val="0"/>
              <w:spacing w:before="0" w:after="0"/>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 2022</w:t>
            </w:r>
          </w:p>
        </w:tc>
        <w:tc>
          <w:tcPr>
            <w:tcW w:w="109" w:type="dxa"/>
            <w:tcBorders/>
            <w:vAlign w:val="center"/>
          </w:tcPr>
          <w:p>
            <w:pPr>
              <w:pStyle w:val="TableContents"/>
              <w:bidi w:val="0"/>
              <w:spacing w:before="0" w:after="0"/>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2023</w:t>
            </w:r>
          </w:p>
        </w:tc>
      </w:tr>
      <w:tr>
        <w:trPr/>
        <w:tc>
          <w:tcPr>
            <w:tcW w:w="9618"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1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221,474</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216,663</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239,665</w:t>
            </w:r>
          </w:p>
        </w:tc>
      </w:tr>
      <w:tr>
        <w:trPr/>
        <w:tc>
          <w:tcPr>
            <w:tcW w:w="18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55,897</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50,645</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52,917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r>
          </w:p>
        </w:tc>
        <w:tc>
          <w:tcPr>
            <w:tcW w:w="109"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183,522</w:t>
            </w:r>
          </w:p>
        </w:tc>
        <w:tc>
          <w:tcPr>
            <w:tcW w:w="109"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185,171</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204,974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239,419</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235,816</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257,891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lease costs of $18.1 million and $55.1 million during the three and nine months ended October 31, 2023. The Company recorded lease costs of $17.1 million and $46.1 million during the three and nine months ended October 31, 2022. Lease costs are recorded within selling, general and administrative expenses in the Company’s condensed consolidated statements of operations and comprehensive income. The Company recorded variable lease costs and short-term lease costs of $6.7 million and $18.1 million for the three and nine months ended October 31, 2023. The Company recorded variable lease costs and short-term lease costs of $6.1 million and $16.7 million for the three and nine months ended October 31, 2022. Short-term lease costs are immaterial.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October 31, 2023, the Company’s maturity of operating lease liabilities in the years ending up to January 31, 2028 and thereafter are as follows:</w:t>
      </w:r>
    </w:p>
    <w:p>
      <w:pPr>
        <w:pStyle w:val="TextBody"/>
        <w:bidi w:val="0"/>
        <w:spacing w:before="0" w:after="240"/>
        <w:ind w:left="0" w:right="0" w:hanging="0"/>
        <w:jc w:val="both"/>
        <w:rPr/>
      </w:pPr>
      <w:r>
        <w:rPr/>
        <w:t>​</w:t>
      </w:r>
    </w:p>
    <w:tbl>
      <w:tblPr>
        <w:tblW w:w="3980" w:type="dxa"/>
        <w:jc w:val="left"/>
        <w:tblInd w:w="0" w:type="dxa"/>
        <w:tblLayout w:type="fixed"/>
        <w:tblCellMar>
          <w:top w:w="0" w:type="dxa"/>
          <w:left w:w="0" w:type="dxa"/>
          <w:bottom w:w="0" w:type="dxa"/>
          <w:right w:w="0" w:type="dxa"/>
        </w:tblCellMar>
      </w:tblPr>
      <w:tblGrid>
        <w:gridCol w:w="2686"/>
        <w:gridCol w:w="109"/>
        <w:gridCol w:w="228"/>
        <w:gridCol w:w="957"/>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705610" cy="175260"/>
                      <wp:effectExtent l="0" t="0" r="0" b="0"/>
                      <wp:wrapNone/>
                      <wp:docPr id="83" name="Frame83"/>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4780" cy="175260"/>
                      <wp:effectExtent l="0" t="0" r="0" b="0"/>
                      <wp:wrapNone/>
                      <wp:docPr id="85" name="Frame8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07695" cy="175260"/>
                      <wp:effectExtent l="0" t="0" r="0" b="0"/>
                      <wp:wrapNone/>
                      <wp:docPr id="86" name="Frame8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January 31,</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17,459</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72,772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59,813</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46,756</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37,635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After 2028</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60,142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294,577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55,158</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239,419</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October 31, 2023, there are no material leases that are legally binding but have not yet commenced.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October 31, 2023, the weighted average remaining lease term related to operating leases is 5.0 years. The weighted average discount rate related to operating leases is 8.5%.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amounts included in the measurement of operating lease liabilities was $53.2 million and $47.6 million during the nine months ended October 31, 2023 and 2022, respectively. Right-of-use assets obtained in exchange for lease obligations were $26.8 million and $96.7 million during the nine months ended October 31, 2023 and 2022, respectively.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NOTE 6 – KARL LAGERFELD ACQUISITION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29, 2022, the Company entered into a share purchase agreement (the “Purchase Agreement”) pursuant to which the Company agreed to acquire the remaining 81% interest in KLH that it did not already own, for an aggregate consideration of €193.4 million (approximately $207.6 million) in cash, after taking into account certain adjustments. The acquisition closed on May 31, 2022. The Company funded the purchase price from cash on hand.</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98" w:name="Tc_2TQK0pqdIkqJI3_yBa5cag_23_2"/>
      <w:bookmarkStart w:id="999" w:name="Tc_sajhNbKYwUWRGUDwiVt3jA_23_0"/>
      <w:bookmarkStart w:id="1000" w:name="Tc_8pO1WMMBXUSJceTj1Indtg_22_2"/>
      <w:bookmarkStart w:id="1001" w:name="Tc_cIUJJsKQ50SEJrPocvoaFw_22_0"/>
      <w:bookmarkStart w:id="1002" w:name="Tc_Q3ibOUj6U0yBMcfo9HXG7Q_21_0"/>
      <w:bookmarkStart w:id="1003" w:name="Tc_BQ_7DNQI6UmIUzp3UZIQww_20_0"/>
      <w:bookmarkStart w:id="1004" w:name="Tc_WE0Hw6gMOE6wNxLxnMZBgQ_19_0"/>
      <w:bookmarkStart w:id="1005" w:name="Tc_cdNuBZbytUyG4mwjnbFVBA_18_0"/>
      <w:bookmarkStart w:id="1006" w:name="Tc_iHI0VAKYbkenTURP_YkY-Q_17_0"/>
      <w:bookmarkStart w:id="1007" w:name="Tc_Br0IIaPAtkmlbSoikPqkQA_16_0"/>
      <w:bookmarkStart w:id="1008" w:name="Tc_b1ZsfDRX0kaHZwSmBbXdyA_15_0"/>
      <w:bookmarkStart w:id="1009" w:name="Tc_1AT4aiykqEueHyodCYi3tQ_14_2"/>
      <w:bookmarkStart w:id="1010" w:name="Tc_Z2WnNz38KUG8NVLcQlzqpw_14_0"/>
      <w:bookmarkStart w:id="1011" w:name="Tc_olgJDr6UCkmxc2cm0uvEog_13_0"/>
      <w:bookmarkStart w:id="1012" w:name="Tc_B9i0NyNVXE-fEPqJo346cQ_12_0"/>
      <w:bookmarkStart w:id="1013" w:name="Tc_jGs9aU7GSkGw_xNbeGuBUQ_11_0"/>
      <w:bookmarkStart w:id="1014" w:name="Tc_R1vy4Z-YxUC0AEkFBKsdMQ_10_0"/>
      <w:bookmarkStart w:id="1015" w:name="Tc_9xLmTBWn0EqKtcvFJRrD9Q_9_0"/>
      <w:bookmarkStart w:id="1016" w:name="Tc_5UUpMa4uUkWBT7E_N_yXhA_8_0"/>
      <w:bookmarkStart w:id="1017" w:name="Tc_pKNvrY0psEObD9jN-Tp71w_7_0"/>
      <w:bookmarkStart w:id="1018" w:name="Tc_JstHZCAgc0einms3gCSs5w_6_0"/>
      <w:bookmarkStart w:id="1019" w:name="Tc_G5qUuR2QTEOsQU0K70LxtA_5_0"/>
      <w:bookmarkStart w:id="1020" w:name="Tc_KpNki7XYcU2_SwJ6jn1BcA_4_0"/>
      <w:bookmarkStart w:id="1021" w:name="Tc_Xhg7wX46a0mHlXXD6Bq8WQ_3_0"/>
      <w:bookmarkStart w:id="1022" w:name="Tc_MAfTpV0haEmdxdV8xAVzAw_2_2"/>
      <w:bookmarkStart w:id="1023" w:name="Tc_fRwu0CNGTUO0c6TjWZjtxA_2_0"/>
      <w:bookmarkStart w:id="1024" w:name="Tc_HU7G6myR5USyTJJs5CA7aw_1_0"/>
      <w:bookmarkStart w:id="1025" w:name="_d75d4448_7052_48bb_8c0e_abd9ba151c12"/>
      <w:bookmarkStart w:id="1026" w:name="Tc_96xKtqVAgEK7ixQDbSpLlw_6_2"/>
      <w:bookmarkStart w:id="1027" w:name="Tc_hazu0OqXX0C2NjeaQ8i1lQ_6_0"/>
      <w:bookmarkStart w:id="1028" w:name="Tc_VrRchlGmmU-S18Od9HeXSw_5_0"/>
      <w:bookmarkStart w:id="1029" w:name="Tc_kDXfsK-4M0C8bke75dyoqw_4_0"/>
      <w:bookmarkStart w:id="1030" w:name="Tc_Yx1LKf6z4EO2VunWrxjJJw_3_0"/>
      <w:bookmarkStart w:id="1031" w:name="Tc_Z5LfBUjjo0-MQfQ6Tp17xw_2_0"/>
      <w:bookmarkStart w:id="1032" w:name="Tc_WU4o6M2TuU6LZrQgWcFmnQ_1_2"/>
      <w:bookmarkStart w:id="1033" w:name="Tc_y8pMt3K_YUKT6kO9jH0VRw_1_0"/>
      <w:bookmarkStart w:id="1034" w:name="_ff860fc1_c257_438f_98cd_ae73ad84f7ae"/>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r>
        <w:rPr>
          <w:rFonts w:ascii="Times New Roman;Times;serif" w:hAnsi="Times New Roman;Times;serif"/>
          <w:sz w:val="20"/>
        </w:rPr>
        <w:t xml:space="preserve">On May 31, 2022, the effective date of the acquisition, the Company’s previously held 19% investment in KLH and 49% investment in KLNA were remeasured at fair value using a market approach based on the purchase price of the acquisition and a discount for lack of control related to the Company’s previously held minority investment in KLH. As a result of this remeasurement, a non-cash gain of $27.1 million was recorded as of the effective date of the acquisition.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addition of Karl Lagerfeld to the Company’s portfolio of owned brands advances several of its strategic initiatives, including increasing its direct ownership of brands and their licensing opportunities and further diversifying its global presence. This acquisition offers additional opportunities to expand the Company’s international growth by further developing its European-based brands, which also include Vilebrequin and Sonia Rykiel. The Company believes that Karl Lagerfeld’s existing digital channel presence provides an opportunity for the Company to enhance its omni-channel business and further accelerate its digital initiatives.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Purchase Price Consideration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purchase price of $207.6 million, after taking into account certain adjustments, was paid from cash on hand. The purchase price has been revised to include adjustments in accordance with the Purchase Agreement.</w:t>
      </w:r>
    </w:p>
    <w:p>
      <w:pPr>
        <w:pStyle w:val="TextBody"/>
        <w:bidi w:val="0"/>
        <w:spacing w:before="0" w:after="0"/>
        <w:ind w:left="0" w:right="0" w:firstLine="40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initial purchase price and the valuation of the prior minority ownership for the acquisition of KLH is as follows (in thousands):</w:t>
      </w:r>
    </w:p>
    <w:p>
      <w:pPr>
        <w:pStyle w:val="TextBody"/>
        <w:bidi w:val="0"/>
        <w:spacing w:before="0" w:after="0"/>
        <w:ind w:left="0" w:right="0" w:hanging="0"/>
        <w:jc w:val="both"/>
        <w:rPr/>
      </w:pPr>
      <w:r>
        <w:rPr/>
        <w:t>​</w:t>
      </w:r>
    </w:p>
    <w:tbl>
      <w:tblPr>
        <w:tblW w:w="5017" w:type="dxa"/>
        <w:jc w:val="left"/>
        <w:tblInd w:w="0" w:type="dxa"/>
        <w:tblLayout w:type="fixed"/>
        <w:tblCellMar>
          <w:top w:w="0" w:type="dxa"/>
          <w:left w:w="0" w:type="dxa"/>
          <w:bottom w:w="0" w:type="dxa"/>
          <w:right w:w="0" w:type="dxa"/>
        </w:tblCellMar>
      </w:tblPr>
      <w:tblGrid>
        <w:gridCol w:w="3811"/>
        <w:gridCol w:w="109"/>
        <w:gridCol w:w="211"/>
        <w:gridCol w:w="88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419985" cy="175260"/>
                      <wp:effectExtent l="0" t="0" r="0" b="0"/>
                      <wp:wrapNone/>
                      <wp:docPr id="87" name="Frame87"/>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62610" cy="175260"/>
                      <wp:effectExtent l="0" t="0" r="0" b="0"/>
                      <wp:wrapNone/>
                      <wp:docPr id="90" name="Frame9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disbursed for the acquisition of KLH</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168,592</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cash acquired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38,499</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aggregate adjustments to purchase price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purchase price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207,607</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fair value of prior minority ownership</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102,858</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310,465</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Allocation of the Purchase Price Consideration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fair values of the assets acquired and liabilities assumed at the date of acquisition:</w:t>
      </w:r>
    </w:p>
    <w:p>
      <w:pPr>
        <w:pStyle w:val="TextBody"/>
        <w:bidi w:val="0"/>
        <w:spacing w:before="0" w:after="0"/>
        <w:ind w:left="0" w:right="0" w:hanging="0"/>
        <w:jc w:val="both"/>
        <w:rPr/>
      </w:pPr>
      <w:r>
        <w:rPr/>
        <w:t>​</w:t>
      </w:r>
    </w:p>
    <w:tbl>
      <w:tblPr>
        <w:tblW w:w="4897" w:type="dxa"/>
        <w:jc w:val="left"/>
        <w:tblInd w:w="0" w:type="dxa"/>
        <w:tblLayout w:type="fixed"/>
        <w:tblCellMar>
          <w:top w:w="0" w:type="dxa"/>
          <w:left w:w="0" w:type="dxa"/>
          <w:bottom w:w="0" w:type="dxa"/>
          <w:right w:w="0" w:type="dxa"/>
        </w:tblCellMar>
      </w:tblPr>
      <w:tblGrid>
        <w:gridCol w:w="3691"/>
        <w:gridCol w:w="109"/>
        <w:gridCol w:w="211"/>
        <w:gridCol w:w="88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343785" cy="175260"/>
                      <wp:effectExtent l="0" t="0" r="0" b="0"/>
                      <wp:wrapNone/>
                      <wp:docPr id="91" name="Frame91"/>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62610" cy="175260"/>
                      <wp:effectExtent l="0" t="0" r="0" b="0"/>
                      <wp:wrapNone/>
                      <wp:docPr id="94" name="Frame9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38,499</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28,449</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33,489</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11,545</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55,753</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84,336</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178,823</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447,003</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payable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9,175</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15,261</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58,942</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42,222</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5,233</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136,538</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fair value of acquisition consideration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310,465</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January 31, 2023, the Company recorded adjustments to the fair values of assets acquired and liabilities assumed at the date of acquisition based on additional information obtained. The Company recorded an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35" w:name="Tc_oDqDUVAxFkidyCglU_gY5g_5_2"/>
      <w:bookmarkStart w:id="1036" w:name="Tc_rMS4iB1D6EulvpjqalCjtg_4_0"/>
      <w:bookmarkStart w:id="1037" w:name="Tc_DUU0W_791keAvGIwG1DSQw_3_2"/>
      <w:bookmarkStart w:id="1038" w:name="Tc_q7LFdQRRjUOJAXx2Hhb0Og_3_0"/>
      <w:bookmarkStart w:id="1039" w:name="Tc_Sg5JleTs_k6lthoRmQb95A_2_5"/>
      <w:bookmarkStart w:id="1040" w:name="Tc_M2lfsH97ik-6GHzKdTk1ZA_2_2"/>
      <w:bookmarkStart w:id="1041" w:name="Tc_xdfuOyyepkik-xwQd17hsA_1_5"/>
      <w:bookmarkStart w:id="1042" w:name="_66b1ede9_aed6_44f4_9b60_eef209194713"/>
      <w:bookmarkEnd w:id="1035"/>
      <w:bookmarkEnd w:id="1036"/>
      <w:bookmarkEnd w:id="1037"/>
      <w:bookmarkEnd w:id="1038"/>
      <w:bookmarkEnd w:id="1039"/>
      <w:bookmarkEnd w:id="1040"/>
      <w:bookmarkEnd w:id="1041"/>
      <w:bookmarkEnd w:id="1042"/>
      <w:r>
        <w:rPr>
          <w:rFonts w:ascii="Times New Roman;Times;serif" w:hAnsi="Times New Roman;Times;serif"/>
          <w:sz w:val="20"/>
        </w:rPr>
        <w:t xml:space="preserve">additional $36.9 million in both total assets and total </w:t>
      </w:r>
      <w:r>
        <w:rPr>
          <w:rFonts w:ascii="Times New Roman;Times;serif" w:hAnsi="Times New Roman;Times;serif"/>
          <w:b w:val="false"/>
          <w:i w:val="false"/>
          <w:caps w:val="false"/>
          <w:smallCaps w:val="false"/>
          <w:sz w:val="20"/>
        </w:rPr>
        <w:t>liabilities</w:t>
      </w:r>
      <w:r>
        <w:rPr>
          <w:rFonts w:ascii="Times New Roman;Times;serif" w:hAnsi="Times New Roman;Times;serif"/>
          <w:sz w:val="20"/>
        </w:rPr>
        <w:t xml:space="preserve">, primarily related to goodwill, deferred tax assets and liabilities, operating lease assets, inventories, accounts receivable, net, accounts payable, customer relationships and operating lease liabilities.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recognized goodwill of approximately $84.3 million in connection with the acquisition of KLH. The goodwill was assigned to the Company’s wholesale operations reporting unit. In fiscal 2023, as a result of the Company’s annual impairment test, the Company recorded a $347.2 million non-cash impairment charge to fully impair the carrying value of its goodwill. This charge included all of the $84.3 million of goodwill previously recognized in connection with the acquisition of KLH. The Company made an election under Internal Revenue Code Section 338(g) to amortize the total goodwill and intangible assets over a 15 year period for income tax purposes in the United States. </w:t>
      </w:r>
    </w:p>
    <w:p>
      <w:pPr>
        <w:pStyle w:val="TextBody"/>
        <w:bidi w:val="0"/>
        <w:spacing w:before="0" w:after="0"/>
        <w:ind w:left="0" w:right="0" w:firstLine="40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 trademarks were determined using the relief from royalty method and the fair value of the customer relationships were determined using an income approach. The Company classifies these intangibles as Level 3 fair value measurements. Identifiable intangible assets acquired include the following (in thousands):</w:t>
      </w:r>
    </w:p>
    <w:p>
      <w:pPr>
        <w:pStyle w:val="TextBody"/>
        <w:bidi w:val="0"/>
        <w:spacing w:before="0" w:after="0"/>
        <w:ind w:left="0" w:right="0" w:hanging="0"/>
        <w:jc w:val="both"/>
        <w:rPr/>
      </w:pPr>
      <w:r>
        <w:rPr/>
        <w:t>​</w:t>
      </w:r>
    </w:p>
    <w:tbl>
      <w:tblPr>
        <w:tblW w:w="4856" w:type="dxa"/>
        <w:jc w:val="left"/>
        <w:tblInd w:w="0" w:type="dxa"/>
        <w:tblLayout w:type="fixed"/>
        <w:tblCellMar>
          <w:top w:w="0" w:type="dxa"/>
          <w:left w:w="0" w:type="dxa"/>
          <w:bottom w:w="0" w:type="dxa"/>
          <w:right w:w="0" w:type="dxa"/>
        </w:tblCellMar>
      </w:tblPr>
      <w:tblGrid>
        <w:gridCol w:w="1996"/>
        <w:gridCol w:w="109"/>
        <w:gridCol w:w="211"/>
        <w:gridCol w:w="781"/>
        <w:gridCol w:w="109"/>
        <w:gridCol w:w="319"/>
        <w:gridCol w:w="133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67460" cy="175260"/>
                      <wp:effectExtent l="0" t="0" r="0" b="0"/>
                      <wp:wrapNone/>
                      <wp:docPr id="95" name="Frame95"/>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2565" cy="175260"/>
                      <wp:effectExtent l="0" t="0" r="0" b="0"/>
                      <wp:wrapNone/>
                      <wp:docPr id="100" name="Frame10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45185" cy="175260"/>
                      <wp:effectExtent l="0" t="0" r="0" b="0"/>
                      <wp:wrapNone/>
                      <wp:docPr id="101" name="Frame101"/>
                      <a:graphic xmlns:a="http://schemas.openxmlformats.org/drawingml/2006/main">
                        <a:graphicData uri="http://schemas.microsoft.com/office/word/2010/wordprocessingShape">
                          <wps:wsp>
                            <wps:cNvSpPr txBox="1"/>
                            <wps:spPr>
                              <a:xfrm>
                                <a:off x="0" y="0"/>
                                <a:ext cx="84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19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Period</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178,823</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183,117</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caps w:val="false"/>
                <w:smallCaps w:val="false"/>
              </w:rPr>
            </w:pPr>
            <w:r>
              <w:rPr>
                <w:caps w:val="false"/>
                <w:smallCaps w:val="false"/>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recognized approximately $5.6 million of acquisition related costs that were expensed in fiscal 2023 and fiscal 2022. The fiscal 2023 and fiscal 2022 acquisition and integration costs were recorded within selling, general and administrative expenses in the Company’s condensed consolidated statements of operations and comprehensive income for the fiscal years ended January 31, 2023 and 2022,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assets acquired and liabilities assumed were finalized as of May 31, 2023.</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043" w:name="Tc_ZoY1aVkP10uFl-fv_4HFmg_13_11"/>
      <w:bookmarkStart w:id="1044" w:name="Tc_iDdoyq35SUu8aj6ECfjqgg_13_8"/>
      <w:bookmarkStart w:id="1045" w:name="Tc_tpmT2dv_60COX_CsPS0YFQ_13_5"/>
      <w:bookmarkStart w:id="1046" w:name="Tc_SCFOyaZdDESNk-MI9OPIlw_13_2"/>
      <w:bookmarkStart w:id="1047" w:name="Tc_UpV6yJsaZk2l0sIqErqYcg_13_0"/>
      <w:bookmarkStart w:id="1048" w:name="Tc_xY6O_uOvAUuBn4MiU76t5A_12_0"/>
      <w:bookmarkStart w:id="1049" w:name="Tc_9TRugmp110OPalT5j52mEQ_11_0"/>
      <w:bookmarkStart w:id="1050" w:name="Tc_o3Y5En4If0qZsbwvpDbEGw_10_0"/>
      <w:bookmarkStart w:id="1051" w:name="Tc_ne02bBlw1EKAcb0noXj5DQ_9_0"/>
      <w:bookmarkStart w:id="1052" w:name="Tc_Q7iHLqhHQ0KRaJ8q6ni6Ww_7_11"/>
      <w:bookmarkStart w:id="1053" w:name="Tc_qTf4067fsUG8ai2PACvlrg_7_8"/>
      <w:bookmarkStart w:id="1054" w:name="Tc_2Wjax6GGykStFBsnvr2dmw_7_5"/>
      <w:bookmarkStart w:id="1055" w:name="Tc_KAXSZtbDFkubxoaExiuQRw_7_2"/>
      <w:bookmarkStart w:id="1056" w:name="Tc_e1ATngtLTEKLdz17oxe0LA_7_0"/>
      <w:bookmarkStart w:id="1057" w:name="Tc_xKEq2pB_Z0OCZ7CyWfH86g_6_0"/>
      <w:bookmarkStart w:id="1058" w:name="Tc_iFGdeyPMUUCLq1vqzj39Zg_5_0"/>
      <w:bookmarkStart w:id="1059" w:name="Tc_2GaAPWDeOEeG3K1_MmXjNA_4_11"/>
      <w:bookmarkStart w:id="1060" w:name="Tc_AF4JRyKaukuSqhQg4S4zVw_4_8"/>
      <w:bookmarkStart w:id="1061" w:name="Tc_BT17Y2J8ZUGmu-MljGlMRQ_4_5"/>
      <w:bookmarkStart w:id="1062" w:name="Tc_GfLFylSQyUOcHxfN8whupw_4_2"/>
      <w:bookmarkStart w:id="1063" w:name="Tc_CSs5-L_4nUiaDw5BZM9TCA_4_0"/>
      <w:bookmarkStart w:id="1064" w:name="Tc_mZjXWE4J0U2iTlPX93z95g_3_2"/>
      <w:bookmarkStart w:id="1065" w:name="Tc_RVWXkWIMaU2vyMxfUqpasQ_2_11"/>
      <w:bookmarkStart w:id="1066" w:name="Tc_pBkKxwmJgUekuoXVNklfWA_2_8"/>
      <w:bookmarkStart w:id="1067" w:name="Tc_URC1t_agKkiJV2gKtB8vQQ_2_5"/>
      <w:bookmarkStart w:id="1068" w:name="Tc_TjraGasbWkivmwjUdzEj_w_2_2"/>
      <w:bookmarkStart w:id="1069" w:name="Tc_aijPyBTdvU-duNDe-K9vHQ_1_8"/>
      <w:bookmarkStart w:id="1070" w:name="Tc_ENA1kamof06F77UCLJwyug_1_2"/>
      <w:bookmarkStart w:id="1071" w:name="_b6084586_f397_4bef_9c7a_cdec9e320b43"/>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r>
        <w:rPr>
          <w:rFonts w:ascii="Times New Roman;Times;serif" w:hAnsi="Times New Roman;Times;serif"/>
          <w:b/>
          <w:sz w:val="20"/>
        </w:rPr>
        <w:t>NOTE 7 – NET INCOME PER COMMON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outstanding during the period. Approximately 8,200 and 59,200 shares of common stock have been excluded from the diluted net income per share calculation for the three and nine months ended October 31, 2023. Approximately 310,600 and 258,600 shares of common stock have been excluded from the diluted net income per share calculation for the three and nine months ended October 31, 2022. All share-based payments outstanding that vest based on the achievement of performance conditions, and for which the respective performance conditions have not been achieved, have been excluded from the diluted per share calculation.</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reconciles the numerators and denominators used in the calculation of basic and diluted net income per share:</w:t>
      </w:r>
    </w:p>
    <w:tbl>
      <w:tblPr>
        <w:tblW w:w="10205" w:type="dxa"/>
        <w:jc w:val="left"/>
        <w:tblInd w:w="0" w:type="dxa"/>
        <w:tblLayout w:type="fixed"/>
        <w:tblCellMar>
          <w:top w:w="0" w:type="dxa"/>
          <w:left w:w="0" w:type="dxa"/>
          <w:bottom w:w="0" w:type="dxa"/>
          <w:right w:w="0" w:type="dxa"/>
        </w:tblCellMar>
      </w:tblPr>
      <w:tblGrid>
        <w:gridCol w:w="4479"/>
        <w:gridCol w:w="326"/>
        <w:gridCol w:w="244"/>
        <w:gridCol w:w="906"/>
        <w:gridCol w:w="378"/>
        <w:gridCol w:w="244"/>
        <w:gridCol w:w="784"/>
        <w:gridCol w:w="326"/>
        <w:gridCol w:w="224"/>
        <w:gridCol w:w="835"/>
        <w:gridCol w:w="347"/>
        <w:gridCol w:w="224"/>
        <w:gridCol w:w="888"/>
      </w:tblGrid>
      <w:tr>
        <w:trPr/>
        <w:tc>
          <w:tcPr>
            <w:tcW w:w="4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844165" cy="175260"/>
                      <wp:effectExtent l="0" t="0" r="0" b="0"/>
                      <wp:wrapNone/>
                      <wp:docPr id="102" name="Frame102"/>
                      <a:graphic xmlns:a="http://schemas.openxmlformats.org/drawingml/2006/main">
                        <a:graphicData uri="http://schemas.microsoft.com/office/word/2010/wordprocessingShape">
                          <wps:wsp>
                            <wps:cNvSpPr txBox="1"/>
                            <wps:spPr>
                              <a:xfrm>
                                <a:off x="0" y="0"/>
                                <a:ext cx="2844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5310" cy="175260"/>
                      <wp:effectExtent l="0" t="0" r="0" b="0"/>
                      <wp:wrapNone/>
                      <wp:docPr id="103" name="Frame10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0030" cy="175260"/>
                      <wp:effectExtent l="0" t="0" r="0" b="0"/>
                      <wp:wrapNone/>
                      <wp:docPr id="104" name="Frame104"/>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7840" cy="175260"/>
                      <wp:effectExtent l="0" t="0" r="0" b="0"/>
                      <wp:wrapNone/>
                      <wp:docPr id="105" name="Frame105"/>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30225" cy="175260"/>
                      <wp:effectExtent l="0" t="0" r="0" b="0"/>
                      <wp:wrapNone/>
                      <wp:docPr id="106" name="Frame106"/>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20345" cy="175260"/>
                      <wp:effectExtent l="0" t="0" r="0" b="0"/>
                      <wp:wrapNone/>
                      <wp:docPr id="107" name="Frame10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3880" cy="175260"/>
                      <wp:effectExtent l="0" t="0" r="0" b="0"/>
                      <wp:wrapNone/>
                      <wp:docPr id="108" name="Frame108"/>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October 31, </w:t>
            </w:r>
          </w:p>
        </w:tc>
        <w:tc>
          <w:tcPr>
            <w:tcW w:w="326" w:type="dxa"/>
            <w:tcBorders/>
            <w:vAlign w:val="center"/>
          </w:tcPr>
          <w:p>
            <w:pPr>
              <w:pStyle w:val="TableContents"/>
              <w:bidi w:val="0"/>
              <w:spacing w:before="0" w:after="1"/>
              <w:ind w:left="0" w:right="0" w:hanging="0"/>
              <w:jc w:val="left"/>
              <w:rPr/>
            </w:pPr>
            <w:r>
              <w:rPr/>
              <w:t>​</w:t>
            </w:r>
          </w:p>
        </w:tc>
        <w:tc>
          <w:tcPr>
            <w:tcW w:w="25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October 31, </w:t>
            </w:r>
          </w:p>
        </w:tc>
      </w:tr>
      <w:tr>
        <w:trPr/>
        <w:tc>
          <w:tcPr>
            <w:tcW w:w="44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8" w:type="dxa"/>
            <w:tcBorders/>
            <w:vAlign w:val="center"/>
          </w:tcPr>
          <w:p>
            <w:pPr>
              <w:pStyle w:val="TableContents"/>
              <w:bidi w:val="0"/>
              <w:spacing w:before="0" w:after="1"/>
              <w:ind w:left="0" w:right="0" w:hanging="0"/>
              <w:jc w:val="left"/>
              <w:rPr/>
            </w:pPr>
            <w:r>
              <w:rPr/>
              <w:t>    </w:t>
            </w:r>
          </w:p>
        </w:tc>
        <w:tc>
          <w:tcPr>
            <w:tcW w:w="10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7"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00"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 except share and per share amounts)</w:t>
            </w:r>
          </w:p>
        </w:tc>
      </w:tr>
      <w:tr>
        <w:trPr/>
        <w:tc>
          <w:tcPr>
            <w:tcW w:w="44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127,640</w:t>
            </w:r>
          </w:p>
        </w:tc>
        <w:tc>
          <w:tcPr>
            <w:tcW w:w="378"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61,103</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147,314</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128,056</w:t>
            </w:r>
          </w:p>
        </w:tc>
      </w:tr>
      <w:tr>
        <w:trPr/>
        <w:tc>
          <w:tcPr>
            <w:tcW w:w="44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left"/>
              <w:rPr/>
            </w:pPr>
            <w:r>
              <w:rPr/>
              <w:t>​</w:t>
            </w:r>
          </w:p>
        </w:tc>
      </w:tr>
      <w:tr>
        <w:trPr/>
        <w:tc>
          <w:tcPr>
            <w:tcW w:w="44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45,723</w:t>
            </w:r>
          </w:p>
        </w:tc>
        <w:tc>
          <w:tcPr>
            <w:tcW w:w="378"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47,488</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45,904</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47,832</w:t>
            </w:r>
          </w:p>
        </w:tc>
      </w:tr>
      <w:tr>
        <w:trPr/>
        <w:tc>
          <w:tcPr>
            <w:tcW w:w="44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78"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47"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44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left"/>
              <w:rPr/>
            </w:pPr>
            <w:r>
              <w:rPr/>
              <w:t>​</w:t>
            </w:r>
          </w:p>
        </w:tc>
      </w:tr>
      <w:tr>
        <w:trPr/>
        <w:tc>
          <w:tcPr>
            <w:tcW w:w="44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left"/>
              <w:rPr/>
            </w:pPr>
            <w:r>
              <w:rPr/>
              <w:t>​</w:t>
            </w:r>
          </w:p>
        </w:tc>
      </w:tr>
      <w:tr>
        <w:trPr/>
        <w:tc>
          <w:tcPr>
            <w:tcW w:w="44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45,723</w:t>
            </w:r>
          </w:p>
        </w:tc>
        <w:tc>
          <w:tcPr>
            <w:tcW w:w="378"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47,488</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45,904</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47,832</w:t>
            </w:r>
          </w:p>
        </w:tc>
      </w:tr>
      <w:tr>
        <w:trPr/>
        <w:tc>
          <w:tcPr>
            <w:tcW w:w="44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restricted stock unit awards and stock options</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c>
          <w:tcPr>
            <w:tcW w:w="378"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w:t>
            </w:r>
          </w:p>
        </w:tc>
        <w:tc>
          <w:tcPr>
            <w:tcW w:w="347"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w:t>
            </w:r>
          </w:p>
        </w:tc>
      </w:tr>
      <w:tr>
        <w:trPr/>
        <w:tc>
          <w:tcPr>
            <w:tcW w:w="44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46,560</w:t>
            </w:r>
          </w:p>
        </w:tc>
        <w:tc>
          <w:tcPr>
            <w:tcW w:w="378"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48,475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46,992</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48,866</w:t>
            </w:r>
          </w:p>
        </w:tc>
      </w:tr>
      <w:tr>
        <w:trPr/>
        <w:tc>
          <w:tcPr>
            <w:tcW w:w="44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78"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47"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2.62</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072" w:name="_023a5ae0_2ad4_475e_bfd8_71ac6a2013cf"/>
      <w:bookmarkStart w:id="1073" w:name="Tc_kKZlPBDWokKIlGUPBC_bSw_13_8"/>
      <w:bookmarkStart w:id="1074" w:name="Tc_4PHHz8nOQ0W0EfgSBv0NCg_13_5"/>
      <w:bookmarkStart w:id="1075" w:name="Tc_k1UKUPm-4U28X3tO_uzCrw_13_2"/>
      <w:bookmarkStart w:id="1076" w:name="Tc_PZu7o775SUGqOyvPNKHVfw_13_0"/>
      <w:bookmarkStart w:id="1077" w:name="Tc_SiN4Cbs8i0WeBwWOFkIE_w_12_0"/>
      <w:bookmarkStart w:id="1078" w:name="Tc_xXELKIbtmEG1NY9FzBMSzQ_11_0"/>
      <w:bookmarkStart w:id="1079" w:name="Tc_yFQFsnQHHEa-_eorM_-R3Q_10_0"/>
      <w:bookmarkStart w:id="1080" w:name="Tc_OJRVnfkzwEaCJFWi2rKIaQ_9_0"/>
      <w:bookmarkStart w:id="1081" w:name="Tc_7LBkS4aHUU2Tu0rC-7PlJg_8_0"/>
      <w:bookmarkStart w:id="1082" w:name="Tc_UdOLkcaTq0CyCjacM5skCQ_7_0"/>
      <w:bookmarkStart w:id="1083" w:name="Tc_7RqgLqIUnkm-iCgRqKdrxA_6_0"/>
      <w:bookmarkStart w:id="1084" w:name="Tc_Afsi7xkQoU29TdDB2ErerA_5_0"/>
      <w:bookmarkStart w:id="1085" w:name="Tc_67bgcfPGkEKMcPW1UsydWA_4_3"/>
      <w:bookmarkStart w:id="1086" w:name="Tc_fWia-4KBIUeQIV5k6RDCKQ_4_0"/>
      <w:bookmarkStart w:id="1087" w:name="Tc_dRuf5wPGgkGm7CtHkS_2hA_3_8"/>
      <w:bookmarkStart w:id="1088" w:name="Tc_xY9UyL1p_EerPzdR6Vu-iQ_3_5"/>
      <w:bookmarkStart w:id="1089" w:name="Tc_VZ2oVf2gB06Tbhq4TEhPxQ_3_2"/>
      <w:bookmarkStart w:id="1090" w:name="Tc___H_6zI4wUaDgMyTLgUG6Q_3_0"/>
      <w:bookmarkStart w:id="1091" w:name="Tc_uQpIBmQAC0-8NQkbiYII0A_2_2"/>
      <w:bookmarkStart w:id="1092" w:name="Tc_fBUT5_D1v0esDLI0PVhCXg_1_8"/>
      <w:bookmarkStart w:id="1093" w:name="Tc_IH9tDsPr0kKUgyi22rbB5A_1_5"/>
      <w:bookmarkStart w:id="1094" w:name="Tc_FacWIcZzHUKV8qUYtsq_9A_1_2"/>
      <w:bookmarkStart w:id="1095" w:name="_879dac8c_0ce4_4c86_918e_8341a66a0813"/>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Pr>
          <w:rFonts w:ascii="Times New Roman;Times;serif" w:hAnsi="Times New Roman;Times;serif"/>
          <w:b/>
          <w:sz w:val="20"/>
        </w:rPr>
        <w:t>NOTE 8 – NOTES PAYABLE</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Long-term debt consists of the following:</w:t>
      </w:r>
    </w:p>
    <w:tbl>
      <w:tblPr>
        <w:tblW w:w="8014" w:type="dxa"/>
        <w:jc w:val="left"/>
        <w:tblInd w:w="0" w:type="dxa"/>
        <w:tblLayout w:type="fixed"/>
        <w:tblCellMar>
          <w:top w:w="0" w:type="dxa"/>
          <w:left w:w="0" w:type="dxa"/>
          <w:bottom w:w="0" w:type="dxa"/>
          <w:right w:w="0" w:type="dxa"/>
        </w:tblCellMar>
      </w:tblPr>
      <w:tblGrid>
        <w:gridCol w:w="2836"/>
        <w:gridCol w:w="326"/>
        <w:gridCol w:w="289"/>
        <w:gridCol w:w="1091"/>
        <w:gridCol w:w="326"/>
        <w:gridCol w:w="289"/>
        <w:gridCol w:w="1091"/>
        <w:gridCol w:w="326"/>
        <w:gridCol w:w="262"/>
        <w:gridCol w:w="1178"/>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800860" cy="175260"/>
                      <wp:effectExtent l="0" t="0" r="0" b="0"/>
                      <wp:wrapNone/>
                      <wp:docPr id="109" name="Frame109"/>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83515" cy="175260"/>
                      <wp:effectExtent l="0" t="0" r="0" b="0"/>
                      <wp:wrapNone/>
                      <wp:docPr id="111" name="Frame11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785" cy="175260"/>
                      <wp:effectExtent l="0" t="0" r="0" b="0"/>
                      <wp:wrapNone/>
                      <wp:docPr id="112" name="Frame112"/>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3515" cy="175260"/>
                      <wp:effectExtent l="0" t="0" r="0" b="0"/>
                      <wp:wrapNone/>
                      <wp:docPr id="114" name="Frame114"/>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785" cy="175260"/>
                      <wp:effectExtent l="0" t="0" r="0" b="0"/>
                      <wp:wrapNone/>
                      <wp:docPr id="115" name="Frame115"/>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6370" cy="175260"/>
                      <wp:effectExtent l="0" t="0" r="0" b="0"/>
                      <wp:wrapNone/>
                      <wp:docPr id="117" name="Frame117"/>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48030" cy="175260"/>
                      <wp:effectExtent l="0" t="0" r="0" b="0"/>
                      <wp:wrapNone/>
                      <wp:docPr id="118" name="Frame118"/>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 2023</w:t>
            </w:r>
          </w:p>
        </w:tc>
        <w:tc>
          <w:tcPr>
            <w:tcW w:w="326" w:type="dxa"/>
            <w:tcBorders/>
            <w:vAlign w:val="center"/>
          </w:tcPr>
          <w:p>
            <w:pPr>
              <w:pStyle w:val="TableContents"/>
              <w:bidi w:val="0"/>
              <w:spacing w:before="0" w:after="0"/>
              <w:ind w:left="0" w:right="0" w:hanging="0"/>
              <w:jc w:val="left"/>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 2022</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2023</w:t>
            </w:r>
          </w:p>
        </w:tc>
      </w:tr>
      <w:tr>
        <w:trPr/>
        <w:tc>
          <w:tcPr>
            <w:tcW w:w="801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5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Secured Notes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340,235</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80,087</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LVMH Note</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9,097</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10,866</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credit facility</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10,416</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7,792</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465,130</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889,761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627,402</w:t>
            </w:r>
          </w:p>
        </w:tc>
      </w:tr>
      <w:tr>
        <w:trPr/>
        <w:tc>
          <w:tcPr>
            <w:tcW w:w="28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Net debt issuance costs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(4,246)</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(5,585)</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(3,798)</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(59,099)</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(91,613)</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(135,518)</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402,846</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787,892</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483,840</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13"/>
              </w:rPr>
            </w:pPr>
            <w:r>
              <w:rPr>
                <w:rFonts w:ascii="Times New Roman;Times;serif" w:hAnsi="Times New Roman;Times;serif"/>
                <w:sz w:val="13"/>
              </w:rPr>
              <w:t>(1)</w:t>
            </w:r>
          </w:p>
        </w:tc>
        <w:tc>
          <w:tcPr>
            <w:tcW w:w="996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7"/>
              </w:rPr>
              <w:t>Does not include debt issuance costs, net of amortization, totaling $2.8 million, $4.4</w:t>
            </w:r>
            <w:r>
              <w:rPr>
                <w:caps w:val="false"/>
                <w:smallCaps w:val="false"/>
              </w:rPr>
              <w:t xml:space="preserve"> </w:t>
            </w:r>
            <w:r>
              <w:rPr>
                <w:rFonts w:ascii="Times New Roman;Times;serif" w:hAnsi="Times New Roman;Times;serif"/>
                <w:b w:val="false"/>
                <w:i w:val="false"/>
                <w:caps w:val="false"/>
                <w:smallCaps w:val="false"/>
                <w:sz w:val="17"/>
              </w:rPr>
              <w:t>million and $4.0</w:t>
            </w:r>
            <w:r>
              <w:rPr>
                <w:caps w:val="false"/>
                <w:smallCaps w:val="false"/>
              </w:rPr>
              <w:t xml:space="preserve"> </w:t>
            </w:r>
            <w:r>
              <w:rPr>
                <w:rFonts w:ascii="Times New Roman;Times;serif" w:hAnsi="Times New Roman;Times;serif"/>
                <w:b w:val="false"/>
                <w:i w:val="false"/>
                <w:caps w:val="false"/>
                <w:smallCaps w:val="false"/>
                <w:sz w:val="17"/>
              </w:rPr>
              <w:t>million as of October 31, 2023, October 31, 2022 and January 31, 2023, respectively, related to the revolving credit facility. These debt issuance costs have been deferred and are classified in assets in the accompanying condensed consolidated balance sheets in accordance with ASC 835.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Senior Secured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2020, the Company completed a private debt offering of $400 million aggregate principal amount of its 7.875% Senior Secured Notes due August 2025 (the “Notes”). The terms of the Notes are governed by an indenture (the “Indenture”), among the Company, the guarantors party thereto and U.S. Bank, National Association, as trustee and collateral agent (the “Collateral Agent”). The net proceeds of the Notes were used (i) to repay the $300 million that was outstanding under the Company’s prior term loan facility due 2022 (the “Term Loan”), (ii) to pay related fees and expenses and (iii) for general corporate purposes.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bear interest at a rate of 7.875% per year payable semi-annually in arrears on February 15 and August 15 of each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the guarantors.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issuance of the Notes and execution of the Indenture, the Company and the Guarantors entered into a pledge and security agreement (the “Pledge and Security Agreement”), among the Company, the Guarantors and the Collateral Agent.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may redeem some or all of the Notes at any time and from time to time at the redemption prices set forth in the Indenture, plus accrued and unpaid interest, if any, to, but excluding, the applicable redemption date. </w:t>
      </w:r>
    </w:p>
    <w:p>
      <w:pPr>
        <w:pStyle w:val="TextBody"/>
        <w:shd w:fill="FFFFFF" w:val="clear"/>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Second Amended and Restated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that provides for borrowings in the aggregate principal amount of up to $650 million. The Company and certain of its subsidiaries (the “Guarantors”), are Loan Guarantors under the ABL Credit Agreement.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The ABL Credit Agreement extended the maturity date of this facility from December 2021 to August 2025.</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available under the ABL Credit Agreement are subject to borrowing base formulas and overadvances as specified in the ABL Credit Agreement. Borrowings originally bore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In April 2023, the Company amended the ABL Credit Agreement to replace LIBOR with the Adjusted Term Secured Overnight Financing Rate (“SOFR”) as a successor rate. All other material terms and conditions of the ABL Credit Agreement were unchanged. Borrowings under the amended ABL Credit Agreement now bear interest, at the Borrower’s option, at the alternate base rate (defined as, for a given day, the greatest of (i) the “prime rate” in effect on such day, (ii) the NYFRB Rate (as defined in the amendment) in effect on such day plus 0.5% and (iii) the Adjusted Term SOFR (defined as an interest rate per annum equal to the Term SOFR for such interest period plus 0.10%) for a one-month interest period as published two business days prior to such day plus 1%) plus an applicable spread or the Adjusted Term SOFR Rate plus an applicable spread. The Company applied certain provisions and practical expedients of ASC 848 – Reference Rate Reform related to the transition from LIBOR to SOFR.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96" w:name="_Hlk143859499"/>
      <w:bookmarkEnd w:id="1096"/>
      <w:r>
        <w:rPr>
          <w:rFonts w:ascii="Times New Roman;Times;serif" w:hAnsi="Times New Roman;Times;serif"/>
          <w:sz w:val="20"/>
        </w:rPr>
        <w:t>The revolving credit facility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October 31, 2023, the Company was in compliance with these covenants.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October 31, 2023, the Company had no borrowings outstanding under the ABL Credit Agreement. The ABL credit agreement also includes amounts available for letters of credit. As of October 31, 2023, there were outstanding trade and standby letters of credit amounting to $2.0 million and $2.9 million, respectively.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recorded $8.0 million of debt issuance costs related to the ABL Credit Agreement. As permitted under ASC 835, the debt issuance costs have been deferred and are presented as an asset which is amortized ratably over the term of the ABL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LVMH Note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portion of the consideration for the acquisition of Donna Karan International (“DKI”), the Company issued to LVMH a junior lien secured promissory note in the principal amount of $125.0 million that bears interest at the rate of 2% per year. $75.0 million of the principal amount of the LVMH Note was repaid on June 1, 2023 and the remaining $50.0 million of such principal amount was paid on December 1, 2023. The LVMH Note is classified in current portion of notes payable in the Company’s condensed consolidated balance sheets as of October 31, 2023 and January 31, 2023. $75.0 million of the LVMH Note is classified in current portion of notes payable in the Company’s condensed consolidated balance sheet as of October 31, 2022.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ASC 820 requires the LVMH Note to be recorded at fair value at issuance. As a result, the Company recorded a $40.0 million debt discount upon issuance of the LVMH Note. This discount is being amortized as interest expense using the effective interest method over the term of the LVMH Note.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Unsecured Loans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Several of the Company’s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€0.6 million under these unsecured loans. Interest on the outstanding principal amount of the unsecured loans accrues at a fixed rate equal to 0% to 5.0% per annum, payable on either a quarterly or monthly basis. As of October 31, 2023, the Company had an aggregate outstanding balance of €8.6 million ($9.1 million) under these unsecured loans.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Overdraft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2021, T.R.B International SA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(“EURIBOR”)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October 31, 2023, TRB had an aggregate of €1.8 million ($1.9 million) drawn under these facilities.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bookmarkStart w:id="1097" w:name="_Hlk143859581"/>
      <w:bookmarkEnd w:id="1097"/>
      <w:r>
        <w:rPr>
          <w:rFonts w:ascii="Times New Roman;Times;serif" w:hAnsi="Times New Roman;Times;serif"/>
          <w:i/>
          <w:sz w:val="20"/>
        </w:rPr>
        <w:t>Foreign Credit Facility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KLH has a credit agreement with ABN AMRO Bank N.V. with a credit limit of €15.0 million which is secured by specified assets of KLH. Borrowings bear interest at the EURIBOR plus a margin of 1.7%. As of October 31, 2023, KLH had €3.9 million ($4.2 million) of borrowings outstanding under this credit facility.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9 – REVENUE RECOGNITION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accordance with ASC 606 – </w:t>
      </w:r>
      <w:r>
        <w:rPr>
          <w:rFonts w:ascii="Times New Roman;Times;serif" w:hAnsi="Times New Roman;Times;serif"/>
          <w:i/>
          <w:sz w:val="20"/>
        </w:rPr>
        <w:t>Revenue from Contracts with Customers</w:t>
      </w:r>
      <w:r>
        <w:rPr>
          <w:rFonts w:ascii="Times New Roman;Times;serif" w:hAnsi="Times New Roman;Times;serif"/>
          <w:sz w:val="20"/>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Wholesale Operations Segment. </w:t>
      </w:r>
      <w:r>
        <w:rPr>
          <w:rFonts w:ascii="Times New Roman;Times;serif" w:hAnsi="Times New Roman;Times;serif"/>
          <w:sz w:val="20"/>
        </w:rPr>
        <w:t xml:space="preserve">Wholesale revenues include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Karl Lagerfeld, G.H. Bass, Andrew Marc, Vilebrequin and Sonia Rykiel trademarks owned by the Company.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Retail Operations Segment. </w:t>
      </w:r>
      <w:r>
        <w:rPr>
          <w:rFonts w:ascii="Times New Roman;Times;serif" w:hAnsi="Times New Roman;Times;serif"/>
          <w:sz w:val="20"/>
        </w:rPr>
        <w:t xml:space="preserve">Retail store revenues are generated by direct sales to consumers through Company-operated stores and product sales through the Company’s digital channels for the DKNY, Donna Karan, Karl Lagerfeld Paris, G.H. Bass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$3.3 million, $3.3 million and $5.1 million at October 31, 2023, October 31, 2022 and January 31, 2023, respectively. The Company recognized $3.1 million in revenue for the three months ended October 31, 2023 related to contract liabilities that existed at July 31, 2023. The Company recognized $4.3 million in revenue for the nine months ended October 31, 2023 related to contract liabilities that existed at January 31, 2023. There were no contract assets recorded as of October 31, 2023, October 31, 2022 and January 31, 2023. Substantially all of the advance payments from licensees as of October 31, 2023 are expected to be recognized as revenue within the next twelve months.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98" w:name="Tc_B8pwJhqanUS-acN3_ujTiw_10_11"/>
      <w:bookmarkStart w:id="1099" w:name="Tc_z2jz55_9LEqkJ4kOPYk_LA_10_9"/>
      <w:bookmarkStart w:id="1100" w:name="Tc_n-VJ1_IDJkWMDG7aTaeWnw_10_8"/>
      <w:bookmarkStart w:id="1101" w:name="Tc_FvPOGblFikiLTdXWBW89Zg_10_5"/>
      <w:bookmarkStart w:id="1102" w:name="Tc_oXLaXc-8QUaeqrhA_KfNqA_10_2"/>
      <w:bookmarkStart w:id="1103" w:name="Tc_JmOeEcAD0UO_EDHVswC4Ew_10_0"/>
      <w:bookmarkStart w:id="1104" w:name="Tc_wuljqHvVJ0yJKzKez8fgJQ_9_9"/>
      <w:bookmarkStart w:id="1105" w:name="Tc_nkvCBOCy3kK8tFY7ZXNk-A_9_0"/>
      <w:bookmarkStart w:id="1106" w:name="Tc_QPoUpBUpZUyggLbrx01cbw_8_9"/>
      <w:bookmarkStart w:id="1107" w:name="Tc_DGND7dArh0ylFSJMyjxq7g_8_0"/>
      <w:bookmarkStart w:id="1108" w:name="Tc_tGxl1_EL60ywRsRg2_-mXQ_7_9"/>
      <w:bookmarkStart w:id="1109" w:name="Tc_nEyRzQj74UOeQ63wgC-80w_7_0"/>
      <w:bookmarkStart w:id="1110" w:name="Tc_c4KaYOuRi0yhIJCMDsvoZg_6_9"/>
      <w:bookmarkStart w:id="1111" w:name="Tc_Pi4irkhwcUqYSQc5Cq1uXQ_6_0"/>
      <w:bookmarkStart w:id="1112" w:name="Tc_XN3FvsNJCkent7ZZEFzxGg_5_0"/>
      <w:bookmarkStart w:id="1113" w:name="Tc_CJOeOdJf8EeI2c5lp7Uhmw_4_11"/>
      <w:bookmarkStart w:id="1114" w:name="Tc_dyMbUbEAGEazDqGFa99UPw_4_8"/>
      <w:bookmarkStart w:id="1115" w:name="Tc_4YxRdUtFx0627EiKBL3r_Q_4_5"/>
      <w:bookmarkStart w:id="1116" w:name="Tc_pBYS9KSpDk6_uAJKUmcexw_4_2"/>
      <w:bookmarkStart w:id="1117" w:name="Tc_6YdOGIRH9USpR6Gs_XsPKg_4_0"/>
      <w:bookmarkStart w:id="1118" w:name="Tc_POXfHWxZwUupG8VPnhAzdQ_3_2"/>
      <w:bookmarkStart w:id="1119" w:name="Tc_zpodsoybEU2kHJl2OlmMrw_2_11"/>
      <w:bookmarkStart w:id="1120" w:name="Tc_8-uG09mYs0S_dr6gTX54Fg_2_8"/>
      <w:bookmarkStart w:id="1121" w:name="Tc_xvUPI7kspki8XhXWR_klAg_2_5"/>
      <w:bookmarkStart w:id="1122" w:name="Tc_HbzySBPCT0aOnxUdv8BZOg_2_2"/>
      <w:bookmarkStart w:id="1123" w:name="Tc_gMhv5e49gki3xPdxRnVqpw_1_2"/>
      <w:bookmarkStart w:id="1124" w:name="_979b427a_fc77_414f_bbe0_77f44dd6553a"/>
      <w:bookmarkStart w:id="1125" w:name="Tc_OPuD5xuwF0-E0M4bGSCKDw_10_11"/>
      <w:bookmarkStart w:id="1126" w:name="Tc_OmfNLQOqAECee34YrT4oxQ_10_9"/>
      <w:bookmarkStart w:id="1127" w:name="Tc_7Z3rgK2wFUqfJP2L_sESig_10_8"/>
      <w:bookmarkStart w:id="1128" w:name="Tc_p1S4g4fSkkCTc6NEximQIQ_10_5"/>
      <w:bookmarkStart w:id="1129" w:name="Tc_43nMIoXkF0-1kGEjBR44nQ_10_2"/>
      <w:bookmarkStart w:id="1130" w:name="Tc_8ExnbDVvxUeiwpHovmebJA_10_0"/>
      <w:bookmarkStart w:id="1131" w:name="Tc_SH-YVqmJlU2Rb0SRAAF9YA_9_9"/>
      <w:bookmarkStart w:id="1132" w:name="Tc_BPamRTVXcUS6BfEhbWhV4w_9_6"/>
      <w:bookmarkStart w:id="1133" w:name="Tc_gpwpvO1RE0SalqKIux1Tyg_9_0"/>
      <w:bookmarkStart w:id="1134" w:name="Tc_EqcW-gEIeEeZ-8sUpcJ2mg_8_9"/>
      <w:bookmarkStart w:id="1135" w:name="Tc_F0r9Vytl70udNFSKA2sXmQ_8_0"/>
      <w:bookmarkStart w:id="1136" w:name="Tc_O0Q3KArr7EiDKgHfwEt8Jg_7_9"/>
      <w:bookmarkStart w:id="1137" w:name="Tc_nJv_tWysT0OCV-t0qQAJUg_7_0"/>
      <w:bookmarkStart w:id="1138" w:name="Tc_fbImpjSf3kuXvhmGg1HSoQ_6_9"/>
      <w:bookmarkStart w:id="1139" w:name="Tc_BsWDcnvh5ECYWA_vWGvhzQ_6_0"/>
      <w:bookmarkStart w:id="1140" w:name="Tc_42yEIA7U00C7OZqCBtHwjg_5_0"/>
      <w:bookmarkStart w:id="1141" w:name="Tc_hR7nGIUX2E6W9bqIH-UTMA_4_11"/>
      <w:bookmarkStart w:id="1142" w:name="Tc_QXWaQgDvfEq_IbZ_n0vfIw_4_8"/>
      <w:bookmarkStart w:id="1143" w:name="Tc_bVeGTxAzlk2XGdrMhwh2gA_4_5"/>
      <w:bookmarkStart w:id="1144" w:name="Tc_INALXc0xcEqRMS6ySx9cvg_4_2"/>
      <w:bookmarkStart w:id="1145" w:name="Tc_C-1K3pztyE2kXckc0BkxkA_4_0"/>
      <w:bookmarkStart w:id="1146" w:name="Tc_HYeswxpzZUmKn92gaJHptg_3_2"/>
      <w:bookmarkStart w:id="1147" w:name="Tc_UpP8CMtbXkmN9SURyuILmA_2_11"/>
      <w:bookmarkStart w:id="1148" w:name="Tc_A9rKgqQA8U-KfcX849Bn4w_2_8"/>
      <w:bookmarkStart w:id="1149" w:name="Tc_U3tZ2wcc-US9prWpcSwEGw_2_5"/>
      <w:bookmarkStart w:id="1150" w:name="Tc_2fW5wmUb3kWAboWw9IMWAQ_2_2"/>
      <w:bookmarkStart w:id="1151" w:name="Tc_BIgLPkvFTkivS4fMdH3nNA_1_2"/>
      <w:bookmarkStart w:id="1152" w:name="_0d434578_32f6_4b7d_bb60_a2a75844ca04"/>
      <w:bookmarkStart w:id="1153" w:name="Tc_zZkMcQbWJEaG6zxvwYBsXg_10_11"/>
      <w:bookmarkStart w:id="1154" w:name="Tc_inZl5efwfkKx3x3V0075Bg_10_9"/>
      <w:bookmarkStart w:id="1155" w:name="Tc_J2jgDteowkivPqAEaj8Idw_10_8"/>
      <w:bookmarkStart w:id="1156" w:name="Tc_y8JiGvpcW0OwGgczibIEZg_10_5"/>
      <w:bookmarkStart w:id="1157" w:name="Tc_eG2vrUNJuEufeqmnW6Wqfg_10_2"/>
      <w:bookmarkStart w:id="1158" w:name="Tc_sKvu6aib10aC5y0xLmW4Mw_10_0"/>
      <w:bookmarkStart w:id="1159" w:name="Tc_rcrHFTm_4E2wn5r-JWlezg_9_9"/>
      <w:bookmarkStart w:id="1160" w:name="Tc_GAvgC5ztK0Knnu10Z93luw_9_6"/>
      <w:bookmarkStart w:id="1161" w:name="Tc_2d3huv5t9EehnzhG9VnWvw_9_0"/>
      <w:bookmarkStart w:id="1162" w:name="Tc_146r9TwMIkKaBCnt7qbZhw_8_9"/>
      <w:bookmarkStart w:id="1163" w:name="Tc_QANWGxSsD0OH9YurJcbaaQ_8_0"/>
      <w:bookmarkStart w:id="1164" w:name="Tc_ZvIrvwLjeEWWiuvtHzpjkw_7_9"/>
      <w:bookmarkStart w:id="1165" w:name="Tc_vGbAy5h7U02k7OtJvIiLPA_7_0"/>
      <w:bookmarkStart w:id="1166" w:name="Tc_dgQwQL4Z0E2vZou4cjMTlw_6_9"/>
      <w:bookmarkStart w:id="1167" w:name="Tc_UbEeYm9KqUa6YE77qY5Vfw_6_0"/>
      <w:bookmarkStart w:id="1168" w:name="Tc_qO6jAii2Lk-IpB40I4oTXw_5_0"/>
      <w:bookmarkStart w:id="1169" w:name="Tc_j86-DQxubECReOmYrRH-Ow_4_11"/>
      <w:bookmarkStart w:id="1170" w:name="Tc_nAVvPldupkSYGgxjcARttg_4_8"/>
      <w:bookmarkStart w:id="1171" w:name="Tc_PB0QsXaAX0OCrk5ZS6SXJQ_4_5"/>
      <w:bookmarkStart w:id="1172" w:name="Tc_KIe7a-OuKU2KYaHjcVCMjg_4_2"/>
      <w:bookmarkStart w:id="1173" w:name="Tc_inXjLGC50Uyq992uhVRqmw_4_0"/>
      <w:bookmarkStart w:id="1174" w:name="Tc_UHZV142X4kObWY8-p9LxMA_3_2"/>
      <w:bookmarkStart w:id="1175" w:name="Tc_OmlHP-VXD0idGemomlTwyA_2_11"/>
      <w:bookmarkStart w:id="1176" w:name="Tc_kh_JraSH8Eez1Vly2vgaDQ_2_8"/>
      <w:bookmarkStart w:id="1177" w:name="Tc_TEvC5r-IIk6-rNLSi4Kf0A_2_5"/>
      <w:bookmarkStart w:id="1178" w:name="Tc_p4p3oQUPtEeoUw9HKm8YZQ_2_2"/>
      <w:bookmarkStart w:id="1179" w:name="Tc_jkIldwN2UECYIooNudiKaA_1_2"/>
      <w:bookmarkStart w:id="1180" w:name="_25566d4f_70c5_4b5c_8f40_d24f8d33c5f8"/>
      <w:bookmarkStart w:id="1181" w:name="Tc_0upa6vq3f0WKZyJlkJZpTw_10_11"/>
      <w:bookmarkStart w:id="1182" w:name="Tc_LaGZCObjSUK54B7j_hm4Iw_10_9"/>
      <w:bookmarkStart w:id="1183" w:name="Tc_riS3Ct0FkEKQfRJh6_LsLQ_10_8"/>
      <w:bookmarkStart w:id="1184" w:name="Tc__lhvCWB74kOXRO4nYWeEyw_10_5"/>
      <w:bookmarkStart w:id="1185" w:name="Tc_C-1uCwQb8k6n1KAAlMysXw_10_2"/>
      <w:bookmarkStart w:id="1186" w:name="Tc_JXdMHw_5AU-NMog_uPR2rQ_10_0"/>
      <w:bookmarkStart w:id="1187" w:name="Tc_ukuok_xETkqOUDVqhD1Y9A_9_9"/>
      <w:bookmarkStart w:id="1188" w:name="Tc_ypeYoVFjTEONrdwhrDj8RQ_9_6"/>
      <w:bookmarkStart w:id="1189" w:name="Tc_DlDEvXd270uaxfkpmZflPQ_9_0"/>
      <w:bookmarkStart w:id="1190" w:name="Tc_6ZJwl81YlEqJW_kHNmowGA_8_9"/>
      <w:bookmarkStart w:id="1191" w:name="Tc_2YWfJQ797kaZnl0CgMrIqQ_8_0"/>
      <w:bookmarkStart w:id="1192" w:name="Tc_CvJzWaQUNki7dcfUSEK5Sw_7_9"/>
      <w:bookmarkStart w:id="1193" w:name="Tc_vOaGfdAVck-OOpdMAIRNHA_7_0"/>
      <w:bookmarkStart w:id="1194" w:name="Tc_rZBK-tljQkKo6t1bkXKaZg_6_9"/>
      <w:bookmarkStart w:id="1195" w:name="Tc_qtMpFe-r3EyrVtuCylJvXA_6_0"/>
      <w:bookmarkStart w:id="1196" w:name="Tc_VCV5LSjXHkqmaZwTK-4-MA_5_0"/>
      <w:bookmarkStart w:id="1197" w:name="Tc_xc4XS5q1OU2rMCCGVFKIqA_4_11"/>
      <w:bookmarkStart w:id="1198" w:name="Tc_Nt5yAWgJI0Ce2tdj2osxMA_4_8"/>
      <w:bookmarkStart w:id="1199" w:name="Tc_oXFNbMGtWEOKTPq8rU8FUw_4_5"/>
      <w:bookmarkStart w:id="1200" w:name="Tc_FcoQLTGsNUGGdfZJ-HhNng_4_2"/>
      <w:bookmarkStart w:id="1201" w:name="Tc_fohKbGP8TEq6Q3WkfjYO2w_4_0"/>
      <w:bookmarkStart w:id="1202" w:name="Tc_fgIBuDvIGEu0eftkm-033w_3_2"/>
      <w:bookmarkStart w:id="1203" w:name="Tc_lNUfUVYGnUaRrdxXTORy1g_2_11"/>
      <w:bookmarkStart w:id="1204" w:name="Tc_oMQNuo9TTUW0btyLqHV3Yg_2_8"/>
      <w:bookmarkStart w:id="1205" w:name="Tc_igf58K2kEUurYW3Hr0cm3Q_2_5"/>
      <w:bookmarkStart w:id="1206" w:name="Tc_OtBOztt0lU6WmIwSIS1JFA_2_2"/>
      <w:bookmarkStart w:id="1207" w:name="Tc_p9DQGpJRJkOLO6JvNuKuTg_1_2"/>
      <w:bookmarkStart w:id="1208" w:name="_4e3b0e27_44ed_4574_80e4_7309f32123ab"/>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r>
        <w:rPr>
          <w:rFonts w:ascii="Times New Roman;Times;serif" w:hAnsi="Times New Roman;Times;serif"/>
          <w:b/>
          <w:sz w:val="20"/>
        </w:rPr>
        <w:t>NOTE 10 – 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reportable segments are business units that offer products through different channels of distribution. The Company has two reportable segments: wholesale operations and retail operations. The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also include revenues from license agreements related to the DKNY, Donna Karan, Karl Lagerfeld, Vilebrequin, G.H. Bass, Andrew Marc and Sonia Rykiel trademarks owned by the Company. The retail operations segment consists primarily of direct sales to consumers through Company-operated stores, which consists primarily of DKNY and Karl Lagerfeld Paris stores, as well as the digital channels for DKNY, Donna Karan, Karl Lagerfeld Paris, G.H. Bass and Wilsons Leather. Substantially all DKNY and Karl Lagerfeld Paris stores are operated as outlet stores.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segment information is presented for the three and nine month periods indicated below: </w:t>
      </w:r>
    </w:p>
    <w:p>
      <w:pPr>
        <w:pStyle w:val="TextBody"/>
        <w:bidi w:val="0"/>
        <w:spacing w:before="0" w:after="240"/>
        <w:ind w:left="0" w:right="0" w:hanging="0"/>
        <w:jc w:val="both"/>
        <w:rPr/>
      </w:pPr>
      <w:r>
        <w:rPr/>
        <w:t>​</w:t>
      </w:r>
    </w:p>
    <w:tbl>
      <w:tblPr>
        <w:tblW w:w="9801" w:type="dxa"/>
        <w:jc w:val="left"/>
        <w:tblInd w:w="0" w:type="dxa"/>
        <w:tblLayout w:type="fixed"/>
        <w:tblCellMar>
          <w:top w:w="0" w:type="dxa"/>
          <w:left w:w="0" w:type="dxa"/>
          <w:bottom w:w="0" w:type="dxa"/>
          <w:right w:w="0" w:type="dxa"/>
        </w:tblCellMar>
      </w:tblPr>
      <w:tblGrid>
        <w:gridCol w:w="4126"/>
        <w:gridCol w:w="326"/>
        <w:gridCol w:w="211"/>
        <w:gridCol w:w="931"/>
        <w:gridCol w:w="326"/>
        <w:gridCol w:w="211"/>
        <w:gridCol w:w="691"/>
        <w:gridCol w:w="326"/>
        <w:gridCol w:w="239"/>
        <w:gridCol w:w="901"/>
        <w:gridCol w:w="326"/>
        <w:gridCol w:w="211"/>
        <w:gridCol w:w="976"/>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620010" cy="175260"/>
                      <wp:effectExtent l="0" t="0" r="0" b="0"/>
                      <wp:wrapNone/>
                      <wp:docPr id="119" name="Frame119"/>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91185" cy="175260"/>
                      <wp:effectExtent l="0" t="0" r="0" b="0"/>
                      <wp:wrapNone/>
                      <wp:docPr id="120" name="Frame1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38785" cy="175260"/>
                      <wp:effectExtent l="0" t="0" r="0" b="0"/>
                      <wp:wrapNone/>
                      <wp:docPr id="122" name="Frame1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2135" cy="175260"/>
                      <wp:effectExtent l="0" t="0" r="0" b="0"/>
                      <wp:wrapNone/>
                      <wp:docPr id="123" name="Frame1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19760" cy="175260"/>
                      <wp:effectExtent l="0" t="0" r="0" b="0"/>
                      <wp:wrapNone/>
                      <wp:docPr id="125" name="Frame12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4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October 31, 2023</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80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4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1,054,303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32,711</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1,067,110</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16,640</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633,697</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417,342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16,071</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433,413</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23,045</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236,308</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6,595</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impairments and gain on lease terminations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(8,094)</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190,288</w:t>
            </w:r>
          </w:p>
        </w:tc>
      </w:tr>
    </w:tbl>
    <w:p>
      <w:pPr>
        <w:pStyle w:val="TextBody"/>
        <w:bidi w:val="0"/>
        <w:spacing w:before="0" w:after="0"/>
        <w:ind w:left="0" w:right="0" w:hanging="0"/>
        <w:jc w:val="left"/>
        <w:rPr/>
      </w:pPr>
      <w:r>
        <w:rPr/>
        <w:t>​</w:t>
      </w:r>
    </w:p>
    <w:tbl>
      <w:tblPr>
        <w:tblW w:w="9936" w:type="dxa"/>
        <w:jc w:val="left"/>
        <w:tblInd w:w="0" w:type="dxa"/>
        <w:tblLayout w:type="fixed"/>
        <w:tblCellMar>
          <w:top w:w="0" w:type="dxa"/>
          <w:left w:w="0" w:type="dxa"/>
          <w:bottom w:w="0" w:type="dxa"/>
          <w:right w:w="0" w:type="dxa"/>
        </w:tblCellMar>
      </w:tblPr>
      <w:tblGrid>
        <w:gridCol w:w="4261"/>
        <w:gridCol w:w="326"/>
        <w:gridCol w:w="211"/>
        <w:gridCol w:w="931"/>
        <w:gridCol w:w="326"/>
        <w:gridCol w:w="211"/>
        <w:gridCol w:w="691"/>
        <w:gridCol w:w="326"/>
        <w:gridCol w:w="239"/>
        <w:gridCol w:w="901"/>
        <w:gridCol w:w="326"/>
        <w:gridCol w:w="211"/>
        <w:gridCol w:w="97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705735" cy="175260"/>
                      <wp:effectExtent l="0" t="0" r="0" b="0"/>
                      <wp:wrapNone/>
                      <wp:docPr id="126" name="Frame126"/>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1185" cy="175260"/>
                      <wp:effectExtent l="0" t="0" r="0" b="0"/>
                      <wp:wrapNone/>
                      <wp:docPr id="127" name="Frame1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8785" cy="175260"/>
                      <wp:effectExtent l="0" t="0" r="0" b="0"/>
                      <wp:wrapNone/>
                      <wp:docPr id="129" name="Frame1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72135" cy="175260"/>
                      <wp:effectExtent l="0" t="0" r="0" b="0"/>
                      <wp:wrapNone/>
                      <wp:docPr id="130" name="Frame1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19760" cy="175260"/>
                      <wp:effectExtent l="0" t="0" r="0" b="0"/>
                      <wp:wrapNone/>
                      <wp:docPr id="132" name="Frame13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4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October 31, 2022</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93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4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1,069,574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1,078,299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740,734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12,975</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733,672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328,840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344,627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22,977</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239,893</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net of gain on lease terminations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97,214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041" w:type="dxa"/>
        <w:jc w:val="left"/>
        <w:tblInd w:w="0" w:type="dxa"/>
        <w:tblLayout w:type="fixed"/>
        <w:tblCellMar>
          <w:top w:w="0" w:type="dxa"/>
          <w:left w:w="0" w:type="dxa"/>
          <w:bottom w:w="0" w:type="dxa"/>
          <w:right w:w="0" w:type="dxa"/>
        </w:tblCellMar>
      </w:tblPr>
      <w:tblGrid>
        <w:gridCol w:w="4261"/>
        <w:gridCol w:w="326"/>
        <w:gridCol w:w="211"/>
        <w:gridCol w:w="931"/>
        <w:gridCol w:w="326"/>
        <w:gridCol w:w="211"/>
        <w:gridCol w:w="796"/>
        <w:gridCol w:w="326"/>
        <w:gridCol w:w="239"/>
        <w:gridCol w:w="901"/>
        <w:gridCol w:w="326"/>
        <w:gridCol w:w="211"/>
        <w:gridCol w:w="97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705735" cy="175260"/>
                      <wp:effectExtent l="0" t="0" r="0" b="0"/>
                      <wp:wrapNone/>
                      <wp:docPr id="133" name="Frame133"/>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91185" cy="175260"/>
                      <wp:effectExtent l="0" t="0" r="0" b="0"/>
                      <wp:wrapNone/>
                      <wp:docPr id="134" name="Frame1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05460" cy="175260"/>
                      <wp:effectExtent l="0" t="0" r="0" b="0"/>
                      <wp:wrapNone/>
                      <wp:docPr id="136" name="Frame1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72135" cy="175260"/>
                      <wp:effectExtent l="0" t="0" r="0" b="0"/>
                      <wp:wrapNone/>
                      <wp:docPr id="137" name="Frame13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19760" cy="175260"/>
                      <wp:effectExtent l="0" t="0" r="0" b="0"/>
                      <wp:wrapNone/>
                      <wp:docPr id="139" name="Frame13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5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October 31, 2023</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0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5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97,268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2,333,460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1,369,315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48,478</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1,373,594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48,790</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959,866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633,841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69,635</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703,476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net of gain on lease terminations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237,038</w:t>
            </w:r>
          </w:p>
        </w:tc>
      </w:tr>
    </w:tbl>
    <w:p>
      <w:pPr>
        <w:pStyle w:val="TextBody"/>
        <w:bidi w:val="0"/>
        <w:spacing w:before="0" w:after="0"/>
        <w:ind w:left="0" w:right="0" w:hanging="0"/>
        <w:jc w:val="left"/>
        <w:rPr/>
      </w:pPr>
      <w:r>
        <w:rPr/>
        <w:t>​</w:t>
      </w:r>
    </w:p>
    <w:tbl>
      <w:tblPr>
        <w:tblW w:w="10041" w:type="dxa"/>
        <w:jc w:val="left"/>
        <w:tblInd w:w="0" w:type="dxa"/>
        <w:tblLayout w:type="fixed"/>
        <w:tblCellMar>
          <w:top w:w="0" w:type="dxa"/>
          <w:left w:w="0" w:type="dxa"/>
          <w:bottom w:w="0" w:type="dxa"/>
          <w:right w:w="0" w:type="dxa"/>
        </w:tblCellMar>
      </w:tblPr>
      <w:tblGrid>
        <w:gridCol w:w="4261"/>
        <w:gridCol w:w="326"/>
        <w:gridCol w:w="211"/>
        <w:gridCol w:w="931"/>
        <w:gridCol w:w="326"/>
        <w:gridCol w:w="211"/>
        <w:gridCol w:w="796"/>
        <w:gridCol w:w="326"/>
        <w:gridCol w:w="239"/>
        <w:gridCol w:w="901"/>
        <w:gridCol w:w="326"/>
        <w:gridCol w:w="211"/>
        <w:gridCol w:w="97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705735" cy="175260"/>
                      <wp:effectExtent l="0" t="0" r="0" b="0"/>
                      <wp:wrapNone/>
                      <wp:docPr id="140" name="Frame140"/>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1185" cy="175260"/>
                      <wp:effectExtent l="0" t="0" r="0" b="0"/>
                      <wp:wrapNone/>
                      <wp:docPr id="141" name="Frame1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05460" cy="175260"/>
                      <wp:effectExtent l="0" t="0" r="0" b="0"/>
                      <wp:wrapNone/>
                      <wp:docPr id="143" name="Frame1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72135" cy="175260"/>
                      <wp:effectExtent l="0" t="0" r="0" b="0"/>
                      <wp:wrapNone/>
                      <wp:docPr id="144" name="Frame14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19760" cy="175260"/>
                      <wp:effectExtent l="0" t="0" r="0" b="0"/>
                      <wp:wrapNone/>
                      <wp:docPr id="146" name="Frame14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5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October 31, 2022</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0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5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2,338,435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87,758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2,372,300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1,564,595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42,006</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1,552,708</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773,840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819,592</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67,940</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616,351</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 net of gain on lease terminations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183,008</w:t>
            </w:r>
          </w:p>
        </w:tc>
      </w:tr>
    </w:tbl>
    <w:p>
      <w:pPr>
        <w:pStyle w:val="TextBody"/>
        <w:bidi w:val="0"/>
        <w:ind w:left="0" w:right="0" w:hanging="0"/>
        <w:jc w:val="both"/>
        <w:rPr>
          <w:rFonts w:ascii="Times New Roman;Times;serif" w:hAnsi="Times New Roman;Times;serif"/>
          <w:sz w:val="20"/>
        </w:rPr>
      </w:pPr>
      <w:r>
        <w:rPr>
          <w:rFonts w:ascii="Times New Roman;Times;serif" w:hAnsi="Times New Roman;Times;serif"/>
          <w:sz w:val="14"/>
        </w:rPr>
        <w:t>(1)</w:t>
      </w:r>
      <w:r>
        <w:rPr>
          <w:rFonts w:ascii="Times New Roman;Times;serif" w:hAnsi="Times New Roman;Times;serif"/>
          <w:sz w:val="18"/>
        </w:rPr>
        <w:t>Represents intersegment sales to the Company’s retail operations segment.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209" w:name="Tc_BKdfwjZ_H0SmMPlv5Ki5jw_10_11"/>
      <w:bookmarkStart w:id="1210" w:name="Tc_uCrFtJMLdUug0Mt4Xhrt2g_10_8"/>
      <w:bookmarkStart w:id="1211" w:name="Tc__aynbrzaPkuq1X6cbuKQaA_10_5"/>
      <w:bookmarkStart w:id="1212" w:name="Tc_734jaDGla0-mWZET55DFpw_10_2"/>
      <w:bookmarkStart w:id="1213" w:name="Tc_I_k5y3zHu0-6_uieRMXWIA_10_0"/>
      <w:bookmarkStart w:id="1214" w:name="Tc_uA9CBrGlU0KGyC_HIM29rg_9_0"/>
      <w:bookmarkStart w:id="1215" w:name="Tc__fvBL9wDaEKUNO5jsgJ3bA_8_12"/>
      <w:bookmarkStart w:id="1216" w:name="Tc_haeMCTeSG0WOdok7s5g9-w_8_11"/>
      <w:bookmarkStart w:id="1217" w:name="Tc_IRRIS_53ZEK21DauWLhioA_8_9"/>
      <w:bookmarkStart w:id="1218" w:name="Tc_feHTq7Yx70iOStfBmLNc-Q_8_8"/>
      <w:bookmarkStart w:id="1219" w:name="Tc_O8Mq1JhXg0ybOYRhiinzBg_8_6"/>
      <w:bookmarkStart w:id="1220" w:name="Tc_VBLvS_UZvkO-tfleaMg2HQ_8_5"/>
      <w:bookmarkStart w:id="1221" w:name="Tc_hQcbvtS_b0OGJn_lNq9Xwg_8_3"/>
      <w:bookmarkStart w:id="1222" w:name="Tc_iT4uYUX5vkqjTXRAArmDVQ_8_2"/>
      <w:bookmarkStart w:id="1223" w:name="Tc_AS6LijGLfkmviKZpHduUtA_8_0"/>
      <w:bookmarkStart w:id="1224" w:name="Tc_tyLN0g-JmkeoHaO6n6_QeA_6_11"/>
      <w:bookmarkStart w:id="1225" w:name="Tc_YFxm5c7xoEKza6GfQ0KTvA_6_8"/>
      <w:bookmarkStart w:id="1226" w:name="Tc_7RpC9yBpgEeygJdX74cfJg_6_5"/>
      <w:bookmarkStart w:id="1227" w:name="Tc_9NseR45040C4HTbvoeefXQ_6_2"/>
      <w:bookmarkStart w:id="1228" w:name="Tc_mW1swSq7L0Wg44rNxWe9yw_6_0"/>
      <w:bookmarkStart w:id="1229" w:name="Tc_cS5bGMZSekK0CX22mxx6UA_5_0"/>
      <w:bookmarkStart w:id="1230" w:name="Tc_n42j110FlEmV_gCbRYT1CQ_4_11"/>
      <w:bookmarkStart w:id="1231" w:name="Tc__-uaFt4ZvUSFlaDVWZwg_A_4_8"/>
      <w:bookmarkStart w:id="1232" w:name="Tc_pnb98HX0iUmrhkgCo5PWVQ_4_5"/>
      <w:bookmarkStart w:id="1233" w:name="Tc_6mMVpj2pgUmJEELCjI5p3g_4_2"/>
      <w:bookmarkStart w:id="1234" w:name="Tc_vQLnpNxE5kCf-4mkH8hxPw_4_0"/>
      <w:bookmarkStart w:id="1235" w:name="Tc_F-jyjjfPDkGq34s9HjxdEw_3_2"/>
      <w:bookmarkStart w:id="1236" w:name="Tc_If0czj4rG0CTAgdRX0ryVg_2_11"/>
      <w:bookmarkStart w:id="1237" w:name="Tc_McERd9Z7P0WF-I9ITqu0cQ_2_8"/>
      <w:bookmarkStart w:id="1238" w:name="Tc_3Qfjm05CcEiIxEwlriP7HA_2_5"/>
      <w:bookmarkStart w:id="1239" w:name="Tc_b61JFIjR00SfmSHrCe_ZQQ_2_2"/>
      <w:bookmarkStart w:id="1240" w:name="Tc_0evnCNnCZUunp1KyTXgHYw_1_8"/>
      <w:bookmarkStart w:id="1241" w:name="Tc_H7KMTGotVUaaWJhn50qZ0w_1_2"/>
      <w:bookmarkStart w:id="1242" w:name="_3c1cfa32_0a27_494b_ba4a_5d17dcbc7fd4"/>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r>
        <w:rPr>
          <w:rFonts w:ascii="Times New Roman;Times;serif" w:hAnsi="Times New Roman;Times;serif"/>
          <w:sz w:val="20"/>
        </w:rPr>
        <w:t>The total net sales by licensed and proprietary product sales for each of the Company’s reportable segments are as follows:</w:t>
      </w:r>
    </w:p>
    <w:p>
      <w:pPr>
        <w:pStyle w:val="TextBody"/>
        <w:bidi w:val="0"/>
        <w:spacing w:before="0" w:after="0"/>
        <w:ind w:left="0" w:right="0" w:hanging="0"/>
        <w:jc w:val="both"/>
        <w:rPr/>
      </w:pPr>
      <w:r>
        <w:rPr/>
        <w:t>​</w:t>
      </w:r>
    </w:p>
    <w:tbl>
      <w:tblPr>
        <w:tblW w:w="8745" w:type="dxa"/>
        <w:jc w:val="left"/>
        <w:tblInd w:w="0" w:type="dxa"/>
        <w:tblLayout w:type="fixed"/>
        <w:tblCellMar>
          <w:top w:w="0" w:type="dxa"/>
          <w:left w:w="0" w:type="dxa"/>
          <w:bottom w:w="0" w:type="dxa"/>
          <w:right w:w="0" w:type="dxa"/>
        </w:tblCellMar>
      </w:tblPr>
      <w:tblGrid>
        <w:gridCol w:w="1876"/>
        <w:gridCol w:w="326"/>
        <w:gridCol w:w="255"/>
        <w:gridCol w:w="1125"/>
        <w:gridCol w:w="326"/>
        <w:gridCol w:w="255"/>
        <w:gridCol w:w="1125"/>
        <w:gridCol w:w="326"/>
        <w:gridCol w:w="255"/>
        <w:gridCol w:w="1125"/>
        <w:gridCol w:w="326"/>
        <w:gridCol w:w="253"/>
        <w:gridCol w:w="1172"/>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191260" cy="175260"/>
                      <wp:effectExtent l="0" t="0" r="0" b="0"/>
                      <wp:wrapNone/>
                      <wp:docPr id="147" name="Frame147"/>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14375" cy="175260"/>
                      <wp:effectExtent l="0" t="0" r="0" b="0"/>
                      <wp:wrapNone/>
                      <wp:docPr id="148" name="Frame148"/>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14375" cy="175260"/>
                      <wp:effectExtent l="0" t="0" r="0" b="0"/>
                      <wp:wrapNone/>
                      <wp:docPr id="150" name="Frame150"/>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14375" cy="175260"/>
                      <wp:effectExtent l="0" t="0" r="0" b="0"/>
                      <wp:wrapNone/>
                      <wp:docPr id="151" name="Frame151"/>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44220" cy="175260"/>
                      <wp:effectExtent l="0" t="0" r="0" b="0"/>
                      <wp:wrapNone/>
                      <wp:docPr id="153" name="Frame153"/>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313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 2023</w:t>
            </w:r>
          </w:p>
        </w:tc>
        <w:tc>
          <w:tcPr>
            <w:tcW w:w="326" w:type="dxa"/>
            <w:tcBorders/>
            <w:vAlign w:val="center"/>
          </w:tcPr>
          <w:p>
            <w:pPr>
              <w:pStyle w:val="TableContents"/>
              <w:bidi w:val="0"/>
              <w:spacing w:before="0" w:after="0"/>
              <w:ind w:left="0" w:right="0" w:hanging="0"/>
              <w:jc w:val="left"/>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 2022</w:t>
            </w:r>
          </w:p>
        </w:tc>
        <w:tc>
          <w:tcPr>
            <w:tcW w:w="326" w:type="dxa"/>
            <w:tcBorders/>
            <w:vAlign w:val="center"/>
          </w:tcPr>
          <w:p>
            <w:pPr>
              <w:pStyle w:val="TableContents"/>
              <w:bidi w:val="0"/>
              <w:spacing w:before="0" w:after="0"/>
              <w:ind w:left="0" w:right="0" w:hanging="0"/>
              <w:jc w:val="left"/>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 2023</w:t>
            </w:r>
          </w:p>
        </w:tc>
        <w:tc>
          <w:tcPr>
            <w:tcW w:w="326" w:type="dxa"/>
            <w:tcBorders/>
            <w:vAlign w:val="center"/>
          </w:tcPr>
          <w:p>
            <w:pPr>
              <w:pStyle w:val="TableContents"/>
              <w:bidi w:val="0"/>
              <w:spacing w:before="0" w:after="0"/>
              <w:ind w:left="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 2022</w:t>
            </w:r>
          </w:p>
        </w:tc>
      </w:tr>
      <w:tr>
        <w:trPr/>
        <w:tc>
          <w:tcPr>
            <w:tcW w:w="874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54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Licensed brands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625,231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669,408</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1,261,894</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1,403,142</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429,072</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400,166</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1,018,497</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935,293</w:t>
            </w:r>
          </w:p>
        </w:tc>
      </w:tr>
      <w:tr>
        <w:trPr/>
        <w:tc>
          <w:tcPr>
            <w:tcW w:w="18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Wholesale 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1,054,303</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1,069,574</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2,280,391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2,338,435</w: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Licensed brands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32,711</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28,762</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97,268</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87,758</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28,762</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97,268</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87,758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As of May 31, 2022, the Company acquired the remaining interests in KLH (Karl Lagerfeld branded product) that it did not already own. Net sales of Karl Lagerfeld product were included in licensed brands net sales of the wholesale operations segment through May 31, 2022. Subsequent to May 31, 2022, net sales of Karl Lagerfeld product are included in proprietary brands net sales of the wholesale operations segment. </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 – STOCKHOLDERS’ EQUITY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October 31, 2023, the Company issued no shares of common stock and utilized 4,354 shares of treasury stock in connection with the vesting of equity awards. For the three months ended October 31, 2022, the Company issued no shares of common stock and utilized 2,366 shares of treasury stock in connection with the vesting of equity awards. For the nine months ended October 31, 2023, the Company issued no shares of common stock and utilized 608,325 shares of treasury stock in connection with the vesting of equity awards. For the nine months ended October 31, 2022, the Company issued no shares of common stock and utilized 385,485 shares of treasury stock in connection with the vesting of equity awards.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43" w:name="_Hlk135919975"/>
      <w:bookmarkEnd w:id="1243"/>
      <w:r>
        <w:rPr>
          <w:rFonts w:ascii="Times New Roman;Times;serif" w:hAnsi="Times New Roman;Times;serif"/>
          <w:b/>
          <w:sz w:val="20"/>
        </w:rPr>
        <w:t>NOTE 12 – CANADIAN CUSTOMS DUTY EXAMINATION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 accordance with a favorable ruling by the Canadian International Trade Tribunal, in fiscal 2023 and fiscal 2024, G-III Canada received refunds from the </w:t>
      </w:r>
      <w:r>
        <w:rPr>
          <w:rFonts w:ascii="Times New Roman;Times;serif" w:hAnsi="Times New Roman;Times;serif"/>
          <w:sz w:val="20"/>
        </w:rPr>
        <w:t>Canada Border Service Agency (“CBSA”) in the aggregate amount</w:t>
      </w:r>
      <w:r>
        <w:rPr>
          <w:rFonts w:ascii="Times New Roman;Times;serif" w:hAnsi="Times New Roman;Times;serif"/>
          <w:sz w:val="20"/>
          <w:shd w:fill="FFFFFF" w:val="clear"/>
        </w:rPr>
        <w:t xml:space="preserve"> of CAD$2.7 million ($2.0 million), including interest and net of a dutiable design assist, for amounts paid by G-III Canada to the CBSA between February 1, 2014 and January 31, 2018. G-III Canada has filed adjustment requests with the CBSA for the period from February 1, 2018 to January 31, 2022 to amend declared dutiable values. These amendments are expected to result in an additional refund of duty and interest, net of refunds already received, from the CBSA of approximately CAD$12.4 million ($8.9 million) plus related interest. These amounts are recorded within other assets, net in the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13 – RECENT ADOPTED AND ISSUED ACCOUNTING PRONOUNCEMENTS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Recently Adopted Accounting Guidance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was no accounting guidance adopted during the three months ended October 31, 2023.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Issued Accounting Guidance Being Evaluated for Adoption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reviewed all recently issued accounting pronouncements and concluded that they were either not applicable or not expected to have a significant impact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14 – RELATED PARTY TRANSACTION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June 2023, the Company entered into a stock sale and purchase agreement (the “Agreement”) with Sammy Aaron, the Company’s Vice Chairman and President and a Director of the Company. Pursuant to the Agreement, the Company purchased from Mr. Aaron 208,943 shares of its common stock for $4.1 million at a price equal to the closing price of the Company’s shares on the date of the Agreement.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NOTE 15 – EMPLOYMENT AGREEMENTS</w:t>
      </w:r>
      <w:r>
        <w:rPr>
          <w:rFonts w:ascii="Times New Roman;Times;serif" w:hAnsi="Times New Roman;Times;serif"/>
          <w:sz w:val="20"/>
          <w:shd w:fill="FFFF00" w:val="clear"/>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9, 2023, the Company entered into a new employment agreement with Morris Goldfarb, its Chairman and Chief Executive Officer. The employment agreement included provisions, among others, that (i) changed the structure of Mr. Goldfarb’s annual cash incentive that are designed to align with current market practice and reduce the size of the annual cash incentive, (ii) changed the mix of annual cash compensation and annual equity grants in a manner that increases the weighting of equity compared to cash and encourages long-term performance and shareholder value creation, and (iii) in recognition of the significant reduction in the annual cash incentive agreed to by Mr. Goldfarb, provide for a grant of 700,000 performance share units (PSUs) that may be earned over three years if certain stock price and relative total shareholder return targets are achieved.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29, 2023, the Company entered into a new employment agreement with Sammy Aaron, its Vice Chairman and President. The employment agreement included provisions, among others, that (i) changed to the structure of Mr. Aaron’s annual cash incentive that are designed to align with current market practice and to reduce the size of the annual cash incentive, (ii) changed the mix of annual cash compensation and annual equity grants in a manner that increases the weighting of equity compared to cash and encourages long-term performance and shareholder value creation and (iii) in recognition of the significant reduction in the annual cash incentive agreed to by Mr. Aaron, provides for a special bonus of $2,000,000 that was paid shortly after the new employment agreement was entered into and a retention bonus of $1,000,000 payable if, as of January 31, 2025, the Company has not terminated the employment agreement for “cause” or he has not terminated the employment agreement without “cause” or without “Good Reason” (each of the terms as defined in the employment agreement).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44" w:name="Item2ManagementsDiscussion_401041"/>
      <w:bookmarkStart w:id="1245" w:name="_2246cf78_f628_4f07_b308_2826b0a67df7"/>
      <w:bookmarkEnd w:id="1244"/>
      <w:bookmarkEnd w:id="1245"/>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Unless the context otherwise requires, “G-III,” “us,” “we” and “our” refer to G-III Apparel Group, Ltd. and its subsidiaries. References to fiscal years refer to the year ended or ending on January 31 of that year. For example, our fiscal year ending January 31, 2024 is referred to as “fiscal 2024.”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KLH, Vilebrequin, Fabco and Sonia Rykiel report results on a calendar year basis rather than on the January 31 fiscal year basis used by G-III. Accordingly, the results of KLH, Vilebrequin, Fabco and Sonia Rykiel are included in the financial statements for the quarter ended or ending closest to G-III’s fiscal quarter end. For example, with respect to our results for the nine-month period ended October 31, 2023, the results of KLH, Vilebrequin, Fabco and Sonia Rykiel are included for the nine-month period ended September 30, 2023. We accounted for our investment in each of KLH and KLNA using the equity method of accounting through May 30, 2022. Effective May 31, 2022, KLH is accounted for as our consolidated wholly-owned subsidiary and KLNA is an indirect wholly-owned subsidiary of ours. Our retail operations segment uses a 52/53-week fiscal year. For fiscal 2024 and 2023, the three and nine-month periods for the retail operations segment were each 13-week and 39-week periods, respectively, and ended on October 28, 2023 and October 29, 2022,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failure to maintain our material license agreements could cause us to lose significant revenues and have a material adverse effect on our results of operations;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are able to increase the sales of our other products, acquire new businesses and/or enter into other license agreements covering different products, the limited extension period of the amended Calvin Klein and Tommy Hilfiger license agreements could cause a significant decrease in our net sales and have a material adverse effect on our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in our relationship with PVH Corp. and its Calvin Klein or Tommy Hilfiger brands would have a material adverse effect on our results of operations;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the strategies and reputation of our licensors;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wholesale operations including, among others, maintaining the image of our proprietary brands, business practices of our customers that could adversely affect us and retail customer concentration;</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retail operations segment;</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operating enhancements and cost reductions from our retail operations;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existing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strategic acquisitions and possible disruptions from acquisitions, including our ownership of the entire Karl Lagerfeld business;</w:t>
            </w:r>
          </w:p>
        </w:tc>
      </w:tr>
    </w:tbl>
    <w:tbl>
      <w:tblPr>
        <w:tblW w:w="2961" w:type="dxa"/>
        <w:jc w:val="left"/>
        <w:tblInd w:w="0" w:type="dxa"/>
        <w:tblLayout w:type="fixed"/>
        <w:tblCellMar>
          <w:top w:w="28" w:type="dxa"/>
          <w:left w:w="28" w:type="dxa"/>
          <w:bottom w:w="28" w:type="dxa"/>
          <w:right w:w="28" w:type="dxa"/>
        </w:tblCellMar>
      </w:tblPr>
      <w:tblGrid>
        <w:gridCol w:w="124"/>
        <w:gridCol w:w="256"/>
        <w:gridCol w:w="2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 for additional financing;</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 nature of our business and effect of unseasonable or extreme weather on our business;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from disruptions to the worldwide supply chain;</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availability and quality of materials used in our products;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protect our trademarks and other intellectual property;</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our licensees may not generate expected sales or maintain the value of our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current economic and credit environment on us, our customers, suppliers and vendors, including without limitation, the effects of inflationary cost pressures and higher interest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war, acts of terrorism, natural disasters or public health crises could adversely affect our business and results of operations, including the wars in Ukraine and the Middle East;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z w:val="20"/>
                <w:shd w:fill="FFFFFF" w:val="clear"/>
              </w:rPr>
              <w:t>global health crisis caused by COVID-19 has had, and the current and uncertain future outlook with respect to COVID-19 and its variants will likely continue to have, adverse effects on our business, financial condition and results of operations;</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foreign manufacturers;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expansion into foreign markets, conducting business internationally and exposures to foreign currencies;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implementation of the national security law in Hong Kong;</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successfully upgrade, maintain and secure our information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exposure to consumer privacy, cybersecurity and fraud concerns, including as a result of the remote working environment;</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of data security or privacy breaches;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the imposition of tariffs by the United States government and the escalation of trade tensions between countries;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legislation or exposure to additional tax liabilities could impact our business;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regulations applicable to us as a U.S. public company;</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on corporate responsibility issues by stakeholders;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effect on the price of our stock if actual results are worse than financial forecasts or if we are unable to provide financial forecasts;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our trademarks or other intangibles may require us to record charges against earnings as was the case in the fourth quarter of fiscal 2023; and</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indebtedness.</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2023. We undertake no obligation to publicly update or revise any forward-looking statements, whether as a result of new information, future events or otherwise, except as required by law.</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global power brands: DKNY, Donna Karan, Karl Lagerfeld, Calvin Klein and Tommy Hilfiger. We are not only licensees, but also brand owners, and we distribute our products through multiple channels.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own proprietary brands include DKNY, Donna Karan, Karl Lagerfeld, Karl Lagerfeld Paris, Vilebrequin, G.H. Bass, Eliza J, Jessica Howard, Andrew Marc, Marc New York, Wilsons Leather and Sonia Rykiel. We have an extensive portfolio of well-known licensed brands, including Calvin Klein, Tommy Hilfiger, Nautica, Halston, Levi’s, Guess?, Kenneth Cole, Cole Haan, Vince Camuto, Dockers and Champion.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sold through a cross section of leading retailers such as Macy’s, including its Bloomingdale’s division, Dillard’s, Hudson’s Bay Company, including its Saks Fifth Avenue division, Nordstrom, Kohl’s, TJX Companies, Ross Stores, Burlington and Costco. We also sell our products using digital channels through retail partners such as macys.com, nordstrom.com and dillards.com, each of which has a substantial online business. In addition, we sell to leading online retail partners such as Amazon, Fanatics, Zalando and Zappos.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distribute apparel and other products directly to consumers through our own DKNY, Karl Lagerfeld, Karl Lagerfeld Paris and Vilebrequin retail stores, as well as through our digital channels for the DKNY, Donna Karan, Karl Lagerfeld, Karl Lagerfeld Paris, Vilebrequin, G.H. Bass, Wilsons Leather and Sonia Rykiel businesses.</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Recent Developments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Repositioning and Expansion of Donna Karan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acquired the DKNY and Donna Karan brands, two of the most iconic American fashion brands, in December 2016. We initially repositioned and relaunched DKNY and we have successfully grown the brand. We are now focused on the repositioning and expansion of the Donna Karan brand for Spring 2024. The new Donna Karan will be a modern system of dressing created to appeal to a woman’s senses on every level, addressing her full lifestyle needs. Our Donna Karan product is expected to be distributed in North America and internationally through our diversified distribution network, including better department stores, digital channels and our own Donna Karan website. Donna Karan is widely considered to be a top fashion brand and is recognized as one of the most famous designer names in American fashion. We believe that the strength of the Donna Karan brand, along with our success with the DKNY brand, demonstrates the potential for our new Donna Karan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License Agreement for Nautica Brand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2023, we entered into a long-term license with Authentic Brands Group for the Nautica brand in North America.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plan to produce products under the Nautica brand across a number of categories starting with a full women’s jeanswear collection and then expanding in a phased approach into additional categories including sportswear, suit separates and dresses. The new five-year license agreement, effective beginning in January 2024, includes three extensions, for five years each. First deliveries are expected to begin in January 2024. The product is expected to be distributed in North America through our diversified distribution network, including better department stores, digital channels and Nautica’s stores and website, as well as in franchised stores globally. We believe that significant opportunity exists in the better women’s apparel space in categories where we have strong expertise. The Nautica brand joins our portfolio of some of the largest American brands in the world.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License Agreement for Halston Brand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2023, we entered into a global twenty-five year master license with Xcel Brands, Inc. to design and produce all categories of men’s and women’s product for the Halston brand.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agreement provides for an initial term of five years, followed by a twenty-year period, as well as a purchase option at the end of the twenty-five year term. First deliveries of Halston product are expected to begin in the fall of 2024. Our Halston product is expected to be distributed globally through our diversified distribution network, including better department stores and digital channels. We believe that significant opportunity exists in the better women’s apparel space where G-III has significant expertise. The Halston brand joins G-III’s portfolio of some of the largest American brands in the world.</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License Agreement for Champion Brand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246" w:name="_Hlk144385554"/>
      <w:bookmarkEnd w:id="1246"/>
      <w:r>
        <w:rPr>
          <w:rFonts w:ascii="Times New Roman;Times;serif" w:hAnsi="Times New Roman;Times;serif"/>
          <w:sz w:val="20"/>
        </w:rPr>
        <w:t>In September 2023, we entered into a license with HanesBrands Inc. to design and produce a men’s and women’s outerwear collection for their Champion brand in North America.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247" w:name="_Hlk144385611"/>
      <w:bookmarkEnd w:id="1247"/>
      <w:r>
        <w:rPr>
          <w:rFonts w:ascii="Times New Roman;Times;serif" w:hAnsi="Times New Roman;Times;serif"/>
          <w:sz w:val="20"/>
        </w:rPr>
        <w:t>The agreement provides for an initial term of five years, effective beginning in January 2024, with a five year renewal option based on achieving sales targets. First deliveries of Champion product are expected for the Fall 2024 season. Our Champion product is expected to be distributed in North America through our diversified distribution network, including better department stores and digital channels. Our collections will feature quality heritage pieces that complement and enhance Champion’s principles. We believe this license aligns with G-III’s core competencies in outerwear and will fit seamlessly into our well-developed outerwear divisions.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report based on two segments: wholesale operations and retail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wholesale operations segment includes sales of products to retailers under owned, licensed and private label brands, as well as sales related to the Karl Lagerfeld and Vilebrequin businesses, including from retail stores operated by Vilebrequin and Karl Lagerfeld, other than sales of product under the Karl Lagerfeld Paris brand generated by our retail stores and digital outlets. Wholesale revenues also include revenues from license agreements related to our owned trademarks including DKNY, Donna Karan, Karl Lagerfeld, G.H. Bass, Andrew Marc, Vilebrequin and Sonia Rykiel.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retail operations segment consists primarily of direct sales to consumers through our company-operated stores and product sales through our digital channels for the DKNY, Donna Karan, Karl Lagerfeld Paris, G.H. Bass and Wilsons Leather businesses. Our company-operated stores primarily consist of DKNY and Karl Lagerfeld Paris retail stores, substantially all of which are operated as outlet stores.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Affecting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Industry Trends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we sell our products online through retail partners such as macys.com, nordstrom.com and dillards.com, each of which has a substantial online business. As sales of apparel through digital channels continue to increase, we are developing additional digital marketing initiatives on both our web sites and third party web 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www.wilsonsleather.com, www.soniarykiel.com, www.karllagerfeldparis.com and www.karl.com. In addition, we sell to leading online retail partners such as Amazon, Fanatics, Zalando and Zappos and have made minority investments in two e-commerce retailers.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As a result, customers loyal to their brands can only find them in the stores of that retailer.</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purchase of the interests not previously owned by us that resulted in Karl Lagerfeld becoming our wholly-owned subsidiary, and new license agreements entered into by us, such as our recent license agreements for the Nautica, Halston and Champion brands,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Tax Laws and Regulations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12,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expected to be effective for our fiscal year ending January 31, 2025. We are in the process of evaluating the impact of Pillar Two, if any, on our tax rate and financial results. We will continue to monitor the developing laws as further information becomes available.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Inflation and Interest Rates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Inflationary pressures have impacted the entire economy, including our industry. Recent high rates of inflation, including increased fuel and food prices, have led to a softening of consumer demand and increased promotional activity in the apparel categories we sell and may lead to further challenges to increase our sales. Ongoing inflation may also negatively impact our cost structure and labor costs in the future.</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Federal Reserve raised interest rates multiple times in fiscal 2023, as well as thus far in fiscal 2024, in response to concerns about inflation and may continue to do so in the future. Higher interest rates increase the cost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currency fluctuation</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consolidated operations are impacted by the relationships between our reporting currency, the U.S. Dollar, and those of our non-United States subsidiaries whose functional/local currency is other than the U.S. Dollar, primarily the Euro. Volatility in the global foreign currency exchange rates may have a negative impact on the reported results of certain of our non-United States subsidiaries in the future, when translated to the U.S. Dollar.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bookmarkStart w:id="1248" w:name="_Hlk143611891"/>
      <w:bookmarkEnd w:id="1248"/>
      <w:r>
        <w:rPr>
          <w:rFonts w:ascii="Times New Roman;Times;serif" w:hAnsi="Times New Roman;Times;serif"/>
          <w:i/>
          <w:sz w:val="20"/>
        </w:rPr>
        <w:t>Supply Chain</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2022 and 2023, there were numerous factors disrupting the shipping industry that negatively affected transit times from our overseas suppliers, as well as our ability to ensure that we were able to import our product in a manner that allows for timely delivery to our customers.</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bookmarkStart w:id="1249" w:name="_Hlk130394152"/>
      <w:bookmarkEnd w:id="1249"/>
      <w:r>
        <w:rPr>
          <w:rFonts w:ascii="Times New Roman;Times;serif" w:hAnsi="Times New Roman;Times;serif"/>
          <w:sz w:val="20"/>
        </w:rPr>
        <w:t xml:space="preserve">More recently, shipping costs and transit times have returned to levels comparable to, and in some cases lower than, pre-pandemic time periods. We continue to monitor the transportation market for circumstances that may cause delays and negatively impact our ability to deliver product to our retail partners in a timely manner. </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supply chain disruptions, in fiscal 2023, we accelerated production schedules to allow for more lead time and to accommodate the anticipated extended transit times from our overseas suppliers in an effort to import our product in a manner that allows for timely delivery to our customers. As a result, our inventory levels were higher than usual in fiscal 2023.</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Elevated inventory levels and disruptions in the shipping industry contributed to us incurring significant demurrage charges in fiscal 2023. We implemented measures to ensure that we did not incur these charges in our current fiscal year, including reducing product buys to account for current inventory levels and adjusting our production schedules to receive inventory closer to the need for delivery. We experienced inventory levels that were higher than normal through the first half of fiscal 2024. As a result, our warehouse operations were less efficient and we continued to incur additional labor and storage costs related to our inventory in the first half of fiscal 2024. Our inventory levels returned to a more normalized level in the third quarter of fiscal 2024 and we expect this to continue into the fourth quarter of fiscal 2024. Our warehouse capacity has been, and we expect it to continue to be, sufficient for our needs which is expected to bring these costs in line with historical norms. As a result, our warehousing and distribution costs have been reduced for the third quarter of fiscal 2024 and we expect reduced costs to continue through the fourth quarter of fiscal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secured all required space with two of our long-term steamship carrier partners, including the space needed for our peak period and beyond. We continue to monitor supply chain challenges, most recently the developing situation with the Panama Canal, and will divert or adjust routes accordingly to ensure delivery of our product.</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Impact of COVID-19</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continued impact of COVID-19 on our business operations remains uncertain and cannot be predicted. The extent to which COVID-19 impacts our results will depend on continued developments around the world in the public and private responses to COVID-19. New information may emerge concerning the severity and the spread of variants of the COVID-19 virus in locations that are important to our business. Actions taken to contain COVID-19 or its variants, or treat their impact, may change or become more restrictive if additional waves of infections occur. We continue to monitor the latest developments regarding the impacts of COVID-19 and have incorporated certain assumptions regarding the duration, severity and global macroeconomic impact of the pandemic into our financial outlook.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International Conflicts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We are monitoring the direct and indirect impacts from the military conflicts between Russia and Ukraine and Israel and Hamas. These international conflicts and the continued threat of terrorism, heightened security measures and military action in response to acts of terrorism or civil unrest have disrupted commerce and intensified concerns regarding the United States and world economies. Our sales in Russia, Ukraine and Israel are not material to our financial results. </w:t>
      </w:r>
      <w:r>
        <w:rPr>
          <w:rFonts w:ascii="Times New Roman;Times;serif" w:hAnsi="Times New Roman;Times;serif"/>
          <w:sz w:val="20"/>
        </w:rPr>
        <w:t>However, the imposition of additional sanctions by the United States and/or foreign governments, as well as the sanctions already in place, could lead to restrictions related to sales and our supply chain for which the financial impact is uncertain. In addition,</w:t>
      </w:r>
      <w:r>
        <w:rPr>
          <w:rFonts w:ascii="Times New Roman;Times;serif" w:hAnsi="Times New Roman;Times;serif"/>
          <w:sz w:val="20"/>
          <w:shd w:fill="FFFFFF" w:val="clear"/>
        </w:rPr>
        <w:t xml:space="preserve"> the continuation or escalation of these international conflicts, including the potential for additional countries to declare war against each other, may lead to further, broader unfavorable macroeconomic conditions, including unfavorable foreign exchange rates, increases in fuel prices, food shortages, a weakening of the worldwide economy, lower consumer demand and volatility in financial markets. The possible effects of these international conflicts could have a material adverse effect on our business and our results of operations.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months ended October 31, 2023 compared to three months ended</w:t>
      </w:r>
      <w:r>
        <w:rPr>
          <w:rFonts w:ascii="Times New Roman;Times;serif" w:hAnsi="Times New Roman;Times;serif"/>
          <w:b/>
          <w:i/>
          <w:caps w:val="false"/>
          <w:smallCaps w:val="false"/>
          <w:sz w:val="20"/>
        </w:rPr>
        <w:t xml:space="preserve"> </w:t>
      </w:r>
      <w:r>
        <w:rPr>
          <w:rFonts w:ascii="Times New Roman;Times;serif" w:hAnsi="Times New Roman;Times;serif"/>
          <w:b/>
          <w:i/>
          <w:sz w:val="20"/>
        </w:rPr>
        <w:t>October 31, 2022</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for the three months ended October 31, 2023 decreased to $1.07 billion from $1.08 billion in the same period last year. Net sales of our segments are reported before intercompany eliminations.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wholesale operations segment decreased to $1.05 billion for the three months ended October 31, 2023 from $1.07 billion in the comparable period last year. This decrease was primarily the result of a decrease in net sales of Calvin Klein and Tommy Hilfiger licensed products. This decrease was partially offset by an increase in net sales of our DKNY and Karl Lagerfeld products. The increase in sales of DKNY products was primarily related to handbags and women’s outerwear.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retail operations segment increased to $32.7 million for the three months ended October 31, 2023 from $28.8 million in the same period last year. </w:t>
      </w:r>
      <w:r>
        <w:rPr>
          <w:rFonts w:ascii="Times New Roman;Times;serif" w:hAnsi="Times New Roman;Times;serif"/>
          <w:sz w:val="20"/>
          <w:shd w:fill="FFFFFF" w:val="clear"/>
        </w:rPr>
        <w:t xml:space="preserve">The number of retail stores operated by us increased from 60 at October 31,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2022 to 62 at October 31, 2023. The increase in sales in our retail operations segment was primarily the result of increased sales at our Karl Lagerfeld Paris stores.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was $433.4 million, or 40.6% of net sales, for the three months ended October 31, 2023, compared to $344.6 million, or 32.0% of net sales, in the same period last year. The gross profit percentage in our wholesale operations segment was 39.6% in the three months ended October 31, 2023 compared to 30.7% in the same period last year. The gross profit percentage in the prior year period was negatively impacted by $26.7 million in demurrage charges incurred due to our inability to pick up freight from port terminals in a timely manner. The gross profit percentage in the current year period was positively impacted by lower freight costs compared to the same period last year. The gross profit percentage in our retail operations segment was 49.1% for the three months ended October 31, 2023 compared to 54.9% for the same period last year. The gross profit percentage in the current year period was negatively impacted by an increase in promotional activity.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decreased to $236.3 million in the three months ended October 31, 2023 from $239.9 million in the same period last year. The decrease in expenses was primarily due to a decrease of $9.0 million in third-party warehouse and facility expenses primarily related to lower inventory levels during the period. This decrease was partially offset by an increase of $5.1 million in compensation expense, primarily as a result of increases in salaries.</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and amortization was $6.6 million for the three months ended October 31, 2023 compared to $7.3 million in the same period last year. This decrease primarily results from lower depreciation and amortization as a result of a reduction in capital expenditures in recent years.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250" w:name="_Hlk119669502"/>
      <w:bookmarkEnd w:id="1250"/>
      <w:r>
        <w:rPr>
          <w:rFonts w:ascii="Times New Roman;Times;serif" w:hAnsi="Times New Roman;Times;serif"/>
          <w:sz w:val="20"/>
        </w:rPr>
        <w:t xml:space="preserve">Other loss was $3.1 million in the three months ended October 31, 2023 compared to $2.8 million in the same period last year. We recorded $2.7 million in losses from unconsolidated affiliates during the three months ended October 31, 2023 compared to $0.2 million in losses from unconsolidated affiliates in the same period last year. Other loss in the current period also consisted of $0.4 million of foreign currency losses compared to $4.0 million of foreign currency losses during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Interest and financing charges, net, for the three months ended October 31, 2023 were $11.0 million compared to $16.1 million in the same period last year. The decrease in interest and financing charges was primarily due to a decrease of $2.5 million in interest charges as a result of lower average borrowings under our revolving credit facility in the current year period and a decrease of $1.1 million in interest charges related to the LVMH Note as a result of the repayment of $75 million in principal of this Note on June 1, 2023.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251" w:name="_Hlk143617728"/>
      <w:bookmarkEnd w:id="1251"/>
      <w:r>
        <w:rPr>
          <w:rFonts w:ascii="Times New Roman;Times;serif" w:hAnsi="Times New Roman;Times;serif"/>
          <w:sz w:val="20"/>
        </w:rPr>
        <w:t>Income tax expense was $48.8 million for the three months ended October 31, 2023 compared to $17.5 million for the same period last year. Our effective tax rate increased to 27.7% in the current year’s quarter from 22.4% in last year’s comparable quarter. The lower effective tax rate in the prior year period was due the exclusion of the gain recognized as a result of the remeasurement of the fair value of our previously held 19% investment in KLH and 49% interest in KLNA from taxable income.</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Nine months ended October 31, 2023 compared to nine months ended</w:t>
      </w:r>
      <w:r>
        <w:rPr>
          <w:rFonts w:ascii="Times New Roman;Times;serif" w:hAnsi="Times New Roman;Times;serif"/>
          <w:b/>
          <w:i/>
          <w:caps w:val="false"/>
          <w:smallCaps w:val="false"/>
          <w:sz w:val="20"/>
        </w:rPr>
        <w:t xml:space="preserve"> </w:t>
      </w:r>
      <w:r>
        <w:rPr>
          <w:rFonts w:ascii="Times New Roman;Times;serif" w:hAnsi="Times New Roman;Times;serif"/>
          <w:b/>
          <w:i/>
          <w:sz w:val="20"/>
        </w:rPr>
        <w:t>October 31, 2022</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for the nine months ended October 31, 2023 decreased to $2.33 billion from $2.37 billion in the same period last year. Net sales of our segments are reported before intercompany eliminations.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wholesale operations segment decreased to $2.28 billion for the nine months ended October 31, 2023 from $2.34 billion in the comparable period last year. This decrease was primarily the result of a decrease in net sales of Calvin Klein and Tommy Hilfiger licensed products. This decrease was partially offset by the addition of $110.2 million in net sales due to the inclusion of the results of the acquired Karl Lagerfeld business for all of the current period compared to only four months in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retail operations segment increased to $97.3 million for the nine months ended October 31, 2023 from $87.8 million in the same period last year. </w:t>
      </w:r>
      <w:r>
        <w:rPr>
          <w:rFonts w:ascii="Times New Roman;Times;serif" w:hAnsi="Times New Roman;Times;serif"/>
          <w:sz w:val="20"/>
          <w:shd w:fill="FFFFFF" w:val="clear"/>
        </w:rPr>
        <w:t>The number of retail stores operated by us increased from 60 at October 31, 2022 to 62 at October 31, 2023. The increase in sales in our retail operations segment was primarily the result of increased sales at our Karl Lagerfeld Paris stores.</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was $959.9 million, or 41.1% of net sales, for the nine months ended October 31, 2023, compared to $819.6 million, or 34.5% of net sales, in the same period last year. The gross profit percentage in our wholesale operations segment was 40.0% in the nine months ended October 31, 2023 compared to 33.0% in the same period last year. The gross profit percentage in the prior year period was negatively impacted by $30.8 million in demurrage charges incurred due to our inability to pick up freight from port terminals in a timely manner. The gross profit percentage in the current year period was positively impacted by lower freight costs and slightly higher prices to our customers compared to the same period last year. The gross profit percentage in our retail operations segment was 50.2% for the nine months ended October 31, 2023 compared to 52.1% for the same period last year. The gross profit percentage in the current year period was negatively impacted by an increase in promotional activity.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increased to $703.5 million in the nine months ended October 31, 2023 from $616.4 million in the same period last year. We recognized an additional $72.8 million of expenses due to the inclusion of the results of KLH for the current period ended October 31, 2023 as compared to only four months in the same period last year. The remainder of the increase in expenses was primarily due to an increase of $16.7 million in compensation expense, primarily from an increase in salaries and bonus expense accruals. This increase was partially offset by reduced royalty advertising expenses which decreased due to lower net sales of licensed product.</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and amortization was $19.1 million for the nine months ended October 31, 2023 compared to $20.0 million in the same period last year. This decrease primarily results from lower depreciation and amortization as a result of a reduction in capital expenditures in recent years, partially offset by an increase of $2.4 million of depreciation and amortization expense due to the inclusion of the results of KLH for all of the current period compared to four months in the same period last year.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loss was $2.0 million in the nine months ended October 31, 2023 compared to other income of $24.8 million for the same period last year. Other income in the prior year period consisted of a gain of $30.9 million during the nine months ended October 31, 2022 as a result of the remeasurement of our previously held 19% investment in KLH and 49% investment in KLNA as of the effective date of the acquisition by us of the interests in KLH that we did not previously own. Other loss in the current period consisted of $0.7 million of foreign currency income during the nine months ended October 31, 2023 compared to $9.4 million of foreign currency losses during the same period last year. Additionally, we recorded $3.7 million in losses from unconsolidated affiliates during the nine months ended October 31, 2023 compared to $0.8 million in income from unconsolidated affiliates in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Interest and financing charges, net, for the nine months ended October 31, 2023 were $32.7 million compared to $40.8 million in the same period last year. The decrease in interest and financing charges was primarily due to a $3.0 million increase in investment income from having a larger cash position in the current year compared to the prior year and a decrease of $2.2 million in interest charges due to lower average borrowings under our revolving credit facility in the current year period. In addition, there was a decrease of $1.6 million in interest charges related to the LVMH Note as a result of the repayment of $75 million in principal of this Note on June 1, 2023.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252" w:name="_Hlk143617684"/>
      <w:bookmarkEnd w:id="1252"/>
      <w:r>
        <w:rPr>
          <w:rFonts w:ascii="Times New Roman;Times;serif" w:hAnsi="Times New Roman;Times;serif"/>
          <w:sz w:val="20"/>
        </w:rPr>
        <w:t>Income tax expense was $55.7 million for the nine months ended October 31, 2023 compared to $39.5 million for the same period last year. Our effective tax rate increased to 27.5% in the current year’s period from 23.6% in last year’s comparable period. The lower effective tax rate in the prior year period was due to the exclusion of the gain recognized as a result of the remeasurement of the fair value of our previously held 19% investment in KLH and 49% interest in KLNA from taxable income.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Availability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 A principal payment of $75 million was made on June 1, 2023 with respect to the LVMH Note. The remaining principal amount of $50 million under the LVMH Note was paid on December 1, 2023. We have also used cash to repurchase our shares.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October 31, 2023, we had cash and cash equivalents of $197.4 million and availability under our revolving credit facility of approximately $645 million. As of October 31, 2023, we were in compliance with all covenants under our senior secured notes and revolving credit facility.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Senior Secured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2020, we completed a private debt offering of $400 million aggregate principal amount of our 7.875% Senior Secured Notes due August 2025 (the “Notes). The terms of the Notes are governed by an indenture, dated as of August 7, 2020 (the “Indenture”), among us, the guarantors party thereto and U.S. Bank, National Association, as trustee and collateral agent (the “Collateral Agent”). The net proceeds of the Notes were used (i) to repay the $300 million that was outstanding under our prior term loan facility due 2022 (the “Term Loan”), (ii) to pay related fees and expenses and (iii) for general corporate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bear interest at a rate of 7.875% per year payable semi-annually in arrears on February 15 and August 15 of each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issuance of the Notes and execution of the Indenture, we and the Guarantors entered into a pledge and security agreement (the “Pledge and Security Agreement”), among us, the Guarantors and the Collateral Agent.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may redeem some or all of the Notes at any time and from time to time at the redemption prices set forth in the Indenture, plus accrued and unpaid interest, if any, to, but excluding, the applicable redemption date.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we experience a Change of Control (as defined in the Indenture), we are required to offer to repurchase the Notes at 101% of the principal amount of such Notes plus accrued and unpaid interest, if any, to, but excluding, the date of repurchase.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Second Amended and Restated ABL Credit Agreement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that provides for borrowings in the aggregate principal amount of up to $650 million. We and certain of our subsidiaries (the “Guarantors”), are Loan Guarantors under the ABL Credit Agreement.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The ABL Credit Agreement extended the maturity date of this facility from December 2021 to August 2025.</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available under the ABL Credit Agreement are subject to borrowing base formulas and overadvances as specified in the ABL Credit Agreement. Borrowings originally bore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In April 2023, we amended the ABL Credit Agreement to replace LIBOR with Adjusted Term Secured Overnight Financing Rate (“SOFR”) as a successor rate. All other material terms and conditions of the ABL Credit Agreement were unchanged. Borrowings under the amended ABL Credit Agreement now bear interest, at the Borrower’s option, at the alternate base rate (defined as, for a given day, the greatest of (i) the “prime rate” in effect on such day, (ii) the NYFRB Rate (as defined in the amendment) in effect on such day plus 0.5% and (iii) the Adjusted Term SOFR (defined as an interest rate per annum equal to the Term SOFR for such interest period plus 0.10%) for a one-month interest period as published two business days prior to such day plus 1%) plus an applicable spread or the Adjusted Term SOFR Rate plus an applicable spread. We applied certain provisions and practical expedients of ASC 848 – Reference Rate Reform related to the transition from LIBOR to SOFR. We do not expect a material change to our interest expense or results of operations as a result of transitioning the reference rate used in our ABL Credit Agreement from LIBOR to SOFR.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revolving credit facility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As of October 31, 2023, we were in compliance with these covenants.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October 31, 2023, we had no borrowings outstanding under the ABL Credit Agreement. The ABL Credit Agreement also includes amounts available for letters of credit. As of October 31, 2023, there were outstanding trade and standby letters of credit amounting to $2.0 million and $2.9 million, respectively.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recorded $8.0 million of debt issuance costs related to our ABL Credit Agreement. As permitted under ASC 835, the debt issuance costs have been deferred and are presented as an asset which is amortized ratably over the term of the ABL Credit Agreement.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LVMH Note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was repaid on June 1, 2023 and the remaining $50 million of such principal amount was paid on December 1, 2023. The LVMH Note is classified in current portion of notes payable in our Company’s condensed consolidated balance sheet as of October 31, 2023 and January 31, 2023. $75.0 million of the LVMH Note is classified in current portion of notes payable in our condensed consolidated balance sheet as of October 31, 2022.</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an independent valuation, it was determined that the LVMH Note should be treated as having been issued at a discount of $40 million in accordance with ASC 820 — </w:t>
      </w:r>
      <w:r>
        <w:rPr>
          <w:rFonts w:ascii="Times New Roman;Times;serif" w:hAnsi="Times New Roman;Times;serif"/>
          <w:i/>
          <w:sz w:val="20"/>
        </w:rPr>
        <w:t>Fair Value Measurements</w:t>
      </w:r>
      <w:r>
        <w:rPr>
          <w:rFonts w:ascii="Times New Roman;Times;serif" w:hAnsi="Times New Roman;Times;serif"/>
          <w:sz w:val="20"/>
        </w:rPr>
        <w:t>. This discount is being amortized as interest expense using the effective interest method over the term of the LVMH Note.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Unsecured Loans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Several of our foreign entities borrow funds under various unsecured loans of which a portion is to provide funding for operations in the normal course of business while other loans are European state backed loans as part of COVID-19 relief programs. In the aggregate, we are currently required to make quarterly installment payments of principal in the amount of €0.6 million under these unsecured loans. Interest on the outstanding principal amount of the unsecured loans accrues at a fixed rate equal to 0% to 5.0% per annum, payable on either a quarterly or monthly basis. As of October 31, 2023, the Company had an aggregate outstanding balance of €8.6 million ($9.1 million) under these unsecured loans.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Overdraft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(“EURIBOR”)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October 31, 2023, TRB had an aggregate of €1.8 million ($1.9 million) drawn under these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Credit Facility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KLH has a credit agreement with ABN AMRO Bank N.V. with a credit limit of €15.0 million which is secured by specified assets of KLH. Borrowings bear interest at the EURIBOR plus a margin of 1.7%. As of October 31, 2023, KLH had €3.9 million ($4.2 million) of borrowings outstanding under this credit facility.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Outstanding Borrowings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 </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had no borrowings outstanding under our revolving credit facility at October 31, 2023 and $340.2 million outstanding at October 31, 2022, respectively. We had $400 million in borrowings outstanding under the Notes at October 31, 2023 and October 31, 2022, respectively. Our contingent liability under open letters of credit was approximately $4.9 million and $9.9 million at October 31, 2023 and 2022, respectively. In addition to the amounts outstanding under these two loan agreements, at October 31, 2023 and 2022, we had $50 million and $125 million of face value principal amount outstanding under the LVMH Note, respectively. As of October 31, 2023 and 2022, we had an aggregate of €8.6 million ($9.1 million) and €10.7 million ($10.4 million) outstanding under the Company’s various unsecured loans. As of October 31, 2023 and 2022, we had €1.8 million ($1.9 million) and €3.7 million ($3.7 million) outstanding under our various overdraft facilities. As of October 31, 2023 and 2022, we had €3.9 million ($4.2 million) and €10.6 million ($10.4 million) outstanding under KLH’s foreign credit facility.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2023, our Board of Directors authorized an increase in the number of shares covered by our share repurchase program to an aggregate amount of 10,000,000 shares. Prior to this increase, we had 6,813,851 authorized shares under this program. Pursuant to this program, during the nine months ended October 31, 2023, we acquired 1,598,568 of our shares of common stock for an aggregate purchase price of $26.1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October 31, 2023, we had remaining 10,000,000 shares authorized for purchase under this program. As of December 4, 2023, we had 45,727,662 shares of common stock outstanding.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Operating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generated $226.3 million in cash from operating activities during the nine months ended October 31, 2023, primarily as a result of our net income of $147.3 million, a decrease of $117.8 million in inventories and increases of $47.1 million in accounts payable and accrued expenses and $18.2 million in customer refund liabilities. We also generated cash from operating activities as a result of non-cash charges relating primarily to depreciation and amortization of $19.1 million and share-based compensation of $11.7 million. These items were offset, in part, by an increase of $188.3 million in accounts receivable.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changes in operating cash flow items are consistent with our seasonal pattern with the exception of the decrease in inventory which resulted from our inventory returning to a more normalized level after experiencing a period of elevated inventory levels in fiscal 2023 due to supply chain disruptions. Our accounts receivable and customer refund liabilities increased because we experience higher sales levels in our third and fourth quarters.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Investing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used $19.3 million of cash in investing activities during the nine months ended October 31, 2023. We had $15.7 million in capital expenditures primarily related to infrastructure and information technology expenditures and additional fixturing costs at department stores. In addition, we used $3.6 million for an investment in the equity of a private company.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Financing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by financing activities was $199.1 million during nine months ended October 31, 2023 primarily as a result of repayments of borrowings of $112.8 million under our ABL Credit Agreement, partially offset by borrowings of $32.7 million under that Agreement, as well as the $75.0 million principal repayment of the LVMH Note. In addition, we used $26.1 million of cash to repurchase 1,598,568 shares of our common stock under our share repurchase program and $10.8 million for taxes paid in connection with net share settlements of stock grants that vested.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discussion of results of operations and financial condition relies on our consolidated financial statements that are prepared based on certain critical accounting policies that require management to make judgments and estimates that are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accounting policies and related estimates described in our Annual Report on Form 10-K for the year ended January 31, 2023 are those that depend most heavily on these judgments and estimates. As of October 31, 2023, there have been no material changes to our critical accounting policies.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253" w:name="Item3Quantitative_475780"/>
      <w:bookmarkStart w:id="1254" w:name="_e4b87d57_26fb_402b_814a_60e3f23cfd93"/>
      <w:bookmarkEnd w:id="1253"/>
      <w:bookmarkEnd w:id="1254"/>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material changes to the disclosure made with respect to these matters in our Annual Report on Form 10-K for the year ended January 31, 2023.</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255" w:name="Item4ControlsandProcedures_978659"/>
      <w:bookmarkStart w:id="1256" w:name="_d0995296_fb46_4799_9dcb_ca5ef9b7a32f"/>
      <w:bookmarkEnd w:id="1255"/>
      <w:bookmarkEnd w:id="1256"/>
      <w:r>
        <w:rPr>
          <w:rFonts w:ascii="Times New Roman;Times;serif" w:hAnsi="Times New Roman;Times;serif"/>
          <w:b/>
          <w:sz w:val="20"/>
        </w:rPr>
        <w:t>Item 4.         Controls and Procedures.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controls over financial reporting during the period covered by the Quarterly Report that have materially affected, or are reasonably likely to materially affect, these internal controls.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31, 2022, we acquired KLH. See Note 6 – Karl Lagerfeld Acquisition in the accompanying Notes to our Condensed Consolidated Financial Statements in this Quarterly Report and Note 15 – Karl Lagerfeld Acquisition in the accompanying Notes to our Consolidated Financial Statements in our Annual Report on Form 10-K for the year ended January 31, 2023 for further information on our acquisition of KLH. The KLH acquisition represents a change in our internal control over financial reporting. We have substantially completed the design of the internal controls environment for KLH and are in the process of completing our effectiveness testing. We will include the internal controls and procedures of KLH in our annual assessment of the effectiveness of our internal control over financial reporting for our 2024 fiscal year.</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257" w:name="PARTIIOTHERINFORMATION_14841"/>
      <w:bookmarkStart w:id="1258" w:name="_b84f0828_688a_4257_8246_6b5540f749c9"/>
      <w:bookmarkEnd w:id="1257"/>
      <w:bookmarkEnd w:id="1258"/>
      <w:r>
        <w:rPr>
          <w:rFonts w:ascii="Times New Roman;Times;serif" w:hAnsi="Times New Roman;Times;serif"/>
          <w:b/>
          <w:sz w:val="20"/>
        </w:rPr>
        <w:t>PART II – OTHER INFORMATION</w:t>
      </w:r>
    </w:p>
    <w:p>
      <w:pPr>
        <w:pStyle w:val="TextBody"/>
        <w:bidi w:val="0"/>
        <w:spacing w:before="0" w:after="0"/>
        <w:ind w:left="0" w:right="0" w:hanging="0"/>
        <w:jc w:val="left"/>
        <w:rPr>
          <w:rFonts w:ascii="Times New Roman;Times;serif" w:hAnsi="Times New Roman;Times;serif"/>
          <w:b/>
          <w:sz w:val="20"/>
        </w:rPr>
      </w:pPr>
      <w:bookmarkStart w:id="1259" w:name="Item1ARiskFactors_273079"/>
      <w:bookmarkEnd w:id="1259"/>
      <w:r>
        <w:rPr>
          <w:rFonts w:ascii="Times New Roman;Times;serif" w:hAnsi="Times New Roman;Times;serif"/>
          <w:b/>
          <w:sz w:val="20"/>
        </w:rPr>
        <w:t>Item 1A.      Risk Factors.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you should carefully consider the risk factors contained in “Item 1A.-Risk Factors” in our Annual Report on Form 10-K for the year ended January 31, 2023 (the “Annual Report”), which could materially affect our business, financial condition and/or future results. As of October 31, 2023,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60" w:name="Item2UnregisteredSalesofEquitySecurities"/>
      <w:bookmarkStart w:id="1261" w:name="_686975c3_32d7_492b_a2de_0839bc0c5569"/>
      <w:bookmarkEnd w:id="1260"/>
      <w:bookmarkEnd w:id="1261"/>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provides information with respect to the Company’s common stock that the Company repurchased during the three months ended October 31, 2023. Included in this table are shares withheld during September 2023 to satisfy tax withholding requirements in connection with stock awards.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74"/>
        <w:gridCol w:w="109"/>
        <w:gridCol w:w="1503"/>
        <w:gridCol w:w="109"/>
        <w:gridCol w:w="360"/>
        <w:gridCol w:w="975"/>
        <w:gridCol w:w="109"/>
        <w:gridCol w:w="2490"/>
        <w:gridCol w:w="109"/>
        <w:gridCol w:w="240"/>
        <w:gridCol w:w="2527"/>
      </w:tblGrid>
      <w:tr>
        <w:trPr/>
        <w:tc>
          <w:tcPr>
            <w:tcW w:w="1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062990" cy="175260"/>
                      <wp:effectExtent l="0" t="0" r="0" b="0"/>
                      <wp:wrapNone/>
                      <wp:docPr id="154" name="Frame154"/>
                      <a:graphic xmlns:a="http://schemas.openxmlformats.org/drawingml/2006/main">
                        <a:graphicData uri="http://schemas.microsoft.com/office/word/2010/wordprocessingShape">
                          <wps:wsp>
                            <wps:cNvSpPr txBox="1"/>
                            <wps:spPr>
                              <a:xfrm>
                                <a:off x="0" y="0"/>
                                <a:ext cx="1062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54405" cy="175260"/>
                      <wp:effectExtent l="0" t="0" r="0" b="0"/>
                      <wp:wrapNone/>
                      <wp:docPr id="156" name="Frame156"/>
                      <a:graphic xmlns:a="http://schemas.openxmlformats.org/drawingml/2006/main">
                        <a:graphicData uri="http://schemas.microsoft.com/office/word/2010/wordprocessingShape">
                          <wps:wsp>
                            <wps:cNvSpPr txBox="1"/>
                            <wps:spPr>
                              <a:xfrm>
                                <a:off x="0" y="0"/>
                                <a:ext cx="954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28600" cy="175260"/>
                      <wp:effectExtent l="0" t="0" r="0" b="0"/>
                      <wp:wrapNone/>
                      <wp:docPr id="158" name="Frame1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19125" cy="175260"/>
                      <wp:effectExtent l="0" t="0" r="0" b="0"/>
                      <wp:wrapNone/>
                      <wp:docPr id="159" name="Frame159"/>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81150" cy="175260"/>
                      <wp:effectExtent l="0" t="0" r="0" b="0"/>
                      <wp:wrapNone/>
                      <wp:docPr id="161" name="Frame161"/>
                      <a:graphic xmlns:a="http://schemas.openxmlformats.org/drawingml/2006/main">
                        <a:graphicData uri="http://schemas.microsoft.com/office/word/2010/wordprocessingShape">
                          <wps:wsp>
                            <wps:cNvSpPr txBox="1"/>
                            <wps:spPr>
                              <a:xfrm>
                                <a:off x="0" y="0"/>
                                <a:ext cx="158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2400" cy="175260"/>
                      <wp:effectExtent l="0" t="0" r="0" b="0"/>
                      <wp:wrapNone/>
                      <wp:docPr id="163" name="Frame16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604645" cy="175260"/>
                      <wp:effectExtent l="0" t="0" r="0" b="0"/>
                      <wp:wrapNone/>
                      <wp:docPr id="164" name="Frame164"/>
                      <a:graphic xmlns:a="http://schemas.openxmlformats.org/drawingml/2006/main">
                        <a:graphicData uri="http://schemas.microsoft.com/office/word/2010/wordprocessingShape">
                          <wps:wsp>
                            <wps:cNvSpPr txBox="1"/>
                            <wps:spPr>
                              <a:xfrm>
                                <a:off x="0" y="0"/>
                                <a:ext cx="160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Purchased</w:t>
            </w:r>
          </w:p>
        </w:tc>
        <w:tc>
          <w:tcPr>
            <w:tcW w:w="109" w:type="dxa"/>
            <w:tcBorders/>
            <w:vAlign w:val="center"/>
          </w:tcPr>
          <w:p>
            <w:pPr>
              <w:pStyle w:val="TableContents"/>
              <w:bidi w:val="0"/>
              <w:spacing w:before="0" w:after="0"/>
              <w:ind w:left="0" w:right="0" w:hanging="0"/>
              <w:jc w:val="left"/>
              <w:rPr/>
            </w:pPr>
            <w:r>
              <w:rPr/>
              <w:t>​</w:t>
            </w:r>
          </w:p>
        </w:tc>
        <w:tc>
          <w:tcPr>
            <w:tcW w:w="150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Shares Purchased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center"/>
              <w:rPr/>
            </w:pPr>
            <w:r>
              <w:rPr/>
              <w:t>​</w:t>
            </w:r>
          </w:p>
        </w:tc>
        <w:tc>
          <w:tcPr>
            <w:tcW w:w="133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Average Price Paid Per Share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center"/>
              <w:rPr/>
            </w:pPr>
            <w:r>
              <w:rPr/>
              <w:t>​</w:t>
            </w:r>
          </w:p>
        </w:tc>
        <w:tc>
          <w:tcPr>
            <w:tcW w:w="2490"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 Purchased as Part of Publicly Announced Program </w:t>
            </w:r>
            <w:r>
              <w:rPr>
                <w:rFonts w:ascii="Times New Roman;Times;serif" w:hAnsi="Times New Roman;Times;serif"/>
                <w:b/>
                <w:sz w:val="12"/>
              </w:rPr>
              <w:t>(2)</w:t>
            </w:r>
          </w:p>
        </w:tc>
        <w:tc>
          <w:tcPr>
            <w:tcW w:w="109" w:type="dxa"/>
            <w:tcBorders/>
            <w:vAlign w:val="center"/>
          </w:tcPr>
          <w:p>
            <w:pPr>
              <w:pStyle w:val="TableContents"/>
              <w:bidi w:val="0"/>
              <w:spacing w:before="0" w:after="0"/>
              <w:ind w:left="0" w:right="0" w:hanging="0"/>
              <w:jc w:val="center"/>
              <w:rPr/>
            </w:pPr>
            <w:r>
              <w:rPr/>
              <w:t>​</w:t>
            </w:r>
          </w:p>
        </w:tc>
        <w:tc>
          <w:tcPr>
            <w:tcW w:w="276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Maximum Number of Shares that may yet be Purchased Under the Program </w:t>
            </w:r>
            <w:r>
              <w:rPr>
                <w:rFonts w:ascii="Times New Roman;Times;serif" w:hAnsi="Times New Roman;Times;serif"/>
                <w:b/>
                <w:sz w:val="12"/>
              </w:rPr>
              <w:t>(2)</w:t>
            </w:r>
          </w:p>
        </w:tc>
      </w:tr>
      <w:tr>
        <w:trPr/>
        <w:tc>
          <w:tcPr>
            <w:tcW w:w="1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 August 31, 2023</w:t>
            </w:r>
          </w:p>
        </w:tc>
        <w:tc>
          <w:tcPr>
            <w:tcW w:w="109" w:type="dxa"/>
            <w:tcBorders/>
            <w:shd w:fill="CCEEFF" w:val="clear"/>
            <w:vAlign w:val="center"/>
          </w:tcPr>
          <w:p>
            <w:pPr>
              <w:pStyle w:val="TableContents"/>
              <w:bidi w:val="0"/>
              <w:spacing w:before="0" w:after="0"/>
              <w:ind w:left="0" w:right="0" w:hanging="0"/>
              <w:jc w:val="left"/>
              <w:rPr/>
            </w:pPr>
            <w:r>
              <w:rPr/>
              <w:t>​</w:t>
            </w:r>
          </w:p>
        </w:tc>
        <w:tc>
          <w:tcPr>
            <w:tcW w:w="150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25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10,000,000</w:t>
            </w:r>
          </w:p>
        </w:tc>
      </w:tr>
      <w:tr>
        <w:trPr/>
        <w:tc>
          <w:tcPr>
            <w:tcW w:w="1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 September 30, 2023</w:t>
            </w:r>
          </w:p>
        </w:tc>
        <w:tc>
          <w:tcPr>
            <w:tcW w:w="109" w:type="dxa"/>
            <w:tcBorders/>
            <w:vAlign w:val="center"/>
          </w:tcPr>
          <w:p>
            <w:pPr>
              <w:pStyle w:val="TableContents"/>
              <w:bidi w:val="0"/>
              <w:spacing w:before="0" w:after="0"/>
              <w:ind w:left="0" w:right="0" w:hanging="0"/>
              <w:jc w:val="left"/>
              <w:rPr/>
            </w:pPr>
            <w:r>
              <w:rPr/>
              <w:t>​</w:t>
            </w:r>
          </w:p>
        </w:tc>
        <w:tc>
          <w:tcPr>
            <w:tcW w:w="15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c>
          <w:tcPr>
            <w:tcW w:w="109" w:type="dxa"/>
            <w:tcBorders/>
            <w:vAlign w:val="center"/>
          </w:tcPr>
          <w:p>
            <w:pPr>
              <w:pStyle w:val="TableContents"/>
              <w:bidi w:val="0"/>
              <w:spacing w:before="0" w:after="0"/>
              <w:ind w:left="0" w:right="0" w:hanging="0"/>
              <w:jc w:val="left"/>
              <w:rPr/>
            </w:pPr>
            <w:r>
              <w:rPr/>
              <w:t>​</w:t>
            </w:r>
          </w:p>
        </w:tc>
        <w:tc>
          <w:tcPr>
            <w:tcW w:w="2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25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10,000,000</w:t>
            </w:r>
          </w:p>
        </w:tc>
      </w:tr>
      <w:tr>
        <w:trPr/>
        <w:tc>
          <w:tcPr>
            <w:tcW w:w="1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 October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15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2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10,000,000</w:t>
            </w:r>
          </w:p>
        </w:tc>
      </w:tr>
      <w:tr>
        <w:trPr/>
        <w:tc>
          <w:tcPr>
            <w:tcW w:w="16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109"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c>
          <w:tcPr>
            <w:tcW w:w="109" w:type="dxa"/>
            <w:tcBorders/>
            <w:vAlign w:val="center"/>
          </w:tcPr>
          <w:p>
            <w:pPr>
              <w:pStyle w:val="TableContents"/>
              <w:bidi w:val="0"/>
              <w:spacing w:before="0" w:after="0"/>
              <w:ind w:left="0" w:right="0" w:hanging="0"/>
              <w:jc w:val="left"/>
              <w:rPr/>
            </w:pPr>
            <w:r>
              <w:rPr/>
              <w:t>​</w:t>
            </w:r>
          </w:p>
        </w:tc>
        <w:tc>
          <w:tcPr>
            <w:tcW w:w="249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252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10,000,000</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this table are 1,344 shares withheld during the three-month period ended October 2023 in connection with the settlement of vested restricted stock units to satisfy tax withholding requirements. Our 2015 Long-Term Incentive Plan provides that shares withheld are valued at the closing price per share on the date withheld.</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August 2023, our Board of Directors reapproved our previously authorized share repurchase program and increased the number of shares remaining under that program from 6,813,851 to 10,000,000 shares. This program has no expiration date. Repurchases under the program may be made from time to time through open market purchases, accelerated share repurchase programs, privately negotiated transactions or other methods, as we deem appropriate.</w:t>
            </w:r>
          </w:p>
        </w:tc>
      </w:tr>
    </w:tbl>
    <w:p>
      <w:pPr>
        <w:pStyle w:val="TextBody"/>
        <w:bidi w:val="0"/>
        <w:spacing w:before="0" w:after="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62" w:name="Item5OtherInformation_516384"/>
      <w:bookmarkStart w:id="1263" w:name="_d4ffc578_7d0d_48b0_a4df_60e2dd363f31"/>
      <w:bookmarkEnd w:id="1262"/>
      <w:bookmarkEnd w:id="1263"/>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October 31, 2023,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shd w:fill="FFFFFF" w:val="clear"/>
        </w:rPr>
      </w:pPr>
      <w:r>
        <w:rPr>
          <w:shd w:fill="FFFFFF" w:val="clea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64" w:name="Exhibits"/>
      <w:bookmarkStart w:id="1265" w:name="_83bcd02f_11dd_40a7_89a7_f2736bbb840c"/>
      <w:bookmarkStart w:id="1266" w:name="_Hlk152160346"/>
      <w:bookmarkEnd w:id="1264"/>
      <w:bookmarkEnd w:id="1265"/>
      <w:bookmarkEnd w:id="1266"/>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630"/>
        <w:gridCol w:w="9575"/>
      </w:tblGrid>
      <w:tr>
        <w:trPr/>
        <w:tc>
          <w:tcPr>
            <w:tcW w:w="630" w:type="dxa"/>
            <w:tcBorders/>
            <w:vAlign w:val="center"/>
          </w:tcPr>
          <w:p>
            <w:pPr>
              <w:pStyle w:val="TableContents"/>
              <w:bidi w:val="0"/>
              <w:spacing w:before="0" w:after="283"/>
              <w:ind w:left="0" w:right="0" w:hanging="0"/>
              <w:jc w:val="left"/>
              <w:rPr>
                <w:sz w:val="4"/>
                <w:szCs w:val="4"/>
              </w:rPr>
            </w:pPr>
            <w:r>
              <w:rPr>
                <w:sz w:val="4"/>
                <w:szCs w:val="4"/>
              </w:rPr>
            </w:r>
          </w:p>
        </w:tc>
        <w:tc>
          <w:tcPr>
            <w:tcW w:w="9575" w:type="dxa"/>
            <w:tcBorders/>
            <w:vAlign w:val="center"/>
          </w:tcPr>
          <w:p>
            <w:pPr>
              <w:pStyle w:val="TableContents"/>
              <w:bidi w:val="0"/>
              <w:spacing w:before="0" w:after="283"/>
              <w:ind w:left="0" w:right="0" w:hanging="0"/>
              <w:jc w:val="left"/>
              <w:rPr>
                <w:sz w:val="4"/>
                <w:szCs w:val="4"/>
              </w:rPr>
            </w:pPr>
            <w:r>
              <w:rPr>
                <w:sz w:val="4"/>
                <w:szCs w:val="4"/>
              </w:rPr>
            </w:r>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5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 of Incorporation (incorporated by reference to Exhibit 3.1 to the Company’s Form 8-K, dated July 2, 2008).</w:t>
            </w:r>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3.1(a)</w:t>
            </w:r>
          </w:p>
        </w:tc>
        <w:tc>
          <w:tcPr>
            <w:tcW w:w="9575"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Certificate of Amendment of Certificate of Incorporation, dated June 8, 2006 (incorporated by reference to Exhibit 3.1 to the Company’s Form 10-Q, dated September 13, 2006).</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3.1(b)</w:t>
            </w:r>
          </w:p>
        </w:tc>
        <w:tc>
          <w:tcPr>
            <w:tcW w:w="9575"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dated June 7, 2011 (incorporated by reference to Exhibit 3.1 to the Company’s Form 8-K, dated June 9, 2011).</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3.1(c)</w:t>
            </w:r>
          </w:p>
        </w:tc>
        <w:tc>
          <w:tcPr>
            <w:tcW w:w="9575"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of Certificate of Incorporation, dated June 30, 2015 (incorporated by reference to Exhibit 3.1 to the Company’s Form 8-K, dated July 1, 2015).</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575"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By-Laws, as amended, of G-III (incorporated by reference to Exhibit 3.1 to the Company’s Form 8-K, dated March 15, 2013).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575"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Performance Share Unit Agreement, dated August 9, 2023 (incorporated by reference to Exhibit 10.2 to the Company’s Form 8-K, dated August 10, 2023).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575"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Employment Agreement, dated August 9, 2023, between G-III Apparel Group, Ltd. and Morris Goldfarb (incorporated by reference to Exhibit 10.1 to the Company’s Form 8-K, dated August 10, 2023).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9575"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G-III Apparel Group, Ltd. 2015 Long-Term Incentive Plan, as amended (incorporated by reference to Exhibit 10.3 to the Company’s Form 8-K, dated August 10, 2023).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75"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Employment Agreement, dated August 29, 2023, between G-III Apparel Group, Ltd. and Sammy Aaron (incorporated by reference to Exhibit 10.1 to the Company’s Form 8-K, dated August 30, 2023).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9575"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G-III Apparel Group, Ltd. 2023 Long-Term Incentive Plan (incorporated by reference to Appendix A of the Company’s Schedule 14A, filed on September 11, 2023).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9575" w:type="dxa"/>
            <w:tcBorders/>
            <w:vAlign w:val="center"/>
          </w:tcPr>
          <w:p>
            <w:pPr>
              <w:pStyle w:val="TableContents"/>
              <w:bidi w:val="0"/>
              <w:spacing w:before="0" w:after="0"/>
              <w:ind w:left="0" w:right="0" w:hanging="0"/>
              <w:jc w:val="both"/>
              <w:rPr/>
            </w:pPr>
            <w:hyperlink w:anchor="giii-20231031xex10d6.htm">
              <w:r>
                <w:rPr>
                  <w:rStyle w:val="InternetLink"/>
                  <w:rFonts w:ascii="Times New Roman;Times;serif" w:hAnsi="Times New Roman;Times;serif"/>
                  <w:b w:val="false"/>
                  <w:i w:val="false"/>
                  <w:caps w:val="false"/>
                  <w:smallCaps w:val="false"/>
                  <w:sz w:val="20"/>
                </w:rPr>
                <w:t>Performance Share Unit Agreement, dated October 17, 2023 (filed herewith).</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575" w:type="dxa"/>
            <w:tcBorders/>
            <w:vAlign w:val="center"/>
          </w:tcPr>
          <w:p>
            <w:pPr>
              <w:pStyle w:val="TableContents"/>
              <w:bidi w:val="0"/>
              <w:spacing w:before="0" w:after="0"/>
              <w:ind w:left="0" w:right="0" w:hanging="0"/>
              <w:jc w:val="both"/>
              <w:rPr/>
            </w:pPr>
            <w:hyperlink w:anchor="giii-20231031xex31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Rule 13a - 14(a) or Rule 15d - 14(a) of the Securities Exchange Act of 1934, as amended, in connection with G-III Apparel Group, Ltd.’s Quarterly Report on Form 10-Q for the fiscal quarter ended October 31, 2023.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575" w:type="dxa"/>
            <w:tcBorders/>
            <w:vAlign w:val="center"/>
          </w:tcPr>
          <w:p>
            <w:pPr>
              <w:pStyle w:val="TableContents"/>
              <w:bidi w:val="0"/>
              <w:spacing w:before="0" w:after="0"/>
              <w:ind w:left="0" w:right="0" w:hanging="0"/>
              <w:jc w:val="both"/>
              <w:rPr/>
            </w:pPr>
            <w:hyperlink w:anchor="giii-20231031xex31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Rule 13a - 14(a) or Rule 15d - 14(a) of the Securities Exchange Act of 1934, as amended, in connection with G-III Apparel Group, Ltd.’s Quarterly Report on Form 10-Q for the fiscal quarter ended October 31, 2023.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575" w:type="dxa"/>
            <w:tcBorders/>
            <w:vAlign w:val="center"/>
          </w:tcPr>
          <w:p>
            <w:pPr>
              <w:pStyle w:val="TableContents"/>
              <w:bidi w:val="0"/>
              <w:spacing w:before="0" w:after="0"/>
              <w:ind w:left="0" w:right="0" w:hanging="0"/>
              <w:jc w:val="both"/>
              <w:rPr/>
            </w:pPr>
            <w:hyperlink w:anchor="giii-20231031xex32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18 U.S.C. Section 1350, as adopted pursuant to Section 906 of the Sarbanes-Oxley Act of 2002, in connection with G-III Apparel Group, Ltd.’s Quarterly Report on Form 10-Q for the fiscal quarter ended October 31, 2023.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575" w:type="dxa"/>
            <w:tcBorders/>
            <w:vAlign w:val="center"/>
          </w:tcPr>
          <w:p>
            <w:pPr>
              <w:pStyle w:val="TableContents"/>
              <w:bidi w:val="0"/>
              <w:spacing w:before="0" w:after="0"/>
              <w:ind w:left="0" w:right="0" w:hanging="0"/>
              <w:jc w:val="both"/>
              <w:rPr/>
            </w:pPr>
            <w:hyperlink w:anchor="giii-20231031xex32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18 U.S.C. Section 1350, as adopted pursuant to Section 906 of the Sarbanes-Oxley Act of 2002, in connection with G-III Apparel Group, Ltd.’s Quarterly Report on Form 10-Q for the fiscal quarter ended October 31, 2023.</w:t>
              </w:r>
            </w:hyperlink>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Instance Document.</w:t>
            </w:r>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Schema Document.</w:t>
            </w:r>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Calculation Linkbase Document.</w:t>
            </w:r>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Extension Definition.</w:t>
            </w:r>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Label Linkbase Document.</w:t>
            </w:r>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iXBRL Presentation Linkbase Document.</w:t>
            </w:r>
          </w:p>
        </w:tc>
      </w:tr>
      <w:tr>
        <w:trPr/>
        <w:tc>
          <w:tcPr>
            <w:tcW w:w="6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267" w:name="_592db811_fea3_4cc3_83e5_b81a428475fc"/>
      <w:bookmarkEnd w:id="1267"/>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696" w:type="dxa"/>
        <w:jc w:val="left"/>
        <w:tblInd w:w="0" w:type="dxa"/>
        <w:tblLayout w:type="fixed"/>
        <w:tblCellMar>
          <w:top w:w="0" w:type="dxa"/>
          <w:left w:w="0" w:type="dxa"/>
          <w:bottom w:w="0" w:type="dxa"/>
          <w:right w:w="0" w:type="dxa"/>
        </w:tblCellMar>
      </w:tblPr>
      <w:tblGrid>
        <w:gridCol w:w="2071"/>
        <w:gridCol w:w="430"/>
        <w:gridCol w:w="2195"/>
      </w:tblGrid>
      <w:tr>
        <w:trPr/>
        <w:tc>
          <w:tcPr>
            <w:tcW w:w="2071"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G-III APPAREL GROUP, LTD.</w:t>
              <w:br/>
              <w:t>                  (Registrant)</w:t>
            </w:r>
          </w:p>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December 6, 2023</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December 6, 2023</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right"/>
        <w:rPr>
          <w:rFonts w:ascii="Times New Roman;Times;serif" w:hAnsi="Times New Roman;Times;serif"/>
          <w:b/>
          <w:sz w:val="20"/>
        </w:rPr>
      </w:pPr>
      <w:bookmarkStart w:id="1268" w:name="giii-20231031xex10d6.htm"/>
      <w:bookmarkStart w:id="1269" w:name="ksgiii20231031xex10d6"/>
      <w:bookmarkEnd w:id="1268"/>
      <w:bookmarkEnd w:id="1269"/>
      <w:r>
        <w:rPr>
          <w:rFonts w:ascii="Times New Roman;Times;serif" w:hAnsi="Times New Roman;Times;serif"/>
          <w:b/>
          <w:sz w:val="20"/>
        </w:rPr>
        <w:t>Exhibit 10.6</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G-III APPAREL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LONG-TERM INCENTIVE PLAN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PERFORMANCE SHARE UNIT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AGREEMENT, made as of the 17</w:t>
      </w:r>
      <w:r>
        <w:rPr>
          <w:rFonts w:ascii="Times New Roman;Times;serif" w:hAnsi="Times New Roman;Times;serif"/>
          <w:sz w:val="15"/>
        </w:rPr>
        <w:t>th</w:t>
      </w:r>
      <w:r>
        <w:rPr>
          <w:rFonts w:ascii="Times New Roman;Times;serif" w:hAnsi="Times New Roman;Times;serif"/>
          <w:sz w:val="20"/>
        </w:rPr>
        <w:t xml:space="preserve"> day of October, 2023 (the “Effective Date”), between G-III APPAREL GROUP, LTD. (the “Company”) and Morris Goldfarb (the “Participant”), pursuant to the G-III Apparel Group, Ltd. 2023 Long-Term Incentive Plan, as amended (the “Plan”). Capitalized terms that are used but not defined in this Agreement shall have the meanings given to them by the Plan. “Initial Grant Effective Date” means August 9,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1.         </w:t>
      </w:r>
      <w:r>
        <w:rPr>
          <w:rFonts w:ascii="Times New Roman;Times;serif" w:hAnsi="Times New Roman;Times;serif"/>
          <w:sz w:val="20"/>
          <w:u w:val="single"/>
        </w:rPr>
        <w:t>Performance Share Unit Award</w:t>
      </w:r>
      <w:r>
        <w:rPr>
          <w:rFonts w:ascii="Times New Roman;Times;serif" w:hAnsi="Times New Roman;Times;serif"/>
          <w:sz w:val="20"/>
        </w:rPr>
        <w:t>. In accordance with the Plan, the Company hereby grants to the Participant 320,000 performance share units (“PSUs”). Each PSU represents the right to receive one share of the Company’s common stock (a “Share”), subject to the terms and conditions of this Agreement and the Plan including, without limitation, the potential 20% upward or downward adjustment in the number of Shares based on the Company’s Total Shareholder Return (TSR) relative to the TSR of the component companies of the S&amp;P 1500 Apparel, Accessories and Luxury Good Index issued to the Participant pursuant to this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sz w:val="20"/>
          <w:u w:val="single"/>
        </w:rPr>
        <w:t>Vesting Conditions</w:t>
      </w:r>
      <w:r>
        <w:rPr>
          <w:rFonts w:ascii="Times New Roman;Times;serif" w:hAnsi="Times New Roman;Times;serif"/>
          <w:sz w:val="20"/>
        </w:rPr>
        <w:t>.  The performance condition (“Minimum Share Price Condition”) is satisfied as follows:</w:t>
      </w:r>
    </w:p>
    <w:p>
      <w:pPr>
        <w:pStyle w:val="TextBody"/>
        <w:bidi w:val="0"/>
        <w:spacing w:before="0" w:after="0"/>
        <w:ind w:left="0" w:right="0" w:firstLine="72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(a) as to all PSUs, if at any time, or from time to time, beginning on the Initial Grant Effective Date and ending on or before the fifth anniversary of the Initial Grant Effective Date (“Fifth Anniversary Date”), the average closing price per share of the Company’s common stock on the Nasdaq Global Select Market during any period of fifteen (15) consecutive trading days (the “Average Closing Price”) is at least $30.00; or</w:t>
      </w:r>
    </w:p>
    <w:p>
      <w:pPr>
        <w:pStyle w:val="TextBody"/>
        <w:pBdr/>
        <w:bidi w:val="0"/>
        <w:spacing w:before="0" w:after="0"/>
        <w:ind w:left="720" w:right="0" w:hanging="36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 xml:space="preserve">(b) </w:t>
      </w:r>
      <w:bookmarkStart w:id="1270" w:name="_Hlk141646851"/>
      <w:bookmarkEnd w:id="1270"/>
      <w:r>
        <w:rPr>
          <w:rFonts w:ascii="Times New Roman;Times;serif" w:hAnsi="Times New Roman;Times;serif"/>
          <w:sz w:val="20"/>
        </w:rPr>
        <w:t xml:space="preserve">as to the number of PSUs set forth on </w:t>
      </w:r>
      <w:r>
        <w:rPr>
          <w:rFonts w:ascii="Times New Roman;Times;serif" w:hAnsi="Times New Roman;Times;serif"/>
          <w:sz w:val="20"/>
          <w:u w:val="single"/>
        </w:rPr>
        <w:t>Exhibit A</w:t>
      </w:r>
      <w:r>
        <w:rPr>
          <w:rFonts w:ascii="Times New Roman;Times;serif" w:hAnsi="Times New Roman;Times;serif"/>
          <w:sz w:val="20"/>
        </w:rPr>
        <w:t xml:space="preserve"> hereto, if at any time, or from time to time, beginning on the Initial Grant Effective Date and ending on or before the Fifth Anniversary Date the Average Closing Price is at least $25.00. </w:t>
      </w:r>
    </w:p>
    <w:p>
      <w:pPr>
        <w:pStyle w:val="TextBody"/>
        <w:pBdr/>
        <w:bidi w:val="0"/>
        <w:spacing w:before="0" w:after="0"/>
        <w:ind w:left="720" w:right="0" w:hanging="36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Participant’s right to receive Shares covered by this Agreement shall become vested on the date the Compensation Committee (the “Committee”) of the Board of Directors of the Company has confirmed the satisfaction of the Minimum Share Price Condition, subject to the condition (the “Service Condition”) that Participant is continuously employed with or providing other service to the Company through the third anniversary of the Initial Grant Effective Date (the “Third Anniversary Date”). Subject to paragraph 5 below, if the Minimum Share Price Condition is not satisfied by the Fifth Anniversary Date, the award will be forfeited. The number of PSUs that vest in accordance with this paragraph 2 may be increased or decreased by up to 20% in accordance with Exhibit B, and the timing of settlement of such vested PSUs shall be in accordance with paragraph 3 and Exhibit B. All determinations with respect to the satisfaction of the performance and service conditions shall be made by the Committee.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Settlement of PSUs.</w:t>
      </w:r>
      <w:r>
        <w:rPr>
          <w:rFonts w:ascii="Times New Roman;Times;serif" w:hAnsi="Times New Roman;Times;serif"/>
          <w:sz w:val="20"/>
        </w:rPr>
        <w:t xml:space="preserve"> If and when PSUs become vested, the Participant will have the right to receive a corresponding number of whole Shares from the Company in full settlement of such vested PSUs, unless the Committee shall decide to settle such award in cash, or a combination of Shares and cash, with any cash paid in lieu of Shares based on the Fair Market Value of such Shares on the vesting date. Such Shares will be issued and delivered in certificated or electronic form, or if applicable such cash paid, and, subject to Exhibit B, as soon as practicable after the lapse of the applicable substantial risks of forfeiture (as determined in accordance with Section 409A of the Code for purposes of the short-term deferral exemption thereunder) (but not more than 75 days after such date and in no event later than the 15</w:t>
      </w:r>
      <w:r>
        <w:rPr>
          <w:rFonts w:ascii="Times New Roman;Times;serif" w:hAnsi="Times New Roman;Times;serif"/>
          <w:sz w:val="15"/>
        </w:rPr>
        <w:t>th</w:t>
      </w:r>
      <w:r>
        <w:rPr>
          <w:rFonts w:ascii="Times New Roman;Times;serif" w:hAnsi="Times New Roman;Times;serif"/>
          <w:sz w:val="20"/>
        </w:rPr>
        <w:t xml:space="preserve"> day of the third month of the Company’s tax year following the tax year in which such risk of forfeiture lapses), subject to any applicable tax withholding and other conditions set forth in the Plan, this Agreement and/or applicable law. The applicable substantial risks of forfeiture are, at any given time between the Initial Grant Effective Date and the Fifth Anniversary Date, the Minimum Share Price Condition and the Service Condition. Once the Service Condition has been satisfied or deemed satisfied, or the Minimum Share Price Condition has been satisfied, the other condition must still be satisfied (or deemed satisfied), in whole or in part, in accordance with the terms of this Agreement before the Participant becomes entitled to receive settlement of any part of the PSUs.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4.         </w:t>
      </w:r>
      <w:r>
        <w:rPr>
          <w:rFonts w:ascii="Times New Roman;Times;serif" w:hAnsi="Times New Roman;Times;serif"/>
          <w:sz w:val="20"/>
          <w:u w:val="single"/>
        </w:rPr>
        <w:t>Termination of Employment or Service; Acceleration of Vesting</w:t>
      </w:r>
      <w:r>
        <w:rPr>
          <w:rFonts w:ascii="Times New Roman;Times;serif" w:hAnsi="Times New Roman;Times;serif"/>
          <w:sz w:val="20"/>
        </w:rPr>
        <w:t xml:space="preserve">. (a) Upon the termination of the Participant’s employment or other service with the Company by the Company for cause (as defined in Section 6(a) of the Employment Agreement) or by the Participant (x) without cause (as defined in Section 6(b) of the Employment Agreement) or (y) without Good Reason (as defined in the Plan), any unvested PSUs then covered by this Agreement shall be canceled and the Participant shall have no further rights with respect thereto.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- 1</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 In the event that the Company terminates the Participant’s employment or service without cause (as defined in Section 6(a) of the Employment Agreement) or the Participant terminates his employment or service (x) for cause (as defined in Section 6(b) of the Employment Agreement) or (y) for Good Reason (as defined in the Plan), the Service Condition will be deemed to be satisfied and the Compensation Committee (or board of directors of the Company) shall determine in good faith whether the Minimum Share Price Condition has been satisfied as of the date of such termination of employment or service and the remaining award will continue to be subject to the vesting conditions in paragraph 2 above through the Fifth Anniversary Date and be settled in accordance with paragraph 3 and Exhibit B.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In the event the Participant’s employment or service terminates by reason of his death or disability, then the Service Condition will be deemed to be satisfied and the Compensation Committee (or the board of directors of the Company) shall determine in good faith whether the Minimum Share Price Condition has been satisfied as of the date of such termination of employment or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Change in Control</w:t>
      </w:r>
      <w:r>
        <w:rPr>
          <w:rFonts w:ascii="Times New Roman;Times;serif" w:hAnsi="Times New Roman;Times;serif"/>
          <w:sz w:val="20"/>
        </w:rPr>
        <w:t>. (a) As of the closing date of a Change in Control transaction (the “Closing Date”), the Compensation Committee (or the board of directors of the Company) shall determine in good faith whether the Minimum Share Price Condition has been satisfied (together with the corresponding number of vested PSUs, such number of vested PSUs referred to as the “CIC Date Vested PSUs”) based on an “Average Closing Price” equal to the greater of (x) the highest average closing price per share of the Company’s common stock on the Nasdaq Global Select Market during any period of fifteen (15) consecutive trading days (calculated through the Closing Date) and (y) the per share price paid to the Company’s stockholders at the closing of such Change in Control transaction (the "Change in Control Price"). If the number of CIC Date Vested PSUs is zero, then the Award will be forfeited.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If the number of CIC Date Vested PSUs is greater than zero, and in connection with a Qualifying Transaction (defined below) the Award represented by this Agreement is assumed by the issuer of the Qualifying Shares (defined below) under Section 9.1 of the Plan, then this Agreement shall continue in full force and effect, with the Minimum Share Price Condition satisfied as to the number of CIC Date Vested PSUs, and then the Award will be settled in accordance with paragraph 3 and Exhibit B on the first to occur of (i) the Service Condition having been satisfied or (ii) the Company terminates the Participant’s employment or service without cause (as defined in Section 6(a) of the Employment Agreement) or the Participant terminates his employment or service for cause (as defined in Section 6(b) of the Employment Agreement).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  If the Company consummates a Change in Control transaction that is not a Qualifying Transaction, or the Award represented by this Agreement is not assumed under Section 9.1 of the Plan in connection with the closing of such Change in Control transaction, and the number of CIC Date Vested PSUs is greater than zero, the Service Condition shall be deemed satisfied, and the award will be settled in accordance with paragraph 3 and Exhibit B.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 “Qualifying Shares” means shares of common stock of a company (other than the Company) listed for trading on the NYSE or Nasdaq Stock Market. “Qualifying Transaction” means a Change in Control transaction pursuant to which the Company’s stockholders receive Qualifying Shares (defined below) in exchange for their shares of the Company’s common stock.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6.         </w:t>
      </w:r>
      <w:r>
        <w:rPr>
          <w:rFonts w:ascii="Times New Roman;Times;serif" w:hAnsi="Times New Roman;Times;serif"/>
          <w:sz w:val="20"/>
          <w:u w:val="single"/>
        </w:rPr>
        <w:t>No Rights as a Shareholder</w:t>
      </w:r>
      <w:r>
        <w:rPr>
          <w:rFonts w:ascii="Times New Roman;Times;serif" w:hAnsi="Times New Roman;Times;serif"/>
          <w:sz w:val="20"/>
        </w:rPr>
        <w:t>. The Participant shall have no ownership or other rights of a stockholder with respect to Shares underlying the PSUs (including any right to receive dividends or to vote such Shares) unless and until such Shares are issued to the Participant in settlement of vested PSUs.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7.         </w:t>
      </w:r>
      <w:r>
        <w:rPr>
          <w:rFonts w:ascii="Times New Roman;Times;serif" w:hAnsi="Times New Roman;Times;serif"/>
          <w:sz w:val="20"/>
          <w:u w:val="single"/>
        </w:rPr>
        <w:t>Tax Withholding</w:t>
      </w:r>
      <w:r>
        <w:rPr>
          <w:rFonts w:ascii="Times New Roman;Times;serif" w:hAnsi="Times New Roman;Times;serif"/>
          <w:sz w:val="20"/>
        </w:rPr>
        <w:t>. Prior to any settlement of vested PSUs, the Participant shall be required to pay or make adequate arrangements satisfactory to the Company for the payment of all applicable tax withholding obligations. The Participant hereby authorizes the Company to satisfy all or part of the amount of such tax withholding obligations by deducting such amount from cash compensation or other payments that would otherwise be owed to the Participant. The Committee, acting in its sole discretion and pursuant to applicable law, may permit the Participant to satisfy any such tax withholding obligations with Shares that would otherwise be issued to the Participant in settlement of vested PSUs, and/or with previously owned shares of the Company’s common stock held by the Participant. The amount of the Participant’s tax withholding obligation that is satisfied in shares of the Company’s common stock, if any, shall be based upon the Fair Market Value of such shares on the date such shares are delivered or withheld.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8.         </w:t>
      </w:r>
      <w:r>
        <w:rPr>
          <w:rFonts w:ascii="Times New Roman;Times;serif" w:hAnsi="Times New Roman;Times;serif"/>
          <w:sz w:val="20"/>
          <w:u w:val="single"/>
        </w:rPr>
        <w:t>Restrictions on Transfer</w:t>
      </w:r>
      <w:r>
        <w:rPr>
          <w:rFonts w:ascii="Times New Roman;Times;serif" w:hAnsi="Times New Roman;Times;serif"/>
          <w:sz w:val="20"/>
        </w:rPr>
        <w:t>. Except as otherwise permitted by the Committee acting in its discretion under the Plan, the PSUs and the Participant’s right to receive Shares in settlement of vested PSUs may not be sold, assigned, transferred, pledged or otherwise alienated or disposed of (except by will or the laws of descent and distribution), and may not become subject to attachment, garnishment, execution or other legal or equitable process, and any attempt to do so shall be null and void.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- 2</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9.         </w:t>
      </w:r>
      <w:r>
        <w:rPr>
          <w:rFonts w:ascii="Times New Roman;Times;serif" w:hAnsi="Times New Roman;Times;serif"/>
          <w:sz w:val="20"/>
          <w:u w:val="single"/>
        </w:rPr>
        <w:t>No Other Rights Conferred</w:t>
      </w:r>
      <w:r>
        <w:rPr>
          <w:rFonts w:ascii="Times New Roman;Times;serif" w:hAnsi="Times New Roman;Times;serif"/>
          <w:sz w:val="20"/>
        </w:rPr>
        <w:t>. Nothing contained herein shall be deemed to give the Participant a right to be retained in the employ or other service of the Company or any affiliate or affect the right of the Company and its affiliates to terminate or amend the terms and conditions of the Participant’s employment or other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10.       </w:t>
      </w:r>
      <w:r>
        <w:rPr>
          <w:rFonts w:ascii="Times New Roman;Times;serif" w:hAnsi="Times New Roman;Times;serif"/>
          <w:sz w:val="20"/>
          <w:u w:val="single"/>
        </w:rPr>
        <w:t>Provisions of the Plan Control; Spin-Offs</w:t>
      </w:r>
      <w:r>
        <w:rPr>
          <w:rFonts w:ascii="Times New Roman;Times;serif" w:hAnsi="Times New Roman;Times;serif"/>
          <w:sz w:val="20"/>
        </w:rPr>
        <w:t>. The provisions of the Plan, the terms of which are incorporated in this Agreement, shall govern if and to the extent that there are inconsistencies between those provisions and the provisions hereof. In connection with a ‘spin off’ transaction (or other similar capital change) covered by Section 4.2 of the Plan, and the Committee or the Board is exercising its discretion under that Section to make equitable adjustments to the Award, the Participant shall have the right to direct the Committee to adjust the Award under one of the methods listed on Exhibit C hereto, provided that the Participant will not have that right if the exercise of that right would result in adverse tax consequences to the Company under Section 409A.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11.       </w:t>
      </w:r>
      <w:r>
        <w:rPr>
          <w:rFonts w:ascii="Times New Roman;Times;serif" w:hAnsi="Times New Roman;Times;serif"/>
          <w:sz w:val="20"/>
          <w:u w:val="single"/>
        </w:rPr>
        <w:t>Successors</w:t>
      </w:r>
      <w:r>
        <w:rPr>
          <w:rFonts w:ascii="Times New Roman;Times;serif" w:hAnsi="Times New Roman;Times;serif"/>
          <w:sz w:val="20"/>
        </w:rPr>
        <w:t>. This Agreement shall be binding upon and shall inure to the benefit of the parties hereto and their respective successors and permitted assigns.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12.       </w:t>
      </w:r>
      <w:r>
        <w:rPr>
          <w:rFonts w:ascii="Times New Roman;Times;serif" w:hAnsi="Times New Roman;Times;serif"/>
          <w:sz w:val="20"/>
          <w:u w:val="single"/>
        </w:rPr>
        <w:t>Entire Agreement</w:t>
      </w:r>
      <w:r>
        <w:rPr>
          <w:rFonts w:ascii="Times New Roman;Times;serif" w:hAnsi="Times New Roman;Times;serif"/>
          <w:sz w:val="20"/>
        </w:rPr>
        <w:t>. This Agreement constitutes the entire agreement between the parties with respect to the subject matter hereof and may not be modified except by written instrument executed by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13.       </w:t>
      </w:r>
      <w:r>
        <w:rPr>
          <w:rFonts w:ascii="Times New Roman;Times;serif" w:hAnsi="Times New Roman;Times;serif"/>
          <w:sz w:val="20"/>
          <w:u w:val="single"/>
        </w:rPr>
        <w:t>Governing Law</w:t>
      </w:r>
      <w:r>
        <w:rPr>
          <w:rFonts w:ascii="Times New Roman;Times;serif" w:hAnsi="Times New Roman;Times;serif"/>
          <w:sz w:val="20"/>
        </w:rPr>
        <w:t>. This Agreement shall be governed by the laws of the State of Delaware, without regard to its principles of conflict of laws.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14.       </w:t>
      </w:r>
      <w:r>
        <w:rPr>
          <w:rFonts w:ascii="Times New Roman;Times;serif" w:hAnsi="Times New Roman;Times;serif"/>
          <w:sz w:val="20"/>
          <w:u w:val="single"/>
        </w:rPr>
        <w:t>Counterparts</w:t>
      </w:r>
      <w:r>
        <w:rPr>
          <w:rFonts w:ascii="Times New Roman;Times;serif" w:hAnsi="Times New Roman;Times;serif"/>
          <w:sz w:val="20"/>
        </w:rPr>
        <w:t>. This Agreement may be executed in separate counterparts, each of which will be an original and all of which taken together shall constitute one and the same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49" w:type="dxa"/>
        <w:jc w:val="left"/>
        <w:tblInd w:w="0" w:type="dxa"/>
        <w:tblLayout w:type="fixed"/>
        <w:tblCellMar>
          <w:top w:w="0" w:type="dxa"/>
          <w:left w:w="0" w:type="dxa"/>
          <w:bottom w:w="0" w:type="dxa"/>
          <w:right w:w="0" w:type="dxa"/>
        </w:tblCellMar>
      </w:tblPr>
      <w:tblGrid>
        <w:gridCol w:w="124"/>
        <w:gridCol w:w="537"/>
        <w:gridCol w:w="208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8740" cy="175260"/>
                      <wp:effectExtent l="0" t="0" r="0" b="0"/>
                      <wp:wrapNone/>
                      <wp:docPr id="165" name="Frame16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40995" cy="175260"/>
                      <wp:effectExtent l="0" t="0" r="0" b="0"/>
                      <wp:wrapNone/>
                      <wp:docPr id="166" name="Frame166"/>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25880" cy="175260"/>
                      <wp:effectExtent l="0" t="0" r="0" b="0"/>
                      <wp:wrapNone/>
                      <wp:docPr id="167" name="Frame167"/>
                      <a:graphic xmlns:a="http://schemas.openxmlformats.org/drawingml/2006/main">
                        <a:graphicData uri="http://schemas.microsoft.com/office/word/2010/wordprocessingShape">
                          <wps:wsp>
                            <wps:cNvSpPr txBox="1"/>
                            <wps:spPr>
                              <a:xfrm>
                                <a:off x="0" y="0"/>
                                <a:ext cx="1325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G-III APPAREL GROUP, LTD.</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8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Nackman</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Nackman</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24" w:type="dxa"/>
            <w:tcBorders/>
            <w:vAlign w:val="center"/>
          </w:tcPr>
          <w:p>
            <w:pPr>
              <w:pStyle w:val="TableContents"/>
              <w:bidi w:val="0"/>
              <w:spacing w:before="0" w:after="0"/>
              <w:ind w:left="0" w:right="0" w:hanging="0"/>
              <w:jc w:val="left"/>
              <w:rPr/>
            </w:pPr>
            <w:r>
              <w:rPr/>
              <w:t>​</w:t>
            </w:r>
          </w:p>
        </w:tc>
        <w:tc>
          <w:tcPr>
            <w:tcW w:w="262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- 3</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Exhibit 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 xml:space="preserve">Vesting of PSUs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Average Stock Price*% of Shares Vested</w:t>
      </w:r>
      <w:r>
        <w:rPr>
          <w:rFonts w:ascii="Times New Roman;Times;serif" w:hAnsi="Times New Roman;Times;serif"/>
          <w:sz w:val="20"/>
        </w:rPr>
        <w:t xml:space="preserve"> </w:t>
      </w:r>
      <w:r>
        <w:rPr>
          <w:rFonts w:ascii="Times New Roman;Times;serif" w:hAnsi="Times New Roman;Times;serif"/>
          <w:sz w:val="20"/>
          <w:u w:val="single"/>
        </w:rPr>
        <w:t># of Shares Vested+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$30.00</w:t>
      </w:r>
      <w:r>
        <w:rPr>
          <w:rFonts w:ascii="Times New Roman;Times;serif" w:hAnsi="Times New Roman;Times;serif"/>
          <w:sz w:val="20"/>
        </w:rPr>
        <w:t>100%320,000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$29.00</w:t>
      </w:r>
      <w:r>
        <w:rPr>
          <w:rFonts w:ascii="Times New Roman;Times;serif" w:hAnsi="Times New Roman;Times;serif"/>
          <w:sz w:val="20"/>
        </w:rPr>
        <w:t>90%288,000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$28.00</w:t>
      </w:r>
      <w:r>
        <w:rPr>
          <w:rFonts w:ascii="Times New Roman;Times;serif" w:hAnsi="Times New Roman;Times;serif"/>
          <w:sz w:val="20"/>
        </w:rPr>
        <w:t>80%256,000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$27.00</w:t>
      </w:r>
      <w:r>
        <w:rPr>
          <w:rFonts w:ascii="Times New Roman;Times;serif" w:hAnsi="Times New Roman;Times;serif"/>
          <w:sz w:val="20"/>
        </w:rPr>
        <w:t>70%224,000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$26.00</w:t>
      </w:r>
      <w:r>
        <w:rPr>
          <w:rFonts w:ascii="Times New Roman;Times;serif" w:hAnsi="Times New Roman;Times;serif"/>
          <w:sz w:val="20"/>
        </w:rPr>
        <w:t>60%192,000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$25.00</w:t>
      </w:r>
      <w:r>
        <w:rPr>
          <w:rFonts w:ascii="Times New Roman;Times;serif" w:hAnsi="Times New Roman;Times;serif"/>
          <w:sz w:val="20"/>
        </w:rPr>
        <w:t>50%160,000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$25.000%0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(i) the average closing price per share of the Company’s common stock on the Nasdaq Global Select Market for any period of fifteen (15) consecutive trading days ending on the fifth anniversary of the Initial Grant Effective Date is at least equal to the amount listed in the column “Average Stock Price” or (ii) in the event of a Change in Control that is not a Qualifying Transaction, the Change in Control Price is at least equal to the amount listed in the Column Average Stock Price (as adjusted as provided in the Agreement), then in each case the percentage and number of vested PSUs is as set forth opposite such average stock price.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+Will also apply in the event of a Change in Control Transaction that is a Qualifying Transaction, and amounts listed under “Average Stock Price” and “# of Shares Vested” would be modified as provided in the Agreement.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- 4</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Exhibit B</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Total Shareholder Return (“TSR”) Modifier.</w:t>
      </w:r>
      <w:r>
        <w:rPr>
          <w:rFonts w:ascii="Times New Roman;Times;serif" w:hAnsi="Times New Roman;Times;serif"/>
          <w:sz w:val="20"/>
        </w:rPr>
        <w:t xml:space="preserve"> The total number of PSUs that vest, if any, based on Section 2 of this Agreement shall then be subject to adjustment, determined by multiplying (i) such total number of vested PSUs as determined in accordance with Exhibit A by (ii) the Relative TSR Multiplier Percentage which is determined based on the Company's TSR relative to the Comparator Companies (defined below) in the S&amp;P 1500 Apparel, Accessories and Luxury Good Index (the “Comparator Group”) over the Comparison Period (defined below), as set forth in the following chart: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717" w:type="dxa"/>
        <w:jc w:val="left"/>
        <w:tblInd w:w="0" w:type="dxa"/>
        <w:tblLayout w:type="fixed"/>
        <w:tblCellMar>
          <w:top w:w="0" w:type="dxa"/>
          <w:left w:w="0" w:type="dxa"/>
          <w:bottom w:w="0" w:type="dxa"/>
          <w:right w:w="0" w:type="dxa"/>
        </w:tblCellMar>
      </w:tblPr>
      <w:tblGrid>
        <w:gridCol w:w="636"/>
        <w:gridCol w:w="559"/>
        <w:gridCol w:w="560"/>
        <w:gridCol w:w="109"/>
        <w:gridCol w:w="109"/>
        <w:gridCol w:w="109"/>
        <w:gridCol w:w="709"/>
        <w:gridCol w:w="709"/>
        <w:gridCol w:w="711"/>
        <w:gridCol w:w="109"/>
        <w:gridCol w:w="109"/>
        <w:gridCol w:w="109"/>
        <w:gridCol w:w="931"/>
        <w:gridCol w:w="931"/>
        <w:gridCol w:w="1317"/>
      </w:tblGrid>
      <w:tr>
        <w:trPr/>
        <w:tc>
          <w:tcPr>
            <w:tcW w:w="636" w:type="dxa"/>
            <w:tcBorders/>
            <w:vAlign w:val="center"/>
          </w:tcPr>
          <w:p>
            <w:pPr>
              <w:pStyle w:val="TableContents"/>
              <w:bidi w:val="0"/>
              <w:spacing w:before="0" w:after="283"/>
              <w:ind w:left="0" w:right="0" w:hanging="0"/>
              <w:jc w:val="left"/>
              <w:rPr>
                <w:sz w:val="4"/>
                <w:szCs w:val="4"/>
              </w:rPr>
            </w:pPr>
            <w:r>
              <w:rPr>
                <w:sz w:val="4"/>
                <w:szCs w:val="4"/>
              </w:rPr>
            </w:r>
          </w:p>
        </w:tc>
        <w:tc>
          <w:tcPr>
            <w:tcW w:w="559" w:type="dxa"/>
            <w:tcBorders/>
            <w:vAlign w:val="center"/>
          </w:tcPr>
          <w:p>
            <w:pPr>
              <w:pStyle w:val="TableContents"/>
              <w:bidi w:val="0"/>
              <w:spacing w:before="0" w:after="283"/>
              <w:ind w:left="0" w:right="0" w:hanging="0"/>
              <w:jc w:val="left"/>
              <w:rPr>
                <w:sz w:val="4"/>
                <w:szCs w:val="4"/>
              </w:rPr>
            </w:pPr>
            <w:r>
              <w:rPr>
                <w:sz w:val="4"/>
                <w:szCs w:val="4"/>
              </w:rPr>
            </w:r>
          </w:p>
        </w:tc>
        <w:tc>
          <w:tcPr>
            <w:tcW w:w="56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09" w:type="dxa"/>
            <w:tcBorders/>
            <w:vAlign w:val="center"/>
          </w:tcPr>
          <w:p>
            <w:pPr>
              <w:pStyle w:val="TableContents"/>
              <w:bidi w:val="0"/>
              <w:spacing w:before="0" w:after="283"/>
              <w:ind w:left="0" w:right="0" w:hanging="0"/>
              <w:jc w:val="left"/>
              <w:rPr>
                <w:sz w:val="4"/>
                <w:szCs w:val="4"/>
              </w:rPr>
            </w:pPr>
            <w:r>
              <w:rPr>
                <w:sz w:val="4"/>
                <w:szCs w:val="4"/>
              </w:rPr>
            </w:r>
          </w:p>
        </w:tc>
        <w:tc>
          <w:tcPr>
            <w:tcW w:w="709" w:type="dxa"/>
            <w:tcBorders/>
            <w:vAlign w:val="center"/>
          </w:tcPr>
          <w:p>
            <w:pPr>
              <w:pStyle w:val="TableContents"/>
              <w:bidi w:val="0"/>
              <w:spacing w:before="0" w:after="283"/>
              <w:ind w:left="0" w:right="0" w:hanging="0"/>
              <w:jc w:val="left"/>
              <w:rPr>
                <w:sz w:val="4"/>
                <w:szCs w:val="4"/>
              </w:rPr>
            </w:pPr>
            <w:r>
              <w:rPr>
                <w:sz w:val="4"/>
                <w:szCs w:val="4"/>
              </w:rPr>
            </w:r>
          </w:p>
        </w:tc>
        <w:tc>
          <w:tcPr>
            <w:tcW w:w="7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c>
          <w:tcPr>
            <w:tcW w:w="1317" w:type="dxa"/>
            <w:tcBorders/>
            <w:vAlign w:val="center"/>
          </w:tcPr>
          <w:p>
            <w:pPr>
              <w:pStyle w:val="TableContents"/>
              <w:bidi w:val="0"/>
              <w:spacing w:before="0" w:after="283"/>
              <w:ind w:left="0" w:right="0" w:hanging="0"/>
              <w:jc w:val="left"/>
              <w:rPr>
                <w:sz w:val="4"/>
                <w:szCs w:val="4"/>
              </w:rPr>
            </w:pPr>
            <w:r>
              <w:rPr>
                <w:sz w:val="4"/>
                <w:szCs w:val="4"/>
              </w:rPr>
            </w:r>
          </w:p>
        </w:tc>
      </w:tr>
      <w:tr>
        <w:trPr/>
        <w:tc>
          <w:tcPr>
            <w:tcW w:w="1755" w:type="dxa"/>
            <w:gridSpan w:val="3"/>
            <w:tcBorders>
              <w:top w:val="single" w:sz="8" w:space="0" w:color="000000"/>
            </w:tcBorders>
            <w:tcMar>
              <w:top w:w="40" w:type="dxa"/>
            </w:tcMar>
            <w:vAlign w:val="center"/>
          </w:tcPr>
          <w:p>
            <w:pPr>
              <w:pStyle w:val="TableContents"/>
              <w:bidi w:val="0"/>
              <w:spacing w:before="0" w:after="0"/>
              <w:ind w:left="0" w:right="0" w:hanging="0"/>
              <w:jc w:val="center"/>
              <w:rPr/>
            </w:pPr>
            <w:r>
              <w:rPr/>
              <w:t>​</w:t>
            </w:r>
            <w:r>
              <w:rPr>
                <w:rFonts w:ascii="Times New Roman;Times;serif" w:hAnsi="Times New Roman;Times;serif"/>
                <w:sz w:val="20"/>
              </w:rPr>
              <w:br/>
            </w:r>
            <w:r>
              <w:rPr>
                <w:rFonts w:ascii="Times New Roman;Times;serif" w:hAnsi="Times New Roman;Times;serif"/>
                <w:b/>
                <w:sz w:val="20"/>
              </w:rPr>
              <w:t>Performance Level</w:t>
            </w:r>
          </w:p>
        </w:tc>
        <w:tc>
          <w:tcPr>
            <w:tcW w:w="327" w:type="dxa"/>
            <w:gridSpan w:val="3"/>
            <w:tcBorders>
              <w:top w:val="single" w:sz="8" w:space="0" w:color="000000"/>
            </w:tcBorders>
            <w:tcMar>
              <w:top w:w="40" w:type="dxa"/>
            </w:tcMar>
            <w:vAlign w:val="center"/>
          </w:tcPr>
          <w:p>
            <w:pPr>
              <w:pStyle w:val="TableContents"/>
              <w:bidi w:val="0"/>
              <w:spacing w:before="0" w:after="283"/>
              <w:ind w:left="0" w:right="0" w:hanging="0"/>
              <w:jc w:val="left"/>
              <w:rPr>
                <w:sz w:val="4"/>
                <w:szCs w:val="4"/>
              </w:rPr>
            </w:pPr>
            <w:r>
              <w:rPr>
                <w:sz w:val="4"/>
                <w:szCs w:val="4"/>
              </w:rPr>
            </w:r>
          </w:p>
        </w:tc>
        <w:tc>
          <w:tcPr>
            <w:tcW w:w="2129" w:type="dxa"/>
            <w:gridSpan w:val="3"/>
            <w:tcBorders>
              <w:top w:val="single" w:sz="8" w:space="0" w:color="000000"/>
            </w:tcBorders>
            <w:tcMar>
              <w:top w:w="4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Relative TSR Percentile</w:t>
              <w:br/>
              <w:t>Achieved</w:t>
            </w:r>
          </w:p>
        </w:tc>
        <w:tc>
          <w:tcPr>
            <w:tcW w:w="327" w:type="dxa"/>
            <w:gridSpan w:val="3"/>
            <w:tcBorders>
              <w:top w:val="single" w:sz="8" w:space="0" w:color="000000"/>
            </w:tcBorders>
            <w:tcMar>
              <w:top w:w="40" w:type="dxa"/>
            </w:tcMar>
            <w:vAlign w:val="center"/>
          </w:tcPr>
          <w:p>
            <w:pPr>
              <w:pStyle w:val="TableContents"/>
              <w:bidi w:val="0"/>
              <w:spacing w:before="0" w:after="283"/>
              <w:ind w:left="0" w:right="0" w:hanging="0"/>
              <w:jc w:val="left"/>
              <w:rPr>
                <w:sz w:val="4"/>
                <w:szCs w:val="4"/>
              </w:rPr>
            </w:pPr>
            <w:r>
              <w:rPr>
                <w:sz w:val="4"/>
                <w:szCs w:val="4"/>
              </w:rPr>
            </w:r>
          </w:p>
        </w:tc>
        <w:tc>
          <w:tcPr>
            <w:tcW w:w="3179" w:type="dxa"/>
            <w:gridSpan w:val="3"/>
            <w:tcBorders>
              <w:top w:val="single" w:sz="8" w:space="0" w:color="000000"/>
            </w:tcBorders>
            <w:tcMar>
              <w:top w:w="4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Relative TSR Multiplier Percentage</w:t>
            </w:r>
          </w:p>
        </w:tc>
      </w:tr>
      <w:tr>
        <w:trPr/>
        <w:tc>
          <w:tcPr>
            <w:tcW w:w="175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Threshold</w:t>
            </w:r>
          </w:p>
        </w:tc>
        <w:tc>
          <w:tcPr>
            <w:tcW w:w="327" w:type="dxa"/>
            <w:gridSpan w:val="3"/>
            <w:tcBorders/>
            <w:vAlign w:val="center"/>
          </w:tcPr>
          <w:p>
            <w:pPr>
              <w:pStyle w:val="TableContents"/>
              <w:bidi w:val="0"/>
              <w:spacing w:before="0" w:after="283"/>
              <w:ind w:left="0" w:right="0" w:hanging="0"/>
              <w:jc w:val="left"/>
              <w:rPr>
                <w:sz w:val="4"/>
                <w:szCs w:val="4"/>
              </w:rPr>
            </w:pPr>
            <w:r>
              <w:rPr>
                <w:sz w:val="4"/>
                <w:szCs w:val="4"/>
              </w:rPr>
            </w:r>
          </w:p>
        </w:tc>
        <w:tc>
          <w:tcPr>
            <w:tcW w:w="21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less than 25th</w:t>
            </w:r>
          </w:p>
        </w:tc>
        <w:tc>
          <w:tcPr>
            <w:tcW w:w="327" w:type="dxa"/>
            <w:gridSpan w:val="3"/>
            <w:tcBorders/>
            <w:vAlign w:val="center"/>
          </w:tcPr>
          <w:p>
            <w:pPr>
              <w:pStyle w:val="TableContents"/>
              <w:bidi w:val="0"/>
              <w:spacing w:before="0" w:after="283"/>
              <w:ind w:left="0" w:right="0" w:hanging="0"/>
              <w:jc w:val="left"/>
              <w:rPr>
                <w:sz w:val="4"/>
                <w:szCs w:val="4"/>
              </w:rPr>
            </w:pPr>
            <w:r>
              <w:rPr>
                <w:sz w:val="4"/>
                <w:szCs w:val="4"/>
              </w:rPr>
            </w:r>
          </w:p>
        </w:tc>
        <w:tc>
          <w:tcPr>
            <w:tcW w:w="317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175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Target</w:t>
            </w:r>
          </w:p>
        </w:tc>
        <w:tc>
          <w:tcPr>
            <w:tcW w:w="327" w:type="dxa"/>
            <w:gridSpan w:val="3"/>
            <w:tcBorders/>
            <w:vAlign w:val="center"/>
          </w:tcPr>
          <w:p>
            <w:pPr>
              <w:pStyle w:val="TableContents"/>
              <w:bidi w:val="0"/>
              <w:spacing w:before="0" w:after="283"/>
              <w:ind w:left="0" w:right="0" w:hanging="0"/>
              <w:jc w:val="left"/>
              <w:rPr>
                <w:sz w:val="4"/>
                <w:szCs w:val="4"/>
              </w:rPr>
            </w:pPr>
            <w:r>
              <w:rPr>
                <w:sz w:val="4"/>
                <w:szCs w:val="4"/>
              </w:rPr>
            </w:r>
          </w:p>
        </w:tc>
        <w:tc>
          <w:tcPr>
            <w:tcW w:w="212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the 50th</w:t>
            </w:r>
          </w:p>
        </w:tc>
        <w:tc>
          <w:tcPr>
            <w:tcW w:w="327" w:type="dxa"/>
            <w:gridSpan w:val="3"/>
            <w:tcBorders/>
            <w:vAlign w:val="center"/>
          </w:tcPr>
          <w:p>
            <w:pPr>
              <w:pStyle w:val="TableContents"/>
              <w:bidi w:val="0"/>
              <w:spacing w:before="0" w:after="283"/>
              <w:ind w:left="0" w:right="0" w:hanging="0"/>
              <w:jc w:val="left"/>
              <w:rPr>
                <w:sz w:val="4"/>
                <w:szCs w:val="4"/>
              </w:rPr>
            </w:pPr>
            <w:r>
              <w:rPr>
                <w:sz w:val="4"/>
                <w:szCs w:val="4"/>
              </w:rPr>
            </w:r>
          </w:p>
        </w:tc>
        <w:tc>
          <w:tcPr>
            <w:tcW w:w="317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 modifier</w:t>
            </w:r>
          </w:p>
        </w:tc>
      </w:tr>
      <w:tr>
        <w:trPr/>
        <w:tc>
          <w:tcPr>
            <w:tcW w:w="1755" w:type="dxa"/>
            <w:gridSpan w:val="3"/>
            <w:tcBorders>
              <w:bottom w:val="single" w:sz="8" w:space="0" w:color="000000"/>
            </w:tcBorders>
            <w:tcMar>
              <w:bottom w:w="4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Ceiling</w:t>
            </w:r>
          </w:p>
        </w:tc>
        <w:tc>
          <w:tcPr>
            <w:tcW w:w="327" w:type="dxa"/>
            <w:gridSpan w:val="3"/>
            <w:tcBorders>
              <w:bottom w:val="single" w:sz="8" w:space="0" w:color="000000"/>
            </w:tcBorders>
            <w:tcMar>
              <w:bottom w:w="40" w:type="dxa"/>
            </w:tcMar>
            <w:vAlign w:val="center"/>
          </w:tcPr>
          <w:p>
            <w:pPr>
              <w:pStyle w:val="TableContents"/>
              <w:bidi w:val="0"/>
              <w:spacing w:before="0" w:after="283"/>
              <w:ind w:left="0" w:right="0" w:hanging="0"/>
              <w:jc w:val="left"/>
              <w:rPr>
                <w:sz w:val="4"/>
                <w:szCs w:val="4"/>
              </w:rPr>
            </w:pPr>
            <w:r>
              <w:rPr>
                <w:sz w:val="4"/>
                <w:szCs w:val="4"/>
              </w:rPr>
            </w:r>
          </w:p>
        </w:tc>
        <w:tc>
          <w:tcPr>
            <w:tcW w:w="2129" w:type="dxa"/>
            <w:gridSpan w:val="3"/>
            <w:tcBorders>
              <w:bottom w:val="single" w:sz="8" w:space="0" w:color="000000"/>
            </w:tcBorders>
            <w:tcMar>
              <w:bottom w:w="4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above 75th</w:t>
            </w:r>
          </w:p>
        </w:tc>
        <w:tc>
          <w:tcPr>
            <w:tcW w:w="327" w:type="dxa"/>
            <w:gridSpan w:val="3"/>
            <w:tcBorders>
              <w:bottom w:val="single" w:sz="8" w:space="0" w:color="000000"/>
            </w:tcBorders>
            <w:tcMar>
              <w:bottom w:w="40" w:type="dxa"/>
            </w:tcMar>
            <w:vAlign w:val="center"/>
          </w:tcPr>
          <w:p>
            <w:pPr>
              <w:pStyle w:val="TableContents"/>
              <w:bidi w:val="0"/>
              <w:spacing w:before="0" w:after="283"/>
              <w:ind w:left="0" w:right="0" w:hanging="0"/>
              <w:jc w:val="left"/>
              <w:rPr>
                <w:sz w:val="4"/>
                <w:szCs w:val="4"/>
              </w:rPr>
            </w:pPr>
            <w:r>
              <w:rPr>
                <w:sz w:val="4"/>
                <w:szCs w:val="4"/>
              </w:rPr>
            </w:r>
          </w:p>
        </w:tc>
        <w:tc>
          <w:tcPr>
            <w:tcW w:w="3179" w:type="dxa"/>
            <w:gridSpan w:val="3"/>
            <w:tcBorders>
              <w:bottom w:val="single" w:sz="8" w:space="0" w:color="000000"/>
            </w:tcBorders>
            <w:tcMar>
              <w:bottom w:w="4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Relative TSR Percentile Achieved falls in between the Performance Levels specified above, linear interpolation will be used to calculate the Relative TSR Multiplier Percentage, For the avoidance of doubt, in no event may the Relative TSR Multiplier Percentage be less than 80% or greater than 120%.</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TSR modifier will be applied as follows to allow for an adjustment of up to +/-20% for shares that vest during each year. The periods on which TSR is measured (“Comparison Period”) and settled is as detailed below: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shares that vest on the 3rd anniversary of the grant date of the initial installment (i.e., in August 2026), TSR modifier will be applied as of the 3rd anniversary date and shares will be settled as soon as practical after the 3rd anniversary, subject to paragraph 3 of the PSU Agreement to which this Exhibit is attached.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shares that vest after the 3rd anniversary of the grant date of the initial installment and on or before 1/31/2027, the TSR modifier will be applied as of 1/31/2027 and shares will be settled prior to 75 days following 1/31/2027</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shares that vest between 2/1/2027 and on or before 1/31/2028, the TSR modifier will be applied as of 1/31/2028 and shares will be settled prior to 75 days following 1/31/2028</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shares that vest between 2/1/2028 and the 5th anniversary of the grant date of the initial installment, the TSR modifier will be applied as of the 5th anniversary and shares will be settled as soon as practical after the 5th anniversary, but no later than as provided in paragraph 3 of the PSU Agreement to which this Exhibit is attached.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event the Company's absolute TSR for the Comparison Period is less than zero, no positive adjustment shall be made.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final number of PSUs to vest based on this calculation shall be rounded to the nearest whole share, with no payment for any fractional shares made.</w:t>
      </w:r>
    </w:p>
    <w:p>
      <w:pPr>
        <w:pStyle w:val="TextBody"/>
        <w:bidi w:val="0"/>
        <w:spacing w:before="0" w:after="0"/>
        <w:ind w:left="0" w:right="0" w:firstLine="90"/>
        <w:jc w:val="both"/>
        <w:rPr/>
      </w:pPr>
      <w:r>
        <w:rPr/>
        <w:t>​</w:t>
      </w:r>
    </w:p>
    <w:p>
      <w:pPr>
        <w:pStyle w:val="TextBody"/>
        <w:bidi w:val="0"/>
        <w:spacing w:before="0" w:after="0"/>
        <w:ind w:left="0" w:right="0" w:firstLine="90"/>
        <w:jc w:val="both"/>
        <w:rPr>
          <w:rFonts w:ascii="Times New Roman;Times;serif" w:hAnsi="Times New Roman;Times;serif"/>
          <w:sz w:val="20"/>
        </w:rPr>
      </w:pPr>
      <w:r>
        <w:rPr>
          <w:rFonts w:ascii="Times New Roman;Times;serif" w:hAnsi="Times New Roman;Times;serif"/>
          <w:sz w:val="20"/>
        </w:rPr>
        <w:t>(A) Formula for Calculating TSR and Determining Percentile Rank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TSR for the Company shall be expressed as a percentage and calculated according to the following formula:</w:t>
      </w:r>
    </w:p>
    <w:p>
      <w:pPr>
        <w:pStyle w:val="TextBody"/>
        <w:bidi w:val="0"/>
        <w:spacing w:before="0" w:after="0"/>
        <w:ind w:left="0" w:right="0" w:hanging="0"/>
        <w:jc w:val="left"/>
        <w:rPr/>
      </w:pPr>
      <w:r>
        <w:rPr/>
        <w:t>​</w:t>
      </w:r>
    </w:p>
    <w:p>
      <w:pPr>
        <w:pStyle w:val="TextBody"/>
        <w:bidi w:val="0"/>
        <w:spacing w:before="0" w:after="0"/>
        <w:ind w:left="0" w:right="0" w:firstLine="792"/>
        <w:jc w:val="left"/>
        <w:rPr>
          <w:rFonts w:ascii="Times New Roman;Times;serif" w:hAnsi="Times New Roman;Times;serif"/>
          <w:i/>
          <w:sz w:val="20"/>
        </w:rPr>
      </w:pPr>
      <w:r>
        <w:rPr>
          <w:rFonts w:ascii="Times New Roman;Times;serif" w:hAnsi="Times New Roman;Times;serif"/>
          <w:i/>
          <w:sz w:val="20"/>
        </w:rPr>
        <w:t>TSR = (End Average Share Value / Begin Average Share Value) -1</w:t>
      </w:r>
    </w:p>
    <w:p>
      <w:pPr>
        <w:pStyle w:val="TextBody"/>
        <w:bidi w:val="0"/>
        <w:spacing w:before="0" w:after="0"/>
        <w:ind w:left="0" w:right="0" w:firstLine="792"/>
        <w:jc w:val="left"/>
        <w:rPr>
          <w:rFonts w:ascii="Times New Roman;Times;serif" w:hAnsi="Times New Roman;Times;serif"/>
          <w:sz w:val="20"/>
        </w:rPr>
      </w:pPr>
      <w:r>
        <w:rPr>
          <w:rFonts w:ascii="Times New Roman;Times;serif" w:hAnsi="Times New Roman;Times;serif"/>
          <w:sz w:val="20"/>
        </w:rPr>
        <w:t>Where:</w:t>
      </w:r>
    </w:p>
    <w:p>
      <w:pPr>
        <w:pStyle w:val="TextBody"/>
        <w:bidi w:val="0"/>
        <w:spacing w:before="0" w:after="0"/>
        <w:ind w:left="0" w:right="0" w:firstLine="792"/>
        <w:jc w:val="left"/>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i/>
          <w:sz w:val="20"/>
        </w:rPr>
        <w:t xml:space="preserve">End Average Share Value </w:t>
      </w:r>
      <w:r>
        <w:rPr>
          <w:rFonts w:ascii="Times New Roman;Times;serif" w:hAnsi="Times New Roman;Times;serif"/>
          <w:sz w:val="20"/>
        </w:rPr>
        <w:t>means the average Share Value over the trading days in the End Average Period.</w:t>
      </w:r>
    </w:p>
    <w:p>
      <w:pPr>
        <w:pStyle w:val="TextBody"/>
        <w:pBdr/>
        <w:bidi w:val="0"/>
        <w:spacing w:before="0" w:after="0"/>
        <w:ind w:left="100" w:right="0" w:hanging="0"/>
        <w:jc w:val="both"/>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i/>
          <w:sz w:val="20"/>
        </w:rPr>
        <w:t xml:space="preserve">End Average Period </w:t>
      </w:r>
      <w:r>
        <w:rPr>
          <w:rFonts w:ascii="Times New Roman;Times;serif" w:hAnsi="Times New Roman;Times;serif"/>
          <w:sz w:val="20"/>
        </w:rPr>
        <w:t>means the fifteen (15) trading days at the end of the Comparison Period.</w:t>
      </w:r>
    </w:p>
    <w:p>
      <w:pPr>
        <w:pStyle w:val="TextBody"/>
        <w:pBdr/>
        <w:bidi w:val="0"/>
        <w:spacing w:before="0" w:after="0"/>
        <w:ind w:left="100" w:right="0" w:hanging="0"/>
        <w:jc w:val="both"/>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i/>
          <w:sz w:val="20"/>
        </w:rPr>
        <w:t xml:space="preserve">Begin Average Share Value </w:t>
      </w:r>
      <w:r>
        <w:rPr>
          <w:rFonts w:ascii="Times New Roman;Times;serif" w:hAnsi="Times New Roman;Times;serif"/>
          <w:sz w:val="20"/>
        </w:rPr>
        <w:t>means the average Share Value over the trading days in Begin Average Period.</w:t>
      </w:r>
    </w:p>
    <w:p>
      <w:pPr>
        <w:pStyle w:val="TextBody"/>
        <w:pBdr/>
        <w:bidi w:val="0"/>
        <w:spacing w:before="0" w:after="0"/>
        <w:ind w:left="100" w:right="0" w:hanging="0"/>
        <w:jc w:val="both"/>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i/>
          <w:sz w:val="20"/>
        </w:rPr>
        <w:t xml:space="preserve">Begin Average Period </w:t>
      </w:r>
      <w:r>
        <w:rPr>
          <w:rFonts w:ascii="Times New Roman;Times;serif" w:hAnsi="Times New Roman;Times;serif"/>
          <w:sz w:val="20"/>
        </w:rPr>
        <w:t>means the first fifteen (15) trading days during the first month of the Comparison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- 5</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100" w:right="0" w:hanging="0"/>
        <w:jc w:val="both"/>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i/>
          <w:sz w:val="20"/>
        </w:rPr>
        <w:t xml:space="preserve">Share Value </w:t>
      </w:r>
      <w:r>
        <w:rPr>
          <w:rFonts w:ascii="Times New Roman;Times;serif" w:hAnsi="Times New Roman;Times;serif"/>
          <w:sz w:val="20"/>
        </w:rPr>
        <w:t>means, for a given trading day, the Closing Price of a share of Common Stock multiplied by the Accumulated Shares for such trading day.</w:t>
      </w:r>
    </w:p>
    <w:p>
      <w:pPr>
        <w:pStyle w:val="TextBody"/>
        <w:pBdr/>
        <w:bidi w:val="0"/>
        <w:spacing w:before="0" w:after="0"/>
        <w:ind w:left="100" w:right="0" w:hanging="0"/>
        <w:jc w:val="both"/>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i/>
          <w:sz w:val="20"/>
        </w:rPr>
        <w:t xml:space="preserve">Accumulated Shares </w:t>
      </w:r>
      <w:r>
        <w:rPr>
          <w:rFonts w:ascii="Times New Roman;Times;serif" w:hAnsi="Times New Roman;Times;serif"/>
          <w:sz w:val="20"/>
        </w:rPr>
        <w:t>means, for a given trading day, the sum of (i) one (1) share plus (ii) the cumulative number of shares of Common Stock purchasable with dividends declared on the Common Stock to that point during the period since the first day of the Begin Average Period, assuming same day reinvestment of such dividends at the Closing Price on the ex-dividend date.</w:t>
      </w:r>
    </w:p>
    <w:p>
      <w:pPr>
        <w:pStyle w:val="TextBody"/>
        <w:pBdr/>
        <w:bidi w:val="0"/>
        <w:spacing w:before="0" w:after="0"/>
        <w:ind w:left="100" w:right="0" w:hanging="0"/>
        <w:jc w:val="both"/>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i/>
          <w:sz w:val="20"/>
        </w:rPr>
        <w:t xml:space="preserve">Closing Price </w:t>
      </w:r>
      <w:r>
        <w:rPr>
          <w:rFonts w:ascii="Times New Roman;Times;serif" w:hAnsi="Times New Roman;Times;serif"/>
          <w:sz w:val="20"/>
        </w:rPr>
        <w:t>means, for a given trading day, the closing price of a share of the Company’s common stock on the NASDAQ National Market.</w:t>
      </w:r>
    </w:p>
    <w:p>
      <w:pPr>
        <w:pStyle w:val="TextBody"/>
        <w:pBdr/>
        <w:bidi w:val="0"/>
        <w:spacing w:before="0" w:after="0"/>
        <w:ind w:left="100" w:right="0" w:hanging="0"/>
        <w:jc w:val="both"/>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i/>
          <w:sz w:val="20"/>
        </w:rPr>
        <w:t>Comparator Companies</w:t>
      </w:r>
      <w:r>
        <w:rPr>
          <w:rFonts w:ascii="Times New Roman;Times;serif" w:hAnsi="Times New Roman;Times;serif"/>
          <w:sz w:val="20"/>
        </w:rPr>
        <w:t xml:space="preserve"> has the meaning ascribed to such term on Schedule I hereto. </w:t>
      </w:r>
    </w:p>
    <w:p>
      <w:pPr>
        <w:pStyle w:val="TextBody"/>
        <w:bidi w:val="0"/>
        <w:spacing w:before="0" w:after="0"/>
        <w:ind w:left="0" w:right="0" w:firstLine="72"/>
        <w:jc w:val="both"/>
        <w:rPr/>
      </w:pPr>
      <w:r>
        <w:rPr/>
        <w:t>​</w:t>
      </w:r>
    </w:p>
    <w:p>
      <w:pPr>
        <w:pStyle w:val="TextBody"/>
        <w:bidi w:val="0"/>
        <w:spacing w:before="0" w:after="0"/>
        <w:ind w:left="0" w:right="0" w:firstLine="72"/>
        <w:jc w:val="both"/>
        <w:rPr>
          <w:rFonts w:ascii="Times New Roman;Times;serif" w:hAnsi="Times New Roman;Times;serif"/>
          <w:sz w:val="20"/>
        </w:rPr>
      </w:pPr>
      <w:r>
        <w:rPr>
          <w:rFonts w:ascii="Times New Roman;Times;serif" w:hAnsi="Times New Roman;Times;serif"/>
          <w:sz w:val="20"/>
        </w:rPr>
        <w:t>(B) Percentile rank for the Company shall be expressed as a percentage and calculated as follows:</w:t>
      </w:r>
    </w:p>
    <w:p>
      <w:pPr>
        <w:pStyle w:val="TextBody"/>
        <w:pBdr/>
        <w:bidi w:val="0"/>
        <w:spacing w:before="0" w:after="0"/>
        <w:ind w:left="100" w:right="0" w:hanging="0"/>
        <w:jc w:val="both"/>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sz w:val="20"/>
        </w:rPr>
        <w:t>FIRST: For the Company and for each other company in the Comparator Group, determine the TSR for the Comparison Period.</w:t>
      </w:r>
    </w:p>
    <w:p>
      <w:pPr>
        <w:pStyle w:val="TextBody"/>
        <w:bidi w:val="0"/>
        <w:spacing w:before="0" w:after="0"/>
        <w:ind w:left="0" w:right="0" w:hanging="0"/>
        <w:jc w:val="left"/>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sz w:val="20"/>
        </w:rPr>
        <w:t>SECOND: Rank the TSR values determined in the first step for the Comparator Companies from high to low and determine the Company's percentile rank by applying the percentile rank function available in Microsoft Excel or any comparable spreadsheet application.</w:t>
      </w:r>
    </w:p>
    <w:p>
      <w:pPr>
        <w:pStyle w:val="TextBody"/>
        <w:pBdr/>
        <w:bidi w:val="0"/>
        <w:spacing w:before="0" w:after="0"/>
        <w:ind w:left="100" w:right="0" w:hanging="0"/>
        <w:jc w:val="both"/>
        <w:rPr/>
      </w:pPr>
      <w:r>
        <w:rPr/>
        <w:t>​</w:t>
      </w:r>
    </w:p>
    <w:p>
      <w:pPr>
        <w:pStyle w:val="TextBody"/>
        <w:pBdr/>
        <w:bidi w:val="0"/>
        <w:spacing w:before="0" w:after="0"/>
        <w:ind w:left="100" w:right="0" w:hanging="0"/>
        <w:jc w:val="both"/>
        <w:rPr>
          <w:rFonts w:ascii="Times New Roman;Times;serif" w:hAnsi="Times New Roman;Times;serif"/>
          <w:sz w:val="20"/>
        </w:rPr>
      </w:pPr>
      <w:r>
        <w:rPr>
          <w:rFonts w:ascii="Times New Roman;Times;serif" w:hAnsi="Times New Roman;Times;serif"/>
          <w:sz w:val="20"/>
        </w:rPr>
        <w:t xml:space="preserve">THIRD: Plot the percentile rank for the Company determined in the second step against the Relative TSR Percentile table above and determine the resulting Relative TSR Multiplier Percentage corresponding to that percentile rank.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Comparator Group is determined as of the first day of the Begin Average Period. Any new company entrants into the Comparator Group after that date are to be excluded from the Comparator Group. </w:t>
      </w:r>
    </w:p>
    <w:p>
      <w:pPr>
        <w:pStyle w:val="TextBody"/>
        <w:bidi w:val="0"/>
        <w:spacing w:before="0" w:after="0"/>
        <w:ind w:left="0" w:right="0" w:firstLine="72"/>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company that (i) files for bankruptcy, reorganization, or liquidation under any chapter of the U.S. Bankruptcy Code, (ii) is the subject of an involuntary bankruptcy proceeding that is not dismissed within 30 days, (iii) is the subject of a stockholder approved plan of liquidation or dissolution, or (iv) ceases to conduct substantial business operations during the Comparison Period shall be assigned a TSR of negative one hundred percent (-100%). A company shall be removed from the Comparator Group if they undergo a Specified Corporate Change. A company that is removed from the Comparator Group before the measurement date will not be included at all in the computation of the Relative TSR Multiplier Percentage. A company in the Comparator Group will be deemed to have undergone a “Specified Corporate Change” if it:</w:t>
      </w:r>
    </w:p>
    <w:p>
      <w:pPr>
        <w:pStyle w:val="TextBody"/>
        <w:bidi w:val="0"/>
        <w:spacing w:before="0" w:after="0"/>
        <w:ind w:left="0" w:right="0" w:hanging="0"/>
        <w:jc w:val="both"/>
        <w:rPr/>
      </w:pPr>
      <w:r>
        <w:rPr/>
        <w:t>​</w:t>
      </w:r>
    </w:p>
    <w:p>
      <w:pPr>
        <w:pStyle w:val="TextBody"/>
        <w:pBdr/>
        <w:bidi w:val="0"/>
        <w:spacing w:before="0" w:after="0"/>
        <w:ind w:left="0" w:right="0" w:hanging="360"/>
        <w:jc w:val="both"/>
        <w:rPr/>
      </w:pPr>
      <w:r>
        <w:rPr/>
        <w:t>•</w:t>
      </w:r>
      <w:r>
        <w:rPr>
          <w:rFonts w:ascii="Times New Roman;Times;serif" w:hAnsi="Times New Roman;Times;serif"/>
          <w:sz w:val="20"/>
        </w:rPr>
        <w:t>Ceases to be a domestically domiciled publicly traded company on a national stock exchange or market system, unless such cessation of such listing is due to a low stock price or low trading volume; or</w:t>
      </w:r>
    </w:p>
    <w:p>
      <w:pPr>
        <w:pStyle w:val="TextBody"/>
        <w:bidi w:val="0"/>
        <w:spacing w:before="0" w:after="0"/>
        <w:ind w:left="0" w:right="0" w:hanging="0"/>
        <w:jc w:val="left"/>
        <w:rPr/>
      </w:pPr>
      <w:r>
        <w:rPr/>
        <w:t>​</w:t>
      </w:r>
    </w:p>
    <w:p>
      <w:pPr>
        <w:pStyle w:val="TextBody"/>
        <w:pBdr/>
        <w:bidi w:val="0"/>
        <w:spacing w:before="0" w:after="0"/>
        <w:ind w:left="0" w:right="0" w:hanging="360"/>
        <w:jc w:val="both"/>
        <w:rPr/>
      </w:pPr>
      <w:r>
        <w:rPr/>
        <w:t>•</w:t>
      </w:r>
      <w:r>
        <w:rPr>
          <w:rFonts w:ascii="Times New Roman;Times;serif" w:hAnsi="Times New Roman;Times;serif"/>
          <w:sz w:val="20"/>
        </w:rPr>
        <w:t>Has gone private; or</w:t>
      </w:r>
    </w:p>
    <w:p>
      <w:pPr>
        <w:pStyle w:val="TextBody"/>
        <w:bidi w:val="0"/>
        <w:spacing w:before="0" w:after="0"/>
        <w:ind w:left="0" w:right="0" w:hanging="0"/>
        <w:jc w:val="left"/>
        <w:rPr/>
      </w:pPr>
      <w:r>
        <w:rPr/>
        <w:t>​</w:t>
      </w:r>
    </w:p>
    <w:p>
      <w:pPr>
        <w:pStyle w:val="TextBody"/>
        <w:pBdr/>
        <w:bidi w:val="0"/>
        <w:spacing w:before="0" w:after="0"/>
        <w:ind w:left="0" w:right="0" w:hanging="360"/>
        <w:jc w:val="both"/>
        <w:rPr/>
      </w:pPr>
      <w:r>
        <w:rPr/>
        <w:t>•</w:t>
      </w:r>
      <w:r>
        <w:rPr>
          <w:rFonts w:ascii="Times New Roman;Times;serif" w:hAnsi="Times New Roman;Times;serif"/>
          <w:sz w:val="20"/>
        </w:rPr>
        <w:t>Has reincorporated in a foreign (e.g., non-U.S.) jurisdiction, regardless of whether it is a reporting company in that or another jurisdiction; or</w:t>
      </w:r>
    </w:p>
    <w:p>
      <w:pPr>
        <w:pStyle w:val="TextBody"/>
        <w:bidi w:val="0"/>
        <w:spacing w:before="0" w:after="0"/>
        <w:ind w:left="0" w:right="0" w:hanging="0"/>
        <w:jc w:val="left"/>
        <w:rPr/>
      </w:pPr>
      <w:r>
        <w:rPr/>
        <w:t>​</w:t>
      </w:r>
    </w:p>
    <w:p>
      <w:pPr>
        <w:pStyle w:val="TextBody"/>
        <w:pBdr/>
        <w:bidi w:val="0"/>
        <w:spacing w:before="0" w:after="0"/>
        <w:ind w:left="0" w:right="0" w:hanging="360"/>
        <w:jc w:val="both"/>
        <w:rPr/>
      </w:pPr>
      <w:r>
        <w:rPr/>
        <w:t>•</w:t>
      </w:r>
      <w:r>
        <w:rPr>
          <w:rFonts w:ascii="Times New Roman;Times;serif" w:hAnsi="Times New Roman;Times;serif"/>
          <w:sz w:val="20"/>
        </w:rPr>
        <w:t xml:space="preserve">Has been acquired by another company (whether by a Comparator Group company or otherwise, but not including internal reorganizations), or has sold all or substantially all of its assets.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TSR calculations shall also be adjusted as deemed appropriate by the Compensation Committee to reflect any stock split, reverse stock split or other similar corporate transaction.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shall rely on press releases, public filings, website postings, and other reasonably reliable information available regarding a company in the Comparator Group in making a determination that a Specified Corporate Change has occurred.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Compensation Committee Certification</w:t>
      </w:r>
    </w:p>
    <w:p>
      <w:pPr>
        <w:pStyle w:val="TextBody"/>
        <w:bidi w:val="0"/>
        <w:spacing w:before="0" w:after="0"/>
        <w:ind w:left="0" w:right="0" w:hanging="0"/>
        <w:jc w:val="left"/>
        <w:rPr/>
      </w:pPr>
      <w:r>
        <w:rPr/>
        <w:t>​</w:t>
      </w:r>
    </w:p>
    <w:p>
      <w:pPr>
        <w:pStyle w:val="TextBody"/>
        <w:bidi w:val="0"/>
        <w:spacing w:before="0" w:after="0"/>
        <w:ind w:left="0" w:right="0" w:firstLine="72"/>
        <w:jc w:val="both"/>
        <w:rPr>
          <w:rFonts w:ascii="Times New Roman;Times;serif" w:hAnsi="Times New Roman;Times;serif"/>
          <w:sz w:val="20"/>
        </w:rPr>
      </w:pPr>
      <w:r>
        <w:rPr>
          <w:rFonts w:ascii="Times New Roman;Times;serif" w:hAnsi="Times New Roman;Times;serif"/>
          <w:sz w:val="20"/>
        </w:rPr>
        <w:t>Notwithstanding anything to the contrary herein, the initial performance measurement described in the Agreement and the adjustment described in this Exhibit B shall each be subject to certification by the Compensation Committee.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- 6</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COMPARATOR GROUP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S&amp;P 1500 Textiles, Apparel &amp; Luxury Goods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Crocs,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Deckers Outdoor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Capri Holdings Limited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Movado Group,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Tapestry,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Oxford Industries,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Kontoor Brands,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NIKE,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Skechers USA,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Ralph Lauren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Columbia Sportswear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PVH Corp.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 Madden, Ltd.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Carter’s,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Hanes Brands,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Armour,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Wolverine World Wide,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V.F. Corporation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- 7</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Exhibit C</w:t>
      </w:r>
    </w:p>
    <w:p>
      <w:pPr>
        <w:pStyle w:val="TextBody"/>
        <w:bidi w:val="0"/>
        <w:spacing w:before="0" w:after="0"/>
        <w:ind w:left="0" w:right="0" w:hanging="0"/>
        <w:jc w:val="left"/>
        <w:rPr/>
      </w:pPr>
      <w:r>
        <w:rPr/>
        <w:t>​</w:t>
      </w:r>
    </w:p>
    <w:p>
      <w:pPr>
        <w:pStyle w:val="TextBody"/>
        <w:bidi w:val="0"/>
        <w:spacing w:lineRule="atLeast" w:line="220" w:before="0" w:after="120"/>
        <w:ind w:left="0" w:right="0" w:hanging="0"/>
        <w:jc w:val="left"/>
        <w:rPr>
          <w:rFonts w:ascii="Times New Roman;Times;serif" w:hAnsi="Times New Roman;Times;serif"/>
          <w:sz w:val="20"/>
        </w:rPr>
      </w:pPr>
      <w:r>
        <w:rPr>
          <w:rFonts w:ascii="Times New Roman;Times;serif" w:hAnsi="Times New Roman;Times;serif"/>
          <w:sz w:val="20"/>
        </w:rPr>
        <w:t xml:space="preserve">Methods </w:t>
      </w:r>
    </w:p>
    <w:p>
      <w:pPr>
        <w:pStyle w:val="TextBody"/>
        <w:bidi w:val="0"/>
        <w:spacing w:lineRule="atLeast" w:line="220" w:before="0" w:after="12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Concentration Method</w:t>
            </w:r>
            <w:r>
              <w:rPr>
                <w:rFonts w:ascii="Times New Roman;Times;serif" w:hAnsi="Times New Roman;Times;serif"/>
                <w:b w:val="false"/>
                <w:i w:val="false"/>
                <w:caps w:val="false"/>
                <w:smallCaps w:val="false"/>
                <w:sz w:val="20"/>
              </w:rPr>
              <w:t>. The Company awards held by specified employees (typically, employees who will be primarily dedicated to the spin-off company) are converted into awards of the spin-off company, while the parent awards held by all other employees continue to be based on parent equity and are adjusted to reflect the decrease in value of parent equity upon the spin-off.</w:t>
            </w:r>
          </w:p>
        </w:tc>
      </w:tr>
    </w:tbl>
    <w:p>
      <w:pPr>
        <w:pStyle w:val="TextBody"/>
        <w:bidi w:val="0"/>
        <w:spacing w:lineRule="atLeast" w:line="220" w:before="0" w:after="120"/>
        <w:ind w:left="15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0"/>
              </w:rPr>
              <w:t>Basket Method</w:t>
            </w:r>
            <w:r>
              <w:rPr>
                <w:rFonts w:ascii="Times New Roman;Times;serif" w:hAnsi="Times New Roman;Times;serif"/>
                <w:b w:val="false"/>
                <w:i w:val="false"/>
                <w:caps w:val="false"/>
                <w:smallCaps w:val="false"/>
                <w:sz w:val="20"/>
              </w:rPr>
              <w:t>. All Company awards (regardless of employee) are converted into (1) an adjusted parent award and (2) a spin-off company award. This method is sometimes referred to as the “shareholder method,” because the treatment closely mirrors the treatment of shares generally, or as the “bifurcated method.”</w:t>
            </w:r>
          </w:p>
        </w:tc>
      </w:tr>
    </w:tbl>
    <w:p>
      <w:pPr>
        <w:pStyle w:val="TextBody"/>
        <w:bidi w:val="0"/>
        <w:spacing w:before="0" w:after="0"/>
        <w:ind w:left="720" w:right="0" w:hanging="0"/>
        <w:jc w:val="left"/>
        <w:rPr/>
      </w:pPr>
      <w:r>
        <w:rPr/>
        <w:t>​</w:t>
      </w:r>
    </w:p>
    <w:tbl>
      <w:tblPr>
        <w:tblW w:w="4938" w:type="dxa"/>
        <w:jc w:val="left"/>
        <w:tblInd w:w="0" w:type="dxa"/>
        <w:tblLayout w:type="fixed"/>
        <w:tblCellMar>
          <w:top w:w="0" w:type="dxa"/>
          <w:left w:w="0" w:type="dxa"/>
          <w:bottom w:w="0" w:type="dxa"/>
          <w:right w:w="0" w:type="dxa"/>
        </w:tblCellMar>
      </w:tblPr>
      <w:tblGrid>
        <w:gridCol w:w="23"/>
        <w:gridCol w:w="170"/>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pPr>
            <w:r>
              <w:rPr>
                <w:rFonts w:ascii="Times New Roman;Times;serif" w:hAnsi="Times New Roman;Times;serif"/>
                <w:b w:val="false"/>
                <w:i/>
                <w:sz w:val="20"/>
              </w:rPr>
              <w:t>Plan</w:t>
            </w:r>
            <w:r>
              <w:rPr>
                <w:rFonts w:ascii="Times New Roman;Times;serif" w:hAnsi="Times New Roman;Times;serif"/>
                <w:b w:val="false"/>
                <w:i w:val="false"/>
                <w:caps w:val="false"/>
                <w:smallCaps w:val="false"/>
                <w:sz w:val="20"/>
              </w:rPr>
              <w:t>. As otherwise provided under Section 4.2 of the Plan.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4"/>
        </w:rPr>
        <w:t>- 8</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271" w:name="giii-20231031xex31d1.htm"/>
      <w:bookmarkStart w:id="1272" w:name="ksgiii20231031xex31d1"/>
      <w:bookmarkEnd w:id="1271"/>
      <w:bookmarkEnd w:id="1272"/>
      <w:r>
        <w:rPr>
          <w:rFonts w:ascii="Times New Roman;Times;serif" w:hAnsi="Times New Roman;Times;serif"/>
          <w:b/>
          <w:sz w:val="20"/>
        </w:rPr>
        <w:t>Exhibit 31.1</w:t>
      </w:r>
      <w:r>
        <w:br w:type="page"/>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lineRule="atLeast" w:line="220" w:before="0" w:after="200"/>
        <w:ind w:left="0" w:right="0" w:hanging="0"/>
        <w:jc w:val="center"/>
        <w:rPr>
          <w:rFonts w:ascii="Times New Roman;Times;serif" w:hAnsi="Times New Roman;Times;serif"/>
          <w:sz w:val="20"/>
        </w:rPr>
      </w:pPr>
      <w:r>
        <w:rPr>
          <w:rFonts w:ascii="Times New Roman;Times;serif" w:hAnsi="Times New Roman;Times;serif"/>
          <w:sz w:val="20"/>
        </w:rPr>
        <w:t>RULE 13a - 14(a) OR RULE 15d - 14(a) OF THE SECURITIES EXCHANGE ACT OF 1934, AS AMENDED</w:t>
      </w:r>
    </w:p>
    <w:p>
      <w:pPr>
        <w:pStyle w:val="TextBody"/>
        <w:bidi w:val="0"/>
        <w:spacing w:lineRule="atLeast" w:line="220" w:before="0" w:after="200"/>
        <w:ind w:left="0" w:right="0" w:hanging="0"/>
        <w:jc w:val="both"/>
        <w:rPr>
          <w:rFonts w:ascii="Times New Roman;Times;serif" w:hAnsi="Times New Roman;Times;serif"/>
          <w:sz w:val="20"/>
        </w:rPr>
      </w:pPr>
      <w:r>
        <w:rPr>
          <w:rFonts w:ascii="Times New Roman;Times;serif" w:hAnsi="Times New Roman;Times;serif"/>
          <w:sz w:val="20"/>
        </w:rPr>
        <w:t>I, Morris Goldfarb, certify that:</w:t>
      </w:r>
    </w:p>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G-III Apparel Group, Ltd.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Date: December 6, 2023</w:t>
      </w:r>
    </w:p>
    <w:tbl>
      <w:tblPr>
        <w:tblW w:w="2232" w:type="dxa"/>
        <w:jc w:val="center"/>
        <w:tblInd w:w="0" w:type="dxa"/>
        <w:tblLayout w:type="fixed"/>
        <w:tblCellMar>
          <w:top w:w="0" w:type="dxa"/>
          <w:left w:w="0" w:type="dxa"/>
          <w:bottom w:w="0" w:type="dxa"/>
          <w:right w:w="0" w:type="dxa"/>
        </w:tblCellMar>
      </w:tblPr>
      <w:tblGrid>
        <w:gridCol w:w="161"/>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273" w:name="_Hlk143762188"/>
      <w:bookmarkStart w:id="1274" w:name="giii-20231031xex31d2.htm"/>
      <w:bookmarkStart w:id="1275" w:name="ksgiii20231031xex31d2"/>
      <w:bookmarkEnd w:id="1273"/>
      <w:bookmarkEnd w:id="1274"/>
      <w:bookmarkEnd w:id="1275"/>
      <w:r>
        <w:rPr>
          <w:rFonts w:ascii="Times New Roman;Times;serif" w:hAnsi="Times New Roman;Times;serif"/>
          <w:b/>
          <w:sz w:val="20"/>
        </w:rPr>
        <w:t>Exhibit 31.2</w:t>
      </w:r>
      <w:r>
        <w:br w:type="page"/>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lineRule="atLeast" w:line="220" w:before="0" w:after="200"/>
        <w:ind w:left="0" w:right="0" w:hanging="0"/>
        <w:jc w:val="center"/>
        <w:rPr>
          <w:rFonts w:ascii="Times New Roman;Times;serif" w:hAnsi="Times New Roman;Times;serif"/>
          <w:sz w:val="20"/>
        </w:rPr>
      </w:pPr>
      <w:r>
        <w:rPr>
          <w:rFonts w:ascii="Times New Roman;Times;serif" w:hAnsi="Times New Roman;Times;serif"/>
          <w:sz w:val="20"/>
        </w:rPr>
        <w:t>RULE 13a - 14(a) OR RULE 15d - 14(a) OF THE SECURITIES EXCHANGE ACT OF 1934, AS AMENDED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I, Neal S. Nackman, certify that:</w:t>
      </w:r>
    </w:p>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G-III Apparel Group, Ltd.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Date: December 6, 2023</w:t>
      </w:r>
    </w:p>
    <w:tbl>
      <w:tblPr>
        <w:tblW w:w="2172" w:type="dxa"/>
        <w:jc w:val="center"/>
        <w:tblInd w:w="0" w:type="dxa"/>
        <w:tblLayout w:type="fixed"/>
        <w:tblCellMar>
          <w:top w:w="0" w:type="dxa"/>
          <w:left w:w="0" w:type="dxa"/>
          <w:bottom w:w="0" w:type="dxa"/>
          <w:right w:w="0" w:type="dxa"/>
        </w:tblCellMar>
      </w:tblPr>
      <w:tblGrid>
        <w:gridCol w:w="161"/>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276" w:name="_Hlk143762242"/>
      <w:bookmarkStart w:id="1277" w:name="giii-20231031xex32d1.htm"/>
      <w:bookmarkStart w:id="1278" w:name="ksgiii20231031xex32d1"/>
      <w:bookmarkEnd w:id="1276"/>
      <w:bookmarkEnd w:id="1277"/>
      <w:bookmarkEnd w:id="127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firstLine="461"/>
        <w:jc w:val="both"/>
        <w:rPr>
          <w:rFonts w:ascii="Times New Roman;Times;serif" w:hAnsi="Times New Roman;Times;serif"/>
          <w:sz w:val="20"/>
        </w:rPr>
      </w:pPr>
      <w:r>
        <w:rPr>
          <w:rFonts w:ascii="Times New Roman;Times;serif" w:hAnsi="Times New Roman;Times;serif"/>
          <w:sz w:val="20"/>
        </w:rPr>
        <w:t>In connection with the Quarterly Report of G-III Apparel Group, Ltd. (the “Company”) on Form 10-Q for the quarterly period ended October 31, 2023,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tbl>
      <w:tblPr>
        <w:tblW w:w="2232" w:type="dxa"/>
        <w:jc w:val="center"/>
        <w:tblInd w:w="0" w:type="dxa"/>
        <w:tblLayout w:type="fixed"/>
        <w:tblCellMar>
          <w:top w:w="0" w:type="dxa"/>
          <w:left w:w="0" w:type="dxa"/>
          <w:bottom w:w="0" w:type="dxa"/>
          <w:right w:w="0" w:type="dxa"/>
        </w:tblCellMar>
      </w:tblPr>
      <w:tblGrid>
        <w:gridCol w:w="161"/>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December 6,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279" w:name="_Hlk143762286"/>
      <w:bookmarkStart w:id="1280" w:name="giii-20231031xex32d2.htm"/>
      <w:bookmarkStart w:id="1281" w:name="ksgiii20231031xex32d2"/>
      <w:bookmarkEnd w:id="1279"/>
      <w:bookmarkEnd w:id="1280"/>
      <w:bookmarkEnd w:id="128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firstLine="461"/>
        <w:jc w:val="both"/>
        <w:rPr>
          <w:rFonts w:ascii="Times New Roman;Times;serif" w:hAnsi="Times New Roman;Times;serif"/>
          <w:sz w:val="20"/>
        </w:rPr>
      </w:pPr>
      <w:r>
        <w:rPr>
          <w:rFonts w:ascii="Times New Roman;Times;serif" w:hAnsi="Times New Roman;Times;serif"/>
          <w:sz w:val="20"/>
        </w:rPr>
        <w:t>In connection with the Quarterly Report of G-III Apparel Group, Ltd. (the “Company”) on Form 10-Q for the quarterly period ended October 31, 2023,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tbl>
      <w:tblPr>
        <w:tblW w:w="2172" w:type="dxa"/>
        <w:jc w:val="center"/>
        <w:tblInd w:w="0" w:type="dxa"/>
        <w:tblLayout w:type="fixed"/>
        <w:tblCellMar>
          <w:top w:w="0" w:type="dxa"/>
          <w:left w:w="0" w:type="dxa"/>
          <w:bottom w:w="0" w:type="dxa"/>
          <w:right w:w="0" w:type="dxa"/>
        </w:tblCellMar>
      </w:tblPr>
      <w:tblGrid>
        <w:gridCol w:w="161"/>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December 6,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1002/000095013606007680/file2.htm" TargetMode="External"/><Relationship Id="rId3" Type="http://schemas.openxmlformats.org/officeDocument/2006/relationships/hyperlink" Target="https://www.sec.gov/Archives/edgar/data/821002/000095012311057737/y04932exv3w1.htm" TargetMode="External"/><Relationship Id="rId4" Type="http://schemas.openxmlformats.org/officeDocument/2006/relationships/hyperlink" Target="https://www.sec.gov/Archives/edgar/data/821002/000157104915005420/t1501536_ex3-1.htm" TargetMode="External"/><Relationship Id="rId5" Type="http://schemas.openxmlformats.org/officeDocument/2006/relationships/hyperlink" Target="https://www.sec.gov/Archives/edgar/data/821002/000119312513107874/d503217dex31.htm" TargetMode="External"/><Relationship Id="rId6" Type="http://schemas.openxmlformats.org/officeDocument/2006/relationships/hyperlink" Target="https://www.sec.gov/Archives/edgar/data/821002/000155837023014400/giii-20230809xex10d2.htm" TargetMode="External"/><Relationship Id="rId7" Type="http://schemas.openxmlformats.org/officeDocument/2006/relationships/hyperlink" Target="https://www.sec.gov/Archives/edgar/data/821002/000155837023014400/giii-20230809xex10d1.htm" TargetMode="External"/><Relationship Id="rId8" Type="http://schemas.openxmlformats.org/officeDocument/2006/relationships/hyperlink" Target="https://www.sec.gov/Archives/edgar/data/821002/000155837023014400/giii-20230809xex10d3.htm" TargetMode="External"/><Relationship Id="rId9" Type="http://schemas.openxmlformats.org/officeDocument/2006/relationships/hyperlink" Target="https://www.sec.gov/Archives/edgar/data/821002/000155837023015348/giii-20230829xex10d1.htm" TargetMode="External"/><Relationship Id="rId10" Type="http://schemas.openxmlformats.org/officeDocument/2006/relationships/hyperlink" Target="https://www.sec.gov/ix?doc=/Archives/edgar/data/0000821002/000155837023015629/giii-20231010xdef14a.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24866</Words>
  <Characters>133775</Characters>
  <CharactersWithSpaces>159832</CharactersWithSpaces>
  <Paragraphs>5082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