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90"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13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330" w:hanging="326"/>
        <w:spacing w:after="0"/>
        <w:tabs>
          <w:tab w:leader="none" w:pos="33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July 31, 2022</w:t>
      </w:r>
    </w:p>
    <w:p>
      <w:pPr>
        <w:spacing w:after="0" w:line="12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290" w:hanging="290"/>
        <w:spacing w:after="0"/>
        <w:tabs>
          <w:tab w:leader="none" w:pos="29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21" w:lineRule="exact"/>
        <w:rPr>
          <w:sz w:val="24"/>
          <w:szCs w:val="24"/>
          <w:color w:val="auto"/>
        </w:rPr>
      </w:pPr>
    </w:p>
    <w:p>
      <w:pPr>
        <w:ind w:left="3650"/>
        <w:spacing w:after="0"/>
        <w:tabs>
          <w:tab w:leader="none" w:pos="613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-4445</wp:posOffset>
            </wp:positionV>
            <wp:extent cx="205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-4445</wp:posOffset>
            </wp:positionV>
            <wp:extent cx="154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0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3" w:lineRule="exact"/>
        <w:rPr>
          <w:sz w:val="24"/>
          <w:szCs w:val="24"/>
          <w:color w:val="auto"/>
        </w:rPr>
      </w:pPr>
    </w:p>
    <w:p>
      <w:pPr>
        <w:jc w:val="center"/>
        <w:ind w:right="-9"/>
        <w:spacing w:after="0"/>
        <w:rPr>
          <w:sz w:val="20"/>
          <w:szCs w:val="20"/>
          <w:color w:val="auto"/>
        </w:rPr>
      </w:pPr>
      <w:r>
        <w:rPr>
          <w:rFonts w:ascii="Arial" w:cs="Arial" w:eastAsia="Arial" w:hAnsi="Arial"/>
          <w:sz w:val="36"/>
          <w:szCs w:val="36"/>
          <w:b w:val="1"/>
          <w:bCs w:val="1"/>
          <w:color w:val="auto"/>
        </w:rPr>
        <w:t>G-III APPAREL GROUP, LTD.</w:t>
      </w:r>
    </w:p>
    <w:p>
      <w:pPr>
        <w:spacing w:after="0" w:line="47" w:lineRule="exact"/>
        <w:rPr>
          <w:sz w:val="24"/>
          <w:szCs w:val="24"/>
          <w:color w:val="auto"/>
        </w:rPr>
      </w:pPr>
    </w:p>
    <w:p>
      <w:pPr>
        <w:jc w:val="center"/>
        <w:ind w:right="3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91" w:lineRule="exact"/>
        <w:rPr>
          <w:sz w:val="24"/>
          <w:szCs w:val="24"/>
          <w:color w:val="auto"/>
        </w:rPr>
      </w:pPr>
    </w:p>
    <w:tbl>
      <w:tblPr>
        <w:tblLayout w:type="fixed"/>
        <w:tblInd w:w="1110" w:type="dxa"/>
        <w:tblCellMar>
          <w:top w:w="0" w:type="dxa"/>
          <w:left w:w="0" w:type="dxa"/>
          <w:bottom w:w="0" w:type="dxa"/>
          <w:right w:w="0" w:type="dxa"/>
        </w:tblCellMar>
      </w:tblPr>
      <w:tr>
        <w:trPr>
          <w:trHeight w:val="203"/>
        </w:trPr>
        <w:tc>
          <w:tcPr>
            <w:tcW w:w="4480" w:type="dxa"/>
            <w:vAlign w:val="bottom"/>
          </w:tcPr>
          <w:p>
            <w:pPr>
              <w:jc w:val="center"/>
              <w:ind w:right="1499"/>
              <w:spacing w:after="0"/>
              <w:rPr>
                <w:sz w:val="20"/>
                <w:szCs w:val="20"/>
                <w:color w:val="auto"/>
              </w:rPr>
            </w:pPr>
            <w:r>
              <w:rPr>
                <w:rFonts w:ascii="Arial" w:cs="Arial" w:eastAsia="Arial" w:hAnsi="Arial"/>
                <w:sz w:val="16"/>
                <w:szCs w:val="16"/>
                <w:b w:val="1"/>
                <w:bCs w:val="1"/>
                <w:color w:val="auto"/>
                <w:w w:val="93"/>
              </w:rPr>
              <w:t>Delaware</w:t>
            </w:r>
          </w:p>
        </w:tc>
        <w:tc>
          <w:tcPr>
            <w:tcW w:w="2820" w:type="dxa"/>
            <w:vAlign w:val="bottom"/>
          </w:tcPr>
          <w:p>
            <w:pPr>
              <w:jc w:val="right"/>
              <w:ind w:right="159"/>
              <w:spacing w:after="0"/>
              <w:rPr>
                <w:sz w:val="20"/>
                <w:szCs w:val="20"/>
                <w:color w:val="auto"/>
              </w:rPr>
            </w:pPr>
            <w:r>
              <w:rPr>
                <w:rFonts w:ascii="Arial" w:cs="Arial" w:eastAsia="Arial" w:hAnsi="Arial"/>
                <w:sz w:val="16"/>
                <w:szCs w:val="16"/>
                <w:b w:val="1"/>
                <w:bCs w:val="1"/>
                <w:color w:val="auto"/>
              </w:rPr>
              <w:t>41-1590959</w:t>
            </w:r>
          </w:p>
        </w:tc>
      </w:tr>
      <w:tr>
        <w:trPr>
          <w:trHeight w:val="203"/>
        </w:trPr>
        <w:tc>
          <w:tcPr>
            <w:tcW w:w="4480" w:type="dxa"/>
            <w:vAlign w:val="bottom"/>
          </w:tcPr>
          <w:p>
            <w:pPr>
              <w:jc w:val="center"/>
              <w:ind w:right="1499"/>
              <w:spacing w:after="0"/>
              <w:rPr>
                <w:sz w:val="20"/>
                <w:szCs w:val="20"/>
                <w:color w:val="auto"/>
              </w:rPr>
            </w:pPr>
            <w:r>
              <w:rPr>
                <w:rFonts w:ascii="Arial" w:cs="Arial" w:eastAsia="Arial" w:hAnsi="Arial"/>
                <w:sz w:val="16"/>
                <w:szCs w:val="16"/>
                <w:b w:val="1"/>
                <w:bCs w:val="1"/>
                <w:color w:val="auto"/>
                <w:w w:val="91"/>
              </w:rPr>
              <w:t>(State or other jurisdiction of</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92"/>
              </w:rPr>
              <w:t>incorporation or organization)</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4"/>
              </w:rPr>
              <w:t>Identification No.)</w:t>
            </w:r>
          </w:p>
        </w:tc>
      </w:tr>
      <w:tr>
        <w:trPr>
          <w:trHeight w:val="303"/>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91"/>
              </w:rPr>
              <w:t>512 Seventh Avenue, New York, New York</w:t>
            </w:r>
          </w:p>
        </w:tc>
        <w:tc>
          <w:tcPr>
            <w:tcW w:w="2820" w:type="dxa"/>
            <w:vAlign w:val="bottom"/>
          </w:tcPr>
          <w:p>
            <w:pPr>
              <w:jc w:val="right"/>
              <w:ind w:right="359"/>
              <w:spacing w:after="0"/>
              <w:rPr>
                <w:sz w:val="20"/>
                <w:szCs w:val="20"/>
                <w:color w:val="auto"/>
              </w:rPr>
            </w:pPr>
            <w:r>
              <w:rPr>
                <w:rFonts w:ascii="Arial" w:cs="Arial" w:eastAsia="Arial" w:hAnsi="Arial"/>
                <w:sz w:val="16"/>
                <w:szCs w:val="16"/>
                <w:b w:val="1"/>
                <w:bCs w:val="1"/>
                <w:color w:val="auto"/>
              </w:rPr>
              <w:t>10018</w:t>
            </w:r>
          </w:p>
        </w:tc>
      </w:tr>
      <w:tr>
        <w:trPr>
          <w:trHeight w:val="210"/>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6"/>
              </w:rPr>
              <w:t>(Zip Code)</w:t>
            </w:r>
          </w:p>
        </w:tc>
      </w:tr>
    </w:tbl>
    <w:p>
      <w:pPr>
        <w:spacing w:after="0" w:line="195"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(212) 403-0500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1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0"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7" w:lineRule="exact"/>
        <w:rPr>
          <w:sz w:val="24"/>
          <w:szCs w:val="24"/>
          <w:color w:val="auto"/>
        </w:rPr>
      </w:pPr>
    </w:p>
    <w:tbl>
      <w:tblPr>
        <w:tblLayout w:type="fixed"/>
        <w:tblInd w:w="510" w:type="dxa"/>
        <w:tblCellMar>
          <w:top w:w="0" w:type="dxa"/>
          <w:left w:w="0" w:type="dxa"/>
          <w:bottom w:w="0" w:type="dxa"/>
          <w:right w:w="0" w:type="dxa"/>
        </w:tblCellMar>
      </w:tblPr>
      <w:tr>
        <w:trPr>
          <w:trHeight w:val="162"/>
        </w:trPr>
        <w:tc>
          <w:tcPr>
            <w:tcW w:w="3240" w:type="dxa"/>
            <w:vAlign w:val="bottom"/>
          </w:tcPr>
          <w:p>
            <w:pPr>
              <w:jc w:val="center"/>
              <w:ind w:right="768"/>
              <w:spacing w:after="0"/>
              <w:rPr>
                <w:sz w:val="20"/>
                <w:szCs w:val="20"/>
                <w:color w:val="auto"/>
              </w:rPr>
            </w:pPr>
            <w:r>
              <w:rPr>
                <w:rFonts w:ascii="Arial" w:cs="Arial" w:eastAsia="Arial" w:hAnsi="Arial"/>
                <w:sz w:val="14"/>
                <w:szCs w:val="14"/>
                <w:color w:val="auto"/>
                <w:w w:val="92"/>
              </w:rPr>
              <w:t>Title of each class</w:t>
            </w:r>
          </w:p>
        </w:tc>
        <w:tc>
          <w:tcPr>
            <w:tcW w:w="2700" w:type="dxa"/>
            <w:vAlign w:val="bottom"/>
          </w:tcPr>
          <w:p>
            <w:pPr>
              <w:jc w:val="center"/>
              <w:spacing w:after="0"/>
              <w:rPr>
                <w:sz w:val="20"/>
                <w:szCs w:val="20"/>
                <w:color w:val="auto"/>
              </w:rPr>
            </w:pPr>
            <w:r>
              <w:rPr>
                <w:rFonts w:ascii="Arial" w:cs="Arial" w:eastAsia="Arial" w:hAnsi="Arial"/>
                <w:sz w:val="14"/>
                <w:szCs w:val="14"/>
                <w:color w:val="auto"/>
                <w:w w:val="94"/>
              </w:rPr>
              <w:t>Trading Symbol(s)</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1"/>
              </w:rPr>
              <w:t>Name of each exchange on which registered</w:t>
            </w:r>
          </w:p>
        </w:tc>
      </w:tr>
      <w:tr>
        <w:trPr>
          <w:trHeight w:val="182"/>
        </w:trPr>
        <w:tc>
          <w:tcPr>
            <w:tcW w:w="3240" w:type="dxa"/>
            <w:vAlign w:val="bottom"/>
          </w:tcPr>
          <w:p>
            <w:pPr>
              <w:jc w:val="center"/>
              <w:ind w:right="748"/>
              <w:spacing w:after="0"/>
              <w:rPr>
                <w:sz w:val="20"/>
                <w:szCs w:val="20"/>
                <w:color w:val="auto"/>
              </w:rPr>
            </w:pPr>
            <w:r>
              <w:rPr>
                <w:rFonts w:ascii="Arial" w:cs="Arial" w:eastAsia="Arial" w:hAnsi="Arial"/>
                <w:sz w:val="14"/>
                <w:szCs w:val="14"/>
                <w:color w:val="auto"/>
                <w:w w:val="91"/>
              </w:rPr>
              <w:t>Common Stock, $0.01 par value per share</w:t>
            </w:r>
          </w:p>
        </w:tc>
        <w:tc>
          <w:tcPr>
            <w:tcW w:w="2700" w:type="dxa"/>
            <w:vAlign w:val="bottom"/>
          </w:tcPr>
          <w:p>
            <w:pPr>
              <w:jc w:val="center"/>
              <w:spacing w:after="0"/>
              <w:rPr>
                <w:sz w:val="20"/>
                <w:szCs w:val="20"/>
                <w:color w:val="auto"/>
              </w:rPr>
            </w:pPr>
            <w:r>
              <w:rPr>
                <w:rFonts w:ascii="Arial" w:cs="Arial" w:eastAsia="Arial" w:hAnsi="Arial"/>
                <w:sz w:val="14"/>
                <w:szCs w:val="14"/>
                <w:color w:val="auto"/>
              </w:rPr>
              <w:t>GIII</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2"/>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6497955" cy="213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13995"/>
                    </a:xfrm>
                    <a:prstGeom prst="rect">
                      <a:avLst/>
                    </a:prstGeom>
                    <a:noFill/>
                  </pic:spPr>
                </pic:pic>
              </a:graphicData>
            </a:graphic>
          </wp:anchor>
        </w:drawing>
      </w:r>
    </w:p>
    <w:p>
      <w:pPr>
        <w:spacing w:after="0" w:line="63"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88"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88"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86" w:lineRule="exact"/>
        <w:rPr>
          <w:sz w:val="24"/>
          <w:szCs w:val="24"/>
          <w:color w:val="auto"/>
        </w:rPr>
      </w:pPr>
    </w:p>
    <w:p>
      <w:pPr>
        <w:jc w:val="both"/>
        <w:ind w:left="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57" w:lineRule="exact"/>
        <w:rPr>
          <w:sz w:val="24"/>
          <w:szCs w:val="24"/>
          <w:color w:val="auto"/>
        </w:rPr>
      </w:pPr>
    </w:p>
    <w:p>
      <w:pPr>
        <w:ind w:left="10" w:right="18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No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As of September 6, 2022, there were 47,486,633 shares of issuer’s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553085</wp:posOffset>
            </wp:positionV>
            <wp:extent cx="6497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73025</wp:posOffset>
            </wp:positionV>
            <wp:extent cx="6497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115570</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60" w:type="dxa"/>
            <w:vAlign w:val="bottom"/>
            <w:gridSpan w:val="5"/>
            <w:vMerge w:val="restart"/>
          </w:tcPr>
          <w:p>
            <w:pPr>
              <w:ind w:left="20"/>
              <w:spacing w:after="0"/>
              <w:rPr>
                <w:sz w:val="20"/>
                <w:szCs w:val="20"/>
                <w:color w:val="auto"/>
              </w:rPr>
            </w:pPr>
            <w:r>
              <w:rPr>
                <w:rFonts w:ascii="Arial" w:cs="Arial" w:eastAsia="Arial" w:hAnsi="Arial"/>
                <w:sz w:val="18"/>
                <w:szCs w:val="18"/>
                <w:color w:val="0000EE"/>
              </w:rPr>
              <w:t>Part I</w:t>
            </w:r>
          </w:p>
        </w:tc>
        <w:tc>
          <w:tcPr>
            <w:tcW w:w="140" w:type="dxa"/>
            <w:vAlign w:val="bottom"/>
          </w:tcPr>
          <w:p>
            <w:pPr>
              <w:spacing w:after="0"/>
              <w:rPr>
                <w:sz w:val="16"/>
                <w:szCs w:val="16"/>
                <w:color w:val="auto"/>
              </w:rPr>
            </w:pPr>
          </w:p>
        </w:tc>
        <w:tc>
          <w:tcPr>
            <w:tcW w:w="7300" w:type="dxa"/>
            <w:vAlign w:val="bottom"/>
            <w:gridSpan w:val="20"/>
            <w:vMerge w:val="restart"/>
          </w:tcPr>
          <w:p>
            <w:pPr>
              <w:spacing w:after="0"/>
              <w:rPr>
                <w:sz w:val="20"/>
                <w:szCs w:val="20"/>
                <w:color w:val="auto"/>
              </w:rPr>
            </w:pPr>
            <w:r>
              <w:rPr>
                <w:rFonts w:ascii="Arial" w:cs="Arial" w:eastAsia="Arial" w:hAnsi="Arial"/>
                <w:sz w:val="18"/>
                <w:szCs w:val="18"/>
                <w:color w:val="0000EE"/>
              </w:rPr>
              <w:t>FINANCIAL INFORMATION</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76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7300" w:type="dxa"/>
            <w:vAlign w:val="bottom"/>
            <w:gridSpan w:val="20"/>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3"/>
          </w:tcPr>
          <w:p>
            <w:pPr>
              <w:spacing w:after="0" w:line="196" w:lineRule="exact"/>
              <w:rPr>
                <w:sz w:val="20"/>
                <w:szCs w:val="20"/>
                <w:color w:val="auto"/>
              </w:rPr>
            </w:pPr>
            <w:r>
              <w:rPr>
                <w:rFonts w:ascii="Arial" w:cs="Arial" w:eastAsia="Arial" w:hAnsi="Arial"/>
                <w:sz w:val="18"/>
                <w:szCs w:val="18"/>
                <w:color w:val="0000EE"/>
                <w:w w:val="87"/>
              </w:rPr>
              <w:t>Item 1.</w:t>
            </w:r>
          </w:p>
        </w:tc>
        <w:tc>
          <w:tcPr>
            <w:tcW w:w="140" w:type="dxa"/>
            <w:vAlign w:val="bottom"/>
          </w:tcPr>
          <w:p>
            <w:pPr>
              <w:spacing w:after="0"/>
              <w:rPr>
                <w:sz w:val="17"/>
                <w:szCs w:val="17"/>
                <w:color w:val="auto"/>
              </w:rPr>
            </w:pPr>
          </w:p>
        </w:tc>
        <w:tc>
          <w:tcPr>
            <w:tcW w:w="7300" w:type="dxa"/>
            <w:vAlign w:val="bottom"/>
            <w:gridSpan w:val="20"/>
          </w:tcPr>
          <w:p>
            <w:pPr>
              <w:spacing w:after="0" w:line="196" w:lineRule="exact"/>
              <w:rPr>
                <w:sz w:val="20"/>
                <w:szCs w:val="20"/>
                <w:color w:val="auto"/>
              </w:rPr>
            </w:pPr>
            <w:r>
              <w:rPr>
                <w:rFonts w:ascii="Arial" w:cs="Arial" w:eastAsia="Arial" w:hAnsi="Arial"/>
                <w:sz w:val="18"/>
                <w:szCs w:val="18"/>
                <w:color w:val="0000EE"/>
              </w:rPr>
              <w:t>Financial Statements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8"/>
              </w:rPr>
              <w:t>Condensed Consolidated Balance Sheets –July 31, 2022, July 31, 2021 and January 31, 2022</w:t>
            </w:r>
          </w:p>
        </w:tc>
        <w:tc>
          <w:tcPr>
            <w:tcW w:w="60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6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9"/>
              </w:rPr>
              <w:t>Condensed Consolidated Statements of Operations and Comprehensive Income - For the Three and</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Six Months Ended July 31, 2022 and 2021 (Unaudited)</w:t>
            </w:r>
          </w:p>
        </w:tc>
        <w:tc>
          <w:tcPr>
            <w:tcW w:w="318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00" w:type="dxa"/>
            <w:vAlign w:val="bottom"/>
            <w:gridSpan w:val="20"/>
          </w:tcPr>
          <w:p>
            <w:pPr>
              <w:spacing w:after="0" w:line="196" w:lineRule="exact"/>
              <w:rPr>
                <w:sz w:val="20"/>
                <w:szCs w:val="20"/>
                <w:color w:val="auto"/>
              </w:rPr>
            </w:pPr>
            <w:r>
              <w:rPr>
                <w:rFonts w:ascii="Arial" w:cs="Arial" w:eastAsia="Arial" w:hAnsi="Arial"/>
                <w:sz w:val="18"/>
                <w:szCs w:val="18"/>
                <w:color w:val="0000EE"/>
                <w:w w:val="96"/>
              </w:rPr>
              <w:t>Condensed Consolidated Statements of Stockholders’ Equity –July 31, 2022 and July 31, 2021</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68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(Unaudited)</w:t>
            </w:r>
          </w:p>
        </w:tc>
        <w:tc>
          <w:tcPr>
            <w:tcW w:w="48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00" w:type="dxa"/>
            <w:vAlign w:val="bottom"/>
            <w:gridSpan w:val="20"/>
          </w:tcPr>
          <w:p>
            <w:pPr>
              <w:spacing w:after="0" w:line="196" w:lineRule="exact"/>
              <w:rPr>
                <w:sz w:val="20"/>
                <w:szCs w:val="20"/>
                <w:color w:val="auto"/>
              </w:rPr>
            </w:pPr>
            <w:r>
              <w:rPr>
                <w:rFonts w:ascii="Arial" w:cs="Arial" w:eastAsia="Arial" w:hAnsi="Arial"/>
                <w:sz w:val="18"/>
                <w:szCs w:val="18"/>
                <w:color w:val="0000EE"/>
                <w:w w:val="92"/>
              </w:rPr>
              <w:t>Condensed Consolidated Statements of Cash Flows - For the Six Months Ended July 31, 2022 and</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94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2021 (Unaudited)</w:t>
            </w:r>
          </w:p>
        </w:tc>
        <w:tc>
          <w:tcPr>
            <w:tcW w:w="22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8"/>
              </w:rPr>
              <w:t>Notes to Condensed Consolidated Financial Statements</w:t>
            </w:r>
          </w:p>
        </w:tc>
        <w:tc>
          <w:tcPr>
            <w:tcW w:w="3300" w:type="dxa"/>
            <w:vAlign w:val="bottom"/>
            <w:gridSpan w:val="9"/>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40" w:type="dxa"/>
            <w:vAlign w:val="bottom"/>
            <w:gridSpan w:val="24"/>
          </w:tcPr>
          <w:p>
            <w:pPr>
              <w:spacing w:after="0" w:line="196"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40" w:type="dxa"/>
            <w:vAlign w:val="bottom"/>
            <w:gridSpan w:val="24"/>
          </w:tcPr>
          <w:p>
            <w:pPr>
              <w:spacing w:after="0" w:line="196" w:lineRule="exact"/>
              <w:rPr>
                <w:sz w:val="20"/>
                <w:szCs w:val="20"/>
                <w:color w:val="auto"/>
              </w:rPr>
            </w:pPr>
            <w:r>
              <w:rPr>
                <w:rFonts w:ascii="Arial" w:cs="Arial" w:eastAsia="Arial" w:hAnsi="Arial"/>
                <w:sz w:val="18"/>
                <w:szCs w:val="18"/>
                <w:color w:val="0000EE"/>
              </w:rPr>
              <w:t>Item 3.  Quantitative and Qualitative Disclosures About Market Risk</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40" w:type="dxa"/>
            <w:vAlign w:val="bottom"/>
            <w:gridSpan w:val="24"/>
          </w:tcPr>
          <w:p>
            <w:pPr>
              <w:spacing w:after="0" w:line="196" w:lineRule="exact"/>
              <w:rPr>
                <w:sz w:val="20"/>
                <w:szCs w:val="20"/>
                <w:color w:val="auto"/>
              </w:rPr>
            </w:pPr>
            <w:r>
              <w:rPr>
                <w:rFonts w:ascii="Arial" w:cs="Arial" w:eastAsia="Arial" w:hAnsi="Arial"/>
                <w:sz w:val="18"/>
                <w:szCs w:val="18"/>
                <w:color w:val="0000EE"/>
              </w:rPr>
              <w:t>Item 4.  Controls and Procedures</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gridSpan w:val="5"/>
          </w:tcPr>
          <w:p>
            <w:pPr>
              <w:ind w:left="20"/>
              <w:spacing w:after="0"/>
              <w:rPr>
                <w:sz w:val="20"/>
                <w:szCs w:val="20"/>
                <w:color w:val="auto"/>
              </w:rPr>
            </w:pPr>
            <w:r>
              <w:rPr>
                <w:rFonts w:ascii="Arial" w:cs="Arial" w:eastAsia="Arial" w:hAnsi="Arial"/>
                <w:sz w:val="18"/>
                <w:szCs w:val="18"/>
                <w:color w:val="0000EE"/>
              </w:rPr>
              <w:t>Part II</w:t>
            </w:r>
          </w:p>
        </w:tc>
        <w:tc>
          <w:tcPr>
            <w:tcW w:w="140" w:type="dxa"/>
            <w:vAlign w:val="bottom"/>
          </w:tcPr>
          <w:p>
            <w:pPr>
              <w:spacing w:after="0"/>
              <w:rPr>
                <w:sz w:val="24"/>
                <w:szCs w:val="24"/>
                <w:color w:val="auto"/>
              </w:rPr>
            </w:pPr>
          </w:p>
        </w:tc>
        <w:tc>
          <w:tcPr>
            <w:tcW w:w="7300" w:type="dxa"/>
            <w:vAlign w:val="bottom"/>
            <w:gridSpan w:val="20"/>
          </w:tcPr>
          <w:p>
            <w:pPr>
              <w:spacing w:after="0"/>
              <w:rPr>
                <w:sz w:val="20"/>
                <w:szCs w:val="20"/>
                <w:color w:val="auto"/>
              </w:rPr>
            </w:pPr>
            <w:r>
              <w:rPr>
                <w:rFonts w:ascii="Arial" w:cs="Arial" w:eastAsia="Arial" w:hAnsi="Arial"/>
                <w:sz w:val="18"/>
                <w:szCs w:val="18"/>
                <w:color w:val="0000EE"/>
              </w:rPr>
              <w:t>OTHER INFORMATION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40" w:type="dxa"/>
            <w:vAlign w:val="bottom"/>
            <w:gridSpan w:val="24"/>
          </w:tcPr>
          <w:p>
            <w:pPr>
              <w:spacing w:after="0" w:line="196" w:lineRule="exact"/>
              <w:rPr>
                <w:sz w:val="20"/>
                <w:szCs w:val="20"/>
                <w:color w:val="auto"/>
              </w:rPr>
            </w:pPr>
            <w:r>
              <w:rPr>
                <w:rFonts w:ascii="Arial" w:cs="Arial" w:eastAsia="Arial" w:hAnsi="Arial"/>
                <w:sz w:val="18"/>
                <w:szCs w:val="18"/>
                <w:color w:val="0000EE"/>
              </w:rPr>
              <w:t>Item 1A.Risk Factors</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500" w:type="dxa"/>
            <w:vAlign w:val="bottom"/>
            <w:gridSpan w:val="10"/>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40" w:type="dxa"/>
            <w:vAlign w:val="bottom"/>
            <w:gridSpan w:val="24"/>
          </w:tcPr>
          <w:p>
            <w:pPr>
              <w:spacing w:after="0" w:line="19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0" w:type="dxa"/>
            <w:vAlign w:val="bottom"/>
            <w:gridSpan w:val="11"/>
            <w:shd w:val="clear" w:color="auto" w:fill="0000EE"/>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3"/>
          </w:tcPr>
          <w:p>
            <w:pPr>
              <w:spacing w:after="0" w:line="196" w:lineRule="exact"/>
              <w:rPr>
                <w:sz w:val="20"/>
                <w:szCs w:val="20"/>
                <w:color w:val="auto"/>
              </w:rPr>
            </w:pPr>
            <w:r>
              <w:rPr>
                <w:rFonts w:ascii="Arial" w:cs="Arial" w:eastAsia="Arial" w:hAnsi="Arial"/>
                <w:sz w:val="18"/>
                <w:szCs w:val="18"/>
                <w:color w:val="0000EE"/>
                <w:w w:val="87"/>
              </w:rPr>
              <w:t>Item 6.</w:t>
            </w:r>
          </w:p>
        </w:tc>
        <w:tc>
          <w:tcPr>
            <w:tcW w:w="140" w:type="dxa"/>
            <w:vAlign w:val="bottom"/>
          </w:tcPr>
          <w:p>
            <w:pPr>
              <w:spacing w:after="0"/>
              <w:rPr>
                <w:sz w:val="17"/>
                <w:szCs w:val="17"/>
                <w:color w:val="auto"/>
              </w:rPr>
            </w:pPr>
          </w:p>
        </w:tc>
        <w:tc>
          <w:tcPr>
            <w:tcW w:w="7300" w:type="dxa"/>
            <w:vAlign w:val="bottom"/>
            <w:gridSpan w:val="20"/>
          </w:tcPr>
          <w:p>
            <w:pPr>
              <w:spacing w:after="0" w:line="196" w:lineRule="exact"/>
              <w:rPr>
                <w:sz w:val="20"/>
                <w:szCs w:val="20"/>
                <w:color w:val="auto"/>
              </w:rPr>
            </w:pPr>
            <w:r>
              <w:rPr>
                <w:rFonts w:ascii="Arial" w:cs="Arial" w:eastAsia="Arial" w:hAnsi="Arial"/>
                <w:sz w:val="18"/>
                <w:szCs w:val="18"/>
                <w:color w:val="0000EE"/>
              </w:rPr>
              <w:t>Exhibits</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gridSpan w:val="2"/>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3400" w:type="dxa"/>
            <w:vAlign w:val="bottom"/>
            <w:gridSpan w:val="8"/>
          </w:tcPr>
          <w:p>
            <w:pPr>
              <w:jc w:val="right"/>
              <w:ind w:right="4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July 31,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July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gridSpan w:val="8"/>
          </w:tcPr>
          <w:p>
            <w:pPr>
              <w:jc w:val="right"/>
              <w:ind w:right="315"/>
              <w:spacing w:after="0"/>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150,977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509,988</w:t>
            </w: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465,984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tcPr>
          <w:p>
            <w:pPr>
              <w:ind w:left="80"/>
              <w:spacing w:after="0" w:line="185" w:lineRule="exact"/>
              <w:rPr>
                <w:sz w:val="20"/>
                <w:szCs w:val="20"/>
                <w:color w:val="auto"/>
              </w:rPr>
            </w:pPr>
            <w:r>
              <w:rPr>
                <w:rFonts w:ascii="Arial" w:cs="Arial" w:eastAsia="Arial" w:hAnsi="Arial"/>
                <w:sz w:val="17"/>
                <w:szCs w:val="17"/>
                <w:color w:val="auto"/>
                <w:w w:val="94"/>
              </w:rPr>
              <w:t>Accounts receivable, net of allowance for doubtful accounts of $18.1 million,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$17.4 million and $17.4 million, respectively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488,523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385,047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605,512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Inventories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1,040,814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499,337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512,155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Prepaid income taxes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1,115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14,502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83,954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66,343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ind w:left="200"/>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1,765,410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1,461,830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1,652,857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affiliates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63,383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54,421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51,425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48,805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172,916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169,595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Other assets,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55,462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61,476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54,992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intangibles,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35,427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33,136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Deferred income tax assets,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9,405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5,260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Trademarks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622,182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441,788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Goodwill</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304,930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262,372</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262,527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3,082,354</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2,553,586</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2,742,528</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Current portion of notes payable</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80,109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5,624</w:t>
            </w:r>
          </w:p>
        </w:tc>
        <w:tc>
          <w:tcPr>
            <w:tcW w:w="1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438,167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252,313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Accrued expenses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130,806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114,030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128,124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Customer refund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63,082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Current operating lease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49,734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43,119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42,763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Income tax payable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12,642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Other current liabilities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769,386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485,541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510,805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Notes payable, net of discount and unamortized issuance costs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495,668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512,017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515,344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Noncurrent operating lease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179,247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147,119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142,868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17,396</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liabilities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1,498,144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1,172,014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1,222,145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Redeemable noncontrolling interests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960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Stockholders' Equity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Preferred stock; 1,000 shares authorized; no shares issued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tcPr>
          <w:p>
            <w:pPr>
              <w:ind w:left="80"/>
              <w:spacing w:after="0" w:line="185" w:lineRule="exact"/>
              <w:rPr>
                <w:sz w:val="20"/>
                <w:szCs w:val="20"/>
                <w:color w:val="auto"/>
              </w:rPr>
            </w:pPr>
            <w:r>
              <w:rPr>
                <w:rFonts w:ascii="Arial" w:cs="Arial" w:eastAsia="Arial" w:hAnsi="Arial"/>
                <w:sz w:val="17"/>
                <w:szCs w:val="17"/>
                <w:color w:val="auto"/>
                <w:w w:val="92"/>
              </w:rPr>
              <w:t>Common stock - $0.01 par value; 120,000 shares authorized; 49,396, 49,396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and 49,396 shares issued, respectively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461,621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447,476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(16,226)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(7,026)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Retained earnings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1,183,958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961,901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1,117,005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tcPr>
          <w:p>
            <w:pPr>
              <w:ind w:left="80"/>
              <w:spacing w:after="0" w:line="185" w:lineRule="exact"/>
              <w:rPr>
                <w:sz w:val="20"/>
                <w:szCs w:val="20"/>
                <w:color w:val="auto"/>
              </w:rPr>
            </w:pPr>
            <w:r>
              <w:rPr>
                <w:rFonts w:ascii="Arial" w:cs="Arial" w:eastAsia="Arial" w:hAnsi="Arial"/>
                <w:sz w:val="17"/>
                <w:szCs w:val="17"/>
                <w:color w:val="auto"/>
              </w:rPr>
              <w:t>Common stock held in treasury, at cost - 1,909, 829 and 1,480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respectively</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(45,616)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(22,003)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(39,157)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1,584,001</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1,380,612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1,519,912</w:t>
            </w:r>
          </w:p>
        </w:tc>
        <w:tc>
          <w:tcPr>
            <w:tcW w:w="0" w:type="dxa"/>
            <w:vAlign w:val="bottom"/>
          </w:tcPr>
          <w:p>
            <w:pPr>
              <w:spacing w:after="0"/>
              <w:rPr>
                <w:sz w:val="1"/>
                <w:szCs w:val="1"/>
                <w:color w:val="auto"/>
              </w:rPr>
            </w:pPr>
          </w:p>
        </w:tc>
      </w:tr>
      <w:tr>
        <w:trPr>
          <w:trHeight w:val="196"/>
        </w:trPr>
        <w:tc>
          <w:tcPr>
            <w:tcW w:w="5500" w:type="dxa"/>
            <w:vAlign w:val="bottom"/>
            <w:gridSpan w:val="2"/>
          </w:tcPr>
          <w:p>
            <w:pPr>
              <w:spacing w:after="0"/>
              <w:rPr>
                <w:sz w:val="20"/>
                <w:szCs w:val="20"/>
                <w:color w:val="auto"/>
              </w:rPr>
            </w:pPr>
            <w:r>
              <w:rPr>
                <w:rFonts w:ascii="Arial" w:cs="Arial" w:eastAsia="Arial" w:hAnsi="Arial"/>
                <w:sz w:val="17"/>
                <w:szCs w:val="17"/>
                <w:color w:val="auto"/>
                <w:w w:val="95"/>
              </w:rPr>
              <w:t>Total liabilities, redeemable noncontrolling interests and stockholders' equity</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3,082,354</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2,553,586</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2,742,528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statements</w:t>
      </w:r>
      <w:r>
        <w:rPr>
          <w:rFonts w:ascii="Arial" w:cs="Arial" w:eastAsia="Arial" w:hAnsi="Arial"/>
          <w:sz w:val="17"/>
          <w:szCs w:val="17"/>
          <w:i w:val="1"/>
          <w:iCs w:val="1"/>
          <w:color w:val="auto"/>
        </w:rPr>
        <w:t>.</w:t>
      </w:r>
    </w:p>
    <w:p>
      <w:pPr>
        <w:sectPr>
          <w:pgSz w:w="11900" w:h="16838" w:orient="portrait"/>
          <w:cols w:equalWidth="0" w:num="1">
            <w:col w:w="9019"/>
          </w:cols>
          <w:pgMar w:left="1440" w:top="517" w:right="1440" w:bottom="1440"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98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July 31,</w:t>
            </w:r>
          </w:p>
        </w:tc>
        <w:tc>
          <w:tcPr>
            <w:tcW w:w="100" w:type="dxa"/>
            <w:vAlign w:val="bottom"/>
          </w:tcPr>
          <w:p>
            <w:pPr>
              <w:spacing w:after="0"/>
              <w:rPr>
                <w:sz w:val="16"/>
                <w:szCs w:val="16"/>
                <w:color w:val="auto"/>
              </w:rPr>
            </w:pPr>
          </w:p>
        </w:tc>
        <w:tc>
          <w:tcPr>
            <w:tcW w:w="1740" w:type="dxa"/>
            <w:vAlign w:val="bottom"/>
            <w:gridSpan w:val="4"/>
          </w:tcPr>
          <w:p>
            <w:pPr>
              <w:jc w:val="right"/>
              <w:ind w:right="15"/>
              <w:spacing w:after="0"/>
              <w:rPr>
                <w:sz w:val="20"/>
                <w:szCs w:val="20"/>
                <w:color w:val="auto"/>
              </w:rPr>
            </w:pPr>
            <w:r>
              <w:rPr>
                <w:rFonts w:ascii="Arial" w:cs="Arial" w:eastAsia="Arial" w:hAnsi="Arial"/>
                <w:sz w:val="14"/>
                <w:szCs w:val="14"/>
                <w:b w:val="1"/>
                <w:bCs w:val="1"/>
                <w:color w:val="auto"/>
                <w:w w:val="91"/>
              </w:rPr>
              <w:t>Six Months Ended July 31,</w:t>
            </w: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4"/>
          </w:tcPr>
          <w:p>
            <w:pPr>
              <w:jc w:val="right"/>
              <w:ind w:right="456"/>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60" w:type="dxa"/>
            <w:vAlign w:val="bottom"/>
            <w:gridSpan w:val="10"/>
          </w:tcPr>
          <w:p>
            <w:pPr>
              <w:jc w:val="right"/>
              <w:ind w:right="575"/>
              <w:spacing w:after="0"/>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605,244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483,081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1,294,001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1,002,991</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Cost of goods sold</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376,318</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290,203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819,036</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614,644</w:t>
            </w:r>
          </w:p>
        </w:tc>
        <w:tc>
          <w:tcPr>
            <w:tcW w:w="0" w:type="dxa"/>
            <w:vAlign w:val="bottom"/>
          </w:tcPr>
          <w:p>
            <w:pPr>
              <w:spacing w:after="0"/>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54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Gross profit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228,926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192,878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474,965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388,347</w:t>
            </w:r>
          </w:p>
        </w:tc>
        <w:tc>
          <w:tcPr>
            <w:tcW w:w="0" w:type="dxa"/>
            <w:vAlign w:val="bottom"/>
          </w:tcPr>
          <w:p>
            <w:pPr>
              <w:spacing w:after="0"/>
              <w:rPr>
                <w:sz w:val="1"/>
                <w:szCs w:val="1"/>
                <w:color w:val="auto"/>
              </w:rPr>
            </w:pPr>
          </w:p>
        </w:tc>
      </w:tr>
      <w:tr>
        <w:trPr>
          <w:trHeight w:val="203"/>
        </w:trPr>
        <w:tc>
          <w:tcPr>
            <w:tcW w:w="5580" w:type="dxa"/>
            <w:vAlign w:val="bottom"/>
            <w:gridSpan w:val="4"/>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191,041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146,840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376,458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288,443</w:t>
            </w:r>
          </w:p>
        </w:tc>
        <w:tc>
          <w:tcPr>
            <w:tcW w:w="0" w:type="dxa"/>
            <w:vAlign w:val="bottom"/>
          </w:tcPr>
          <w:p>
            <w:pPr>
              <w:spacing w:after="0"/>
              <w:rPr>
                <w:sz w:val="1"/>
                <w:szCs w:val="1"/>
                <w:color w:val="auto"/>
              </w:rPr>
            </w:pPr>
          </w:p>
        </w:tc>
      </w:tr>
      <w:tr>
        <w:trPr>
          <w:trHeight w:val="203"/>
        </w:trPr>
        <w:tc>
          <w:tcPr>
            <w:tcW w:w="55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12,751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14,142</w:t>
            </w:r>
          </w:p>
        </w:tc>
        <w:tc>
          <w:tcPr>
            <w:tcW w:w="0" w:type="dxa"/>
            <w:vAlign w:val="bottom"/>
          </w:tcPr>
          <w:p>
            <w:pPr>
              <w:spacing w:after="0"/>
              <w:rPr>
                <w:sz w:val="1"/>
                <w:szCs w:val="1"/>
                <w:color w:val="auto"/>
              </w:rPr>
            </w:pPr>
          </w:p>
        </w:tc>
      </w:tr>
      <w:tr>
        <w:trPr>
          <w:trHeight w:val="203"/>
        </w:trPr>
        <w:tc>
          <w:tcPr>
            <w:tcW w:w="5580" w:type="dxa"/>
            <w:vAlign w:val="bottom"/>
            <w:gridSpan w:val="4"/>
          </w:tcPr>
          <w:p>
            <w:pPr>
              <w:ind w:left="20"/>
              <w:spacing w:after="0"/>
              <w:rPr>
                <w:sz w:val="20"/>
                <w:szCs w:val="20"/>
                <w:color w:val="auto"/>
              </w:rPr>
            </w:pPr>
            <w:r>
              <w:rPr>
                <w:rFonts w:ascii="Arial" w:cs="Arial" w:eastAsia="Arial" w:hAnsi="Arial"/>
                <w:sz w:val="17"/>
                <w:szCs w:val="17"/>
                <w:color w:val="auto"/>
              </w:rPr>
              <w:t>Gain on lease terminations</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(29)</w:t>
            </w:r>
          </w:p>
        </w:tc>
        <w:tc>
          <w:tcPr>
            <w:tcW w:w="1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20" w:type="dxa"/>
            <w:vAlign w:val="bottom"/>
            <w:tcBorders>
              <w:top w:val="single" w:sz="8" w:color="CCEEFF"/>
            </w:tcBorders>
            <w:shd w:val="clear" w:color="auto" w:fill="CCEEFF"/>
          </w:tcPr>
          <w:p>
            <w:pPr>
              <w:spacing w:after="0"/>
              <w:rPr>
                <w:sz w:val="17"/>
                <w:szCs w:val="17"/>
                <w:color w:val="auto"/>
              </w:rPr>
            </w:pPr>
          </w:p>
        </w:tc>
        <w:tc>
          <w:tcPr>
            <w:tcW w:w="5460" w:type="dxa"/>
            <w:vAlign w:val="bottom"/>
            <w:tcBorders>
              <w:top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Operating profit</w:t>
            </w: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31,258</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38,940</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85,794</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85,762</w:t>
            </w:r>
          </w:p>
        </w:tc>
        <w:tc>
          <w:tcPr>
            <w:tcW w:w="0" w:type="dxa"/>
            <w:vAlign w:val="bottom"/>
          </w:tcPr>
          <w:p>
            <w:pPr>
              <w:spacing w:after="0"/>
              <w:rPr>
                <w:sz w:val="1"/>
                <w:szCs w:val="1"/>
                <w:color w:val="auto"/>
              </w:rPr>
            </w:pPr>
          </w:p>
        </w:tc>
      </w:tr>
      <w:tr>
        <w:trPr>
          <w:trHeight w:val="203"/>
        </w:trPr>
        <w:tc>
          <w:tcPr>
            <w:tcW w:w="5580" w:type="dxa"/>
            <w:vAlign w:val="bottom"/>
            <w:gridSpan w:val="4"/>
          </w:tcPr>
          <w:p>
            <w:pPr>
              <w:ind w:left="20"/>
              <w:spacing w:after="0"/>
              <w:rPr>
                <w:sz w:val="20"/>
                <w:szCs w:val="20"/>
                <w:color w:val="auto"/>
              </w:rPr>
            </w:pPr>
            <w:r>
              <w:rPr>
                <w:rFonts w:ascii="Arial" w:cs="Arial" w:eastAsia="Arial" w:hAnsi="Arial"/>
                <w:sz w:val="17"/>
                <w:szCs w:val="17"/>
                <w:color w:val="auto"/>
              </w:rPr>
              <w:t>Other income</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30,325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27,618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3,795</w:t>
            </w:r>
          </w:p>
        </w:tc>
        <w:tc>
          <w:tcPr>
            <w:tcW w:w="0" w:type="dxa"/>
            <w:vAlign w:val="bottom"/>
          </w:tcPr>
          <w:p>
            <w:pPr>
              <w:spacing w:after="0"/>
              <w:rPr>
                <w:sz w:val="1"/>
                <w:szCs w:val="1"/>
                <w:color w:val="auto"/>
              </w:rPr>
            </w:pPr>
          </w:p>
        </w:tc>
      </w:tr>
      <w:tr>
        <w:trPr>
          <w:trHeight w:val="203"/>
        </w:trPr>
        <w:tc>
          <w:tcPr>
            <w:tcW w:w="55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Interest and financing charges, net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(12,550)</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(12,574)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(24,753)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(24,578)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60" w:type="dxa"/>
            <w:vAlign w:val="bottom"/>
            <w:gridSpan w:val="3"/>
          </w:tcPr>
          <w:p>
            <w:pPr>
              <w:ind w:left="100"/>
              <w:spacing w:after="0"/>
              <w:rPr>
                <w:sz w:val="20"/>
                <w:szCs w:val="20"/>
                <w:color w:val="auto"/>
              </w:rPr>
            </w:pPr>
            <w:r>
              <w:rPr>
                <w:rFonts w:ascii="Arial" w:cs="Arial" w:eastAsia="Arial" w:hAnsi="Arial"/>
                <w:sz w:val="17"/>
                <w:szCs w:val="17"/>
                <w:color w:val="auto"/>
              </w:rPr>
              <w:t>Income before income taxes</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49,033</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28,341</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88,659</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64,979</w:t>
            </w:r>
          </w:p>
        </w:tc>
        <w:tc>
          <w:tcPr>
            <w:tcW w:w="0" w:type="dxa"/>
            <w:vAlign w:val="bottom"/>
          </w:tcPr>
          <w:p>
            <w:pPr>
              <w:spacing w:after="0"/>
              <w:rPr>
                <w:sz w:val="1"/>
                <w:szCs w:val="1"/>
                <w:color w:val="auto"/>
              </w:rPr>
            </w:pPr>
          </w:p>
        </w:tc>
      </w:tr>
      <w:tr>
        <w:trPr>
          <w:trHeight w:val="203"/>
        </w:trPr>
        <w:tc>
          <w:tcPr>
            <w:tcW w:w="55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12,968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21,968</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19,494</w:t>
            </w:r>
          </w:p>
        </w:tc>
        <w:tc>
          <w:tcPr>
            <w:tcW w:w="0" w:type="dxa"/>
            <w:vAlign w:val="bottom"/>
          </w:tcPr>
          <w:p>
            <w:pPr>
              <w:spacing w:after="0"/>
              <w:rPr>
                <w:sz w:val="1"/>
                <w:szCs w:val="1"/>
                <w:color w:val="auto"/>
              </w:rPr>
            </w:pPr>
          </w:p>
        </w:tc>
      </w:tr>
      <w:tr>
        <w:trPr>
          <w:trHeight w:val="196"/>
        </w:trPr>
        <w:tc>
          <w:tcPr>
            <w:tcW w:w="5580" w:type="dxa"/>
            <w:vAlign w:val="bottom"/>
            <w:gridSpan w:val="4"/>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36,065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19,106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66,691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45,485</w:t>
            </w:r>
          </w:p>
        </w:tc>
        <w:tc>
          <w:tcPr>
            <w:tcW w:w="0" w:type="dxa"/>
            <w:vAlign w:val="bottom"/>
          </w:tcPr>
          <w:p>
            <w:pPr>
              <w:spacing w:after="0"/>
              <w:rPr>
                <w:sz w:val="1"/>
                <w:szCs w:val="1"/>
                <w:color w:val="auto"/>
              </w:rPr>
            </w:pPr>
          </w:p>
        </w:tc>
      </w:tr>
      <w:tr>
        <w:trPr>
          <w:trHeight w:val="203"/>
        </w:trPr>
        <w:tc>
          <w:tcPr>
            <w:tcW w:w="55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Less: Loss attributable to noncontrolling interests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6"/>
        </w:trPr>
        <w:tc>
          <w:tcPr>
            <w:tcW w:w="558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Net income attributable to G-III Apparel Group, Ltd.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36,319</w:t>
            </w:r>
          </w:p>
        </w:tc>
        <w:tc>
          <w:tcPr>
            <w:tcW w:w="1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19,168</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66,953</w:t>
            </w:r>
          </w:p>
        </w:tc>
        <w:tc>
          <w:tcPr>
            <w:tcW w:w="1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45,489</w:t>
            </w:r>
          </w:p>
        </w:tc>
        <w:tc>
          <w:tcPr>
            <w:tcW w:w="0" w:type="dxa"/>
            <w:vAlign w:val="bottom"/>
          </w:tcPr>
          <w:p>
            <w:pPr>
              <w:spacing w:after="0"/>
              <w:rPr>
                <w:sz w:val="1"/>
                <w:szCs w:val="1"/>
                <w:color w:val="auto"/>
              </w:rPr>
            </w:pPr>
          </w:p>
        </w:tc>
      </w:tr>
      <w:tr>
        <w:trPr>
          <w:trHeight w:val="183"/>
        </w:trPr>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80" w:type="dxa"/>
            <w:vAlign w:val="bottom"/>
            <w:gridSpan w:val="4"/>
          </w:tcPr>
          <w:p>
            <w:pPr>
              <w:ind w:left="20"/>
              <w:spacing w:after="0" w:line="180" w:lineRule="exact"/>
              <w:rPr>
                <w:sz w:val="20"/>
                <w:szCs w:val="20"/>
                <w:color w:val="auto"/>
              </w:rPr>
            </w:pPr>
            <w:r>
              <w:rPr>
                <w:rFonts w:ascii="Arial" w:cs="Arial" w:eastAsia="Arial" w:hAnsi="Arial"/>
                <w:sz w:val="17"/>
                <w:szCs w:val="17"/>
                <w:b w:val="1"/>
                <w:bCs w:val="1"/>
                <w:color w:val="auto"/>
              </w:rPr>
              <w:t>NET INCOME PER COMMON SHARE ATTRIBUTABLE TO G-III</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580" w:type="dxa"/>
            <w:vAlign w:val="bottom"/>
            <w:gridSpan w:val="4"/>
          </w:tcPr>
          <w:p>
            <w:pPr>
              <w:ind w:left="20"/>
              <w:spacing w:after="0"/>
              <w:rPr>
                <w:sz w:val="20"/>
                <w:szCs w:val="20"/>
                <w:color w:val="auto"/>
              </w:rPr>
            </w:pPr>
            <w:r>
              <w:rPr>
                <w:rFonts w:ascii="Arial" w:cs="Arial" w:eastAsia="Arial" w:hAnsi="Arial"/>
                <w:sz w:val="17"/>
                <w:szCs w:val="17"/>
                <w:b w:val="1"/>
                <w:bCs w:val="1"/>
                <w:color w:val="auto"/>
              </w:rPr>
              <w:t>APPAREL GROUP, LTD.:</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5580" w:type="dxa"/>
            <w:vAlign w:val="bottom"/>
            <w:gridSpan w:val="4"/>
            <w:shd w:val="clear" w:color="auto" w:fill="CCEEFF"/>
          </w:tcPr>
          <w:p>
            <w:pPr>
              <w:ind w:left="120"/>
              <w:spacing w:after="0" w:line="164" w:lineRule="exact"/>
              <w:rPr>
                <w:sz w:val="20"/>
                <w:szCs w:val="20"/>
                <w:color w:val="auto"/>
              </w:rPr>
            </w:pPr>
            <w:r>
              <w:rPr>
                <w:rFonts w:ascii="Arial" w:cs="Arial" w:eastAsia="Arial" w:hAnsi="Arial"/>
                <w:sz w:val="17"/>
                <w:szCs w:val="17"/>
                <w:color w:val="auto"/>
              </w:rPr>
              <w:t>Basic:</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Borders>
              <w:bottom w:val="single" w:sz="8" w:color="CCEEFF"/>
            </w:tcBorders>
          </w:tcPr>
          <w:p>
            <w:pPr>
              <w:spacing w:after="0"/>
              <w:rPr>
                <w:sz w:val="21"/>
                <w:szCs w:val="21"/>
                <w:color w:val="auto"/>
              </w:rPr>
            </w:pPr>
          </w:p>
        </w:tc>
        <w:tc>
          <w:tcPr>
            <w:tcW w:w="5460" w:type="dxa"/>
            <w:vAlign w:val="bottom"/>
            <w:tcBorders>
              <w:bottom w:val="single" w:sz="8" w:color="CCEEFF"/>
            </w:tcBorders>
            <w:gridSpan w:val="3"/>
          </w:tcPr>
          <w:p>
            <w:pPr>
              <w:ind w:left="100"/>
              <w:spacing w:after="0"/>
              <w:rPr>
                <w:sz w:val="20"/>
                <w:szCs w:val="20"/>
                <w:color w:val="auto"/>
              </w:rPr>
            </w:pPr>
            <w:r>
              <w:rPr>
                <w:rFonts w:ascii="Arial" w:cs="Arial" w:eastAsia="Arial" w:hAnsi="Arial"/>
                <w:sz w:val="17"/>
                <w:szCs w:val="17"/>
                <w:color w:val="auto"/>
              </w:rPr>
              <w:t>Net income per common share</w:t>
            </w: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0.76</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0.94</w:t>
            </w:r>
          </w:p>
        </w:tc>
        <w:tc>
          <w:tcPr>
            <w:tcW w:w="0" w:type="dxa"/>
            <w:vAlign w:val="bottom"/>
          </w:tcPr>
          <w:p>
            <w:pPr>
              <w:spacing w:after="0"/>
              <w:rPr>
                <w:sz w:val="1"/>
                <w:szCs w:val="1"/>
                <w:color w:val="auto"/>
              </w:rPr>
            </w:pPr>
          </w:p>
        </w:tc>
      </w:tr>
      <w:tr>
        <w:trPr>
          <w:trHeight w:val="183"/>
        </w:trPr>
        <w:tc>
          <w:tcPr>
            <w:tcW w:w="120" w:type="dxa"/>
            <w:vAlign w:val="bottom"/>
            <w:tcBorders>
              <w:bottom w:val="single" w:sz="8" w:color="CCEEFF"/>
            </w:tcBorders>
            <w:shd w:val="clear" w:color="auto" w:fill="CCEEFF"/>
          </w:tcPr>
          <w:p>
            <w:pPr>
              <w:spacing w:after="0"/>
              <w:rPr>
                <w:sz w:val="15"/>
                <w:szCs w:val="15"/>
                <w:color w:val="auto"/>
              </w:rPr>
            </w:pPr>
          </w:p>
        </w:tc>
        <w:tc>
          <w:tcPr>
            <w:tcW w:w="5460" w:type="dxa"/>
            <w:vAlign w:val="bottom"/>
            <w:tcBorders>
              <w:bottom w:val="single" w:sz="8" w:color="CCEEFF"/>
            </w:tcBorders>
            <w:gridSpan w:val="3"/>
            <w:shd w:val="clear" w:color="auto" w:fill="CCEEFF"/>
          </w:tcPr>
          <w:p>
            <w:pPr>
              <w:ind w:left="100"/>
              <w:spacing w:after="0" w:line="183" w:lineRule="exact"/>
              <w:rPr>
                <w:sz w:val="20"/>
                <w:szCs w:val="20"/>
                <w:color w:val="auto"/>
              </w:rPr>
            </w:pPr>
            <w:r>
              <w:rPr>
                <w:rFonts w:ascii="Arial" w:cs="Arial" w:eastAsia="Arial" w:hAnsi="Arial"/>
                <w:sz w:val="17"/>
                <w:szCs w:val="17"/>
                <w:color w:val="auto"/>
              </w:rPr>
              <w:t>Weighted average number of shares outstanding</w:t>
            </w: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47,999</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48,476</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48,007</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48,427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580" w:type="dxa"/>
            <w:vAlign w:val="bottom"/>
            <w:gridSpan w:val="4"/>
            <w:shd w:val="clear" w:color="auto" w:fill="CCEEFF"/>
          </w:tcPr>
          <w:p>
            <w:pPr>
              <w:ind w:left="120"/>
              <w:spacing w:after="0" w:line="162" w:lineRule="exact"/>
              <w:rPr>
                <w:sz w:val="20"/>
                <w:szCs w:val="20"/>
                <w:color w:val="auto"/>
              </w:rPr>
            </w:pPr>
            <w:r>
              <w:rPr>
                <w:rFonts w:ascii="Arial" w:cs="Arial" w:eastAsia="Arial" w:hAnsi="Arial"/>
                <w:sz w:val="17"/>
                <w:szCs w:val="17"/>
                <w:color w:val="auto"/>
              </w:rPr>
              <w:t>Diluted:</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Borders>
              <w:bottom w:val="single" w:sz="8" w:color="CCEEFF"/>
            </w:tcBorders>
          </w:tcPr>
          <w:p>
            <w:pPr>
              <w:spacing w:after="0"/>
              <w:rPr>
                <w:sz w:val="21"/>
                <w:szCs w:val="21"/>
                <w:color w:val="auto"/>
              </w:rPr>
            </w:pPr>
          </w:p>
        </w:tc>
        <w:tc>
          <w:tcPr>
            <w:tcW w:w="5460" w:type="dxa"/>
            <w:vAlign w:val="bottom"/>
            <w:tcBorders>
              <w:bottom w:val="single" w:sz="8" w:color="CCEEFF"/>
            </w:tcBorders>
            <w:gridSpan w:val="3"/>
          </w:tcPr>
          <w:p>
            <w:pPr>
              <w:ind w:left="100"/>
              <w:spacing w:after="0"/>
              <w:rPr>
                <w:sz w:val="20"/>
                <w:szCs w:val="20"/>
                <w:color w:val="auto"/>
              </w:rPr>
            </w:pPr>
            <w:r>
              <w:rPr>
                <w:rFonts w:ascii="Arial" w:cs="Arial" w:eastAsia="Arial" w:hAnsi="Arial"/>
                <w:sz w:val="17"/>
                <w:szCs w:val="17"/>
                <w:color w:val="auto"/>
              </w:rPr>
              <w:t>Net income per common share</w:t>
            </w: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0.74</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0.39</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0.92</w:t>
            </w:r>
          </w:p>
        </w:tc>
        <w:tc>
          <w:tcPr>
            <w:tcW w:w="0" w:type="dxa"/>
            <w:vAlign w:val="bottom"/>
          </w:tcPr>
          <w:p>
            <w:pPr>
              <w:spacing w:after="0"/>
              <w:rPr>
                <w:sz w:val="1"/>
                <w:szCs w:val="1"/>
                <w:color w:val="auto"/>
              </w:rPr>
            </w:pPr>
          </w:p>
        </w:tc>
      </w:tr>
      <w:tr>
        <w:trPr>
          <w:trHeight w:val="183"/>
        </w:trPr>
        <w:tc>
          <w:tcPr>
            <w:tcW w:w="120" w:type="dxa"/>
            <w:vAlign w:val="bottom"/>
            <w:tcBorders>
              <w:bottom w:val="single" w:sz="8" w:color="CCEEFF"/>
            </w:tcBorders>
            <w:shd w:val="clear" w:color="auto" w:fill="CCEEFF"/>
          </w:tcPr>
          <w:p>
            <w:pPr>
              <w:spacing w:after="0"/>
              <w:rPr>
                <w:sz w:val="15"/>
                <w:szCs w:val="15"/>
                <w:color w:val="auto"/>
              </w:rPr>
            </w:pPr>
          </w:p>
        </w:tc>
        <w:tc>
          <w:tcPr>
            <w:tcW w:w="5460" w:type="dxa"/>
            <w:vAlign w:val="bottom"/>
            <w:tcBorders>
              <w:bottom w:val="single" w:sz="8" w:color="CCEEFF"/>
            </w:tcBorders>
            <w:gridSpan w:val="3"/>
            <w:shd w:val="clear" w:color="auto" w:fill="CCEEFF"/>
          </w:tcPr>
          <w:p>
            <w:pPr>
              <w:ind w:left="100"/>
              <w:spacing w:after="0" w:line="183" w:lineRule="exact"/>
              <w:rPr>
                <w:sz w:val="20"/>
                <w:szCs w:val="20"/>
                <w:color w:val="auto"/>
              </w:rPr>
            </w:pPr>
            <w:r>
              <w:rPr>
                <w:rFonts w:ascii="Arial" w:cs="Arial" w:eastAsia="Arial" w:hAnsi="Arial"/>
                <w:sz w:val="17"/>
                <w:szCs w:val="17"/>
                <w:color w:val="auto"/>
              </w:rPr>
              <w:t>Weighted average number of shares outstanding</w:t>
            </w: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49,019</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49,523</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49,061</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49,502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36,065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19,106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66,691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45,485</w:t>
            </w:r>
          </w:p>
        </w:tc>
        <w:tc>
          <w:tcPr>
            <w:tcW w:w="0" w:type="dxa"/>
            <w:vAlign w:val="bottom"/>
          </w:tcPr>
          <w:p>
            <w:pPr>
              <w:spacing w:after="0"/>
              <w:rPr>
                <w:sz w:val="1"/>
                <w:szCs w:val="1"/>
                <w:color w:val="auto"/>
              </w:rPr>
            </w:pPr>
          </w:p>
        </w:tc>
      </w:tr>
      <w:tr>
        <w:trPr>
          <w:trHeight w:val="203"/>
        </w:trPr>
        <w:tc>
          <w:tcPr>
            <w:tcW w:w="5580" w:type="dxa"/>
            <w:vAlign w:val="bottom"/>
            <w:gridSpan w:val="4"/>
          </w:tcPr>
          <w:p>
            <w:pPr>
              <w:ind w:left="20"/>
              <w:spacing w:after="0"/>
              <w:rPr>
                <w:sz w:val="20"/>
                <w:szCs w:val="20"/>
                <w:color w:val="auto"/>
              </w:rPr>
            </w:pPr>
            <w:r>
              <w:rPr>
                <w:rFonts w:ascii="Arial" w:cs="Arial" w:eastAsia="Arial" w:hAnsi="Arial"/>
                <w:sz w:val="17"/>
                <w:szCs w:val="17"/>
                <w:color w:val="auto"/>
              </w:rPr>
              <w:t>Other comprehensive income (loss):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54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Foreign currency translation adjustments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(1,637)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(4,938)</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Other comprehensive income (loss):</w:t>
            </w: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2,493</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(1,637)</w:t>
            </w: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(4,938)</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38,558</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21,127</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65,054</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40,547</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5460" w:type="dxa"/>
            <w:vAlign w:val="bottom"/>
            <w:gridSpan w:val="3"/>
            <w:vMerge w:val="restart"/>
          </w:tcPr>
          <w:p>
            <w:pPr>
              <w:ind w:left="100"/>
              <w:spacing w:after="0"/>
              <w:rPr>
                <w:sz w:val="20"/>
                <w:szCs w:val="20"/>
                <w:color w:val="auto"/>
              </w:rPr>
            </w:pPr>
            <w:r>
              <w:rPr>
                <w:rFonts w:ascii="Arial" w:cs="Arial" w:eastAsia="Arial" w:hAnsi="Arial"/>
                <w:sz w:val="17"/>
                <w:szCs w:val="17"/>
                <w:color w:val="auto"/>
              </w:rPr>
              <w:t>Comprehensive (loss) income attributable to noncontrolling interests:</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20" w:type="dxa"/>
            <w:vAlign w:val="bottom"/>
            <w:vMerge w:val="continue"/>
          </w:tcPr>
          <w:p>
            <w:pPr>
              <w:spacing w:after="0"/>
              <w:rPr>
                <w:sz w:val="15"/>
                <w:szCs w:val="15"/>
                <w:color w:val="auto"/>
              </w:rPr>
            </w:pPr>
          </w:p>
        </w:tc>
        <w:tc>
          <w:tcPr>
            <w:tcW w:w="54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20" w:type="dxa"/>
            <w:vAlign w:val="bottom"/>
            <w:shd w:val="clear" w:color="auto" w:fill="CCEEFF"/>
          </w:tcPr>
          <w:p>
            <w:pPr>
              <w:spacing w:after="0"/>
              <w:rPr>
                <w:sz w:val="17"/>
                <w:szCs w:val="17"/>
                <w:color w:val="auto"/>
              </w:rPr>
            </w:pPr>
          </w:p>
        </w:tc>
        <w:tc>
          <w:tcPr>
            <w:tcW w:w="54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460" w:type="dxa"/>
            <w:vAlign w:val="bottom"/>
            <w:gridSpan w:val="3"/>
          </w:tcPr>
          <w:p>
            <w:pPr>
              <w:ind w:left="220"/>
              <w:spacing w:after="0"/>
              <w:rPr>
                <w:sz w:val="20"/>
                <w:szCs w:val="20"/>
                <w:color w:val="auto"/>
              </w:rPr>
            </w:pPr>
            <w:r>
              <w:rPr>
                <w:rFonts w:ascii="Arial" w:cs="Arial" w:eastAsia="Arial" w:hAnsi="Arial"/>
                <w:sz w:val="17"/>
                <w:szCs w:val="17"/>
                <w:color w:val="auto"/>
              </w:rPr>
              <w:t>Foreign currency translation adjustments</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(62)</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96"/>
        </w:trPr>
        <w:tc>
          <w:tcPr>
            <w:tcW w:w="120" w:type="dxa"/>
            <w:vAlign w:val="bottom"/>
            <w:tcBorders>
              <w:top w:val="single" w:sz="8" w:color="CCEEFF"/>
            </w:tcBorders>
            <w:shd w:val="clear" w:color="auto" w:fill="CCEEFF"/>
          </w:tcPr>
          <w:p>
            <w:pPr>
              <w:spacing w:after="0"/>
              <w:rPr>
                <w:sz w:val="17"/>
                <w:szCs w:val="17"/>
                <w:color w:val="auto"/>
              </w:rPr>
            </w:pPr>
          </w:p>
        </w:tc>
        <w:tc>
          <w:tcPr>
            <w:tcW w:w="546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7"/>
                <w:szCs w:val="17"/>
                <w:color w:val="auto"/>
                <w:w w:val="99"/>
              </w:rPr>
              <w:t>Comprehensive (loss) income attributable to noncontrolling interests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6"/>
        </w:trPr>
        <w:tc>
          <w:tcPr>
            <w:tcW w:w="5580" w:type="dxa"/>
            <w:vAlign w:val="bottom"/>
            <w:gridSpan w:val="4"/>
          </w:tcPr>
          <w:p>
            <w:pPr>
              <w:ind w:left="20"/>
              <w:spacing w:after="0"/>
              <w:rPr>
                <w:sz w:val="20"/>
                <w:szCs w:val="20"/>
                <w:color w:val="auto"/>
              </w:rPr>
            </w:pPr>
            <w:r>
              <w:rPr>
                <w:rFonts w:ascii="Arial" w:cs="Arial" w:eastAsia="Arial" w:hAnsi="Arial"/>
                <w:sz w:val="17"/>
                <w:szCs w:val="17"/>
                <w:color w:val="auto"/>
              </w:rPr>
              <w:t>Comprehensive income attributable to G-III Apparel Group, Ltd.</w:t>
            </w: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38,242</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21,075</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64,732</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40,549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60"/>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440"/>
          </w:cols>
          <w:pgMar w:left="1440" w:top="517" w:right="101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Common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Held In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4"/>
          </w:tcPr>
          <w:p>
            <w:pPr>
              <w:jc w:val="center"/>
              <w:ind w:left="32"/>
              <w:spacing w:after="0" w:line="133" w:lineRule="exact"/>
              <w:rPr>
                <w:sz w:val="20"/>
                <w:szCs w:val="20"/>
                <w:color w:val="auto"/>
              </w:rPr>
            </w:pPr>
            <w:r>
              <w:rPr>
                <w:rFonts w:ascii="Arial" w:cs="Arial" w:eastAsia="Arial" w:hAnsi="Arial"/>
                <w:sz w:val="14"/>
                <w:szCs w:val="14"/>
                <w:b w:val="1"/>
                <w:bCs w:val="1"/>
                <w:color w:val="auto"/>
                <w:w w:val="97"/>
              </w:rPr>
              <w:t>(Unaudited)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April 30, 2022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$ 460,999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(18,657)</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1,147,639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(31,953)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$ 1,558,292</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Equity awards exercised/vested, net</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(2,959)</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2,959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(16,622)</w:t>
            </w:r>
          </w:p>
        </w:tc>
        <w:tc>
          <w:tcPr>
            <w:tcW w:w="920" w:type="dxa"/>
            <w:vAlign w:val="bottom"/>
          </w:tcPr>
          <w:p>
            <w:pPr>
              <w:jc w:val="right"/>
              <w:spacing w:after="0"/>
              <w:rPr>
                <w:sz w:val="20"/>
                <w:szCs w:val="20"/>
                <w:color w:val="auto"/>
              </w:rPr>
            </w:pPr>
            <w:r>
              <w:rPr>
                <w:rFonts w:ascii="Arial" w:cs="Arial" w:eastAsia="Arial" w:hAnsi="Arial"/>
                <w:sz w:val="18"/>
                <w:szCs w:val="18"/>
                <w:color w:val="auto"/>
              </w:rPr>
              <w:t>(16,622)</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Net income attributable to G-III Apparel</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Group, Ltd.</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36,319</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36,319</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July 31, 2022</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$ 461,621</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(16,226)</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1,183,958</w:t>
            </w:r>
          </w:p>
        </w:tc>
        <w:tc>
          <w:tcPr>
            <w:tcW w:w="16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(45,616)</w:t>
            </w:r>
          </w:p>
        </w:tc>
        <w:tc>
          <w:tcPr>
            <w:tcW w:w="16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$ 1,584,001</w:t>
            </w:r>
          </w:p>
        </w:tc>
        <w:tc>
          <w:tcPr>
            <w:tcW w:w="0" w:type="dxa"/>
            <w:vAlign w:val="bottom"/>
          </w:tcPr>
          <w:p>
            <w:pPr>
              <w:spacing w:after="0"/>
              <w:rPr>
                <w:sz w:val="1"/>
                <w:szCs w:val="1"/>
                <w:color w:val="auto"/>
              </w:rPr>
            </w:pPr>
          </w:p>
        </w:tc>
      </w:tr>
      <w:tr>
        <w:trPr>
          <w:trHeight w:val="196"/>
        </w:trPr>
        <w:tc>
          <w:tcPr>
            <w:tcW w:w="3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Balance as of April 30, 2021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$ 450,961</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(9,057)</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942,733</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 (27,025)</w:t>
            </w:r>
          </w:p>
        </w:tc>
        <w:tc>
          <w:tcPr>
            <w:tcW w:w="920" w:type="dxa"/>
            <w:vAlign w:val="bottom"/>
          </w:tcPr>
          <w:p>
            <w:pPr>
              <w:jc w:val="right"/>
              <w:spacing w:after="0"/>
              <w:rPr>
                <w:sz w:val="20"/>
                <w:szCs w:val="20"/>
                <w:color w:val="auto"/>
              </w:rPr>
            </w:pPr>
            <w:r>
              <w:rPr>
                <w:rFonts w:ascii="Arial" w:cs="Arial" w:eastAsia="Arial" w:hAnsi="Arial"/>
                <w:sz w:val="18"/>
                <w:szCs w:val="18"/>
                <w:color w:val="auto"/>
                <w:w w:val="90"/>
              </w:rPr>
              <w:t>$ 1,357,876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awards exercised/vested, net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5,871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paid for net share settlements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Other comprehensive loss, net</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Cumulative effect of change in</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principle</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60" w:type="dxa"/>
            <w:vAlign w:val="bottom"/>
          </w:tcPr>
          <w:p>
            <w:pPr>
              <w:ind w:left="20"/>
              <w:spacing w:after="0" w:line="201" w:lineRule="exact"/>
              <w:rPr>
                <w:sz w:val="20"/>
                <w:szCs w:val="20"/>
                <w:color w:val="auto"/>
              </w:rPr>
            </w:pPr>
            <w:r>
              <w:rPr>
                <w:rFonts w:ascii="Arial" w:cs="Arial" w:eastAsia="Arial" w:hAnsi="Arial"/>
                <w:sz w:val="18"/>
                <w:szCs w:val="18"/>
                <w:color w:val="auto"/>
                <w:w w:val="99"/>
              </w:rPr>
              <w:t>Net income attributable to G-III Apparel</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Group, Ltd.</w:t>
            </w:r>
          </w:p>
        </w:tc>
        <w:tc>
          <w:tcPr>
            <w:tcW w:w="12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19,168</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19,168</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2021</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$ 447,476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961,901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(22,003)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$ 1,380,612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$ 456,329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(14,529)</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1,117,005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(39,157)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$ 1,519,912</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Equity awards exercised/vested, net</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(10,163)</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10,163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25,245</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(9,790)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(9,790)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(16,622)</w:t>
            </w:r>
          </w:p>
        </w:tc>
        <w:tc>
          <w:tcPr>
            <w:tcW w:w="920" w:type="dxa"/>
            <w:vAlign w:val="bottom"/>
          </w:tcPr>
          <w:p>
            <w:pPr>
              <w:jc w:val="right"/>
              <w:spacing w:after="0"/>
              <w:rPr>
                <w:sz w:val="20"/>
                <w:szCs w:val="20"/>
                <w:color w:val="auto"/>
              </w:rPr>
            </w:pPr>
            <w:r>
              <w:rPr>
                <w:rFonts w:ascii="Arial" w:cs="Arial" w:eastAsia="Arial" w:hAnsi="Arial"/>
                <w:sz w:val="18"/>
                <w:szCs w:val="18"/>
                <w:color w:val="auto"/>
              </w:rPr>
              <w:t>(16,622)</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Net income attributable to G-III Apparel</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Group, Ltd.</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66,953</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66,953</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July 31, 2022</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$ 461,621</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(16,226)</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1,183,958</w:t>
            </w:r>
          </w:p>
        </w:tc>
        <w:tc>
          <w:tcPr>
            <w:tcW w:w="16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(45,616)</w:t>
            </w:r>
          </w:p>
        </w:tc>
        <w:tc>
          <w:tcPr>
            <w:tcW w:w="16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$ 1,584,001</w:t>
            </w:r>
          </w:p>
        </w:tc>
        <w:tc>
          <w:tcPr>
            <w:tcW w:w="0" w:type="dxa"/>
            <w:vAlign w:val="bottom"/>
          </w:tcPr>
          <w:p>
            <w:pPr>
              <w:spacing w:after="0"/>
              <w:rPr>
                <w:sz w:val="1"/>
                <w:szCs w:val="1"/>
                <w:color w:val="auto"/>
              </w:rPr>
            </w:pPr>
          </w:p>
        </w:tc>
      </w:tr>
      <w:tr>
        <w:trPr>
          <w:trHeight w:val="196"/>
        </w:trPr>
        <w:tc>
          <w:tcPr>
            <w:tcW w:w="3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Balance as of January 31, 2021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$ 448,417</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(2,094)</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916,683</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 (27,029)</w:t>
            </w:r>
          </w:p>
        </w:tc>
        <w:tc>
          <w:tcPr>
            <w:tcW w:w="920" w:type="dxa"/>
            <w:vAlign w:val="bottom"/>
          </w:tcPr>
          <w:p>
            <w:pPr>
              <w:jc w:val="right"/>
              <w:spacing w:after="0"/>
              <w:rPr>
                <w:sz w:val="20"/>
                <w:szCs w:val="20"/>
                <w:color w:val="auto"/>
              </w:rPr>
            </w:pPr>
            <w:r>
              <w:rPr>
                <w:rFonts w:ascii="Arial" w:cs="Arial" w:eastAsia="Arial" w:hAnsi="Arial"/>
                <w:sz w:val="18"/>
                <w:szCs w:val="18"/>
                <w:color w:val="auto"/>
                <w:w w:val="90"/>
              </w:rPr>
              <w:t>$ 1,336,241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awards exercised/vested, net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paid for net share settlements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202"/>
        </w:trPr>
        <w:tc>
          <w:tcPr>
            <w:tcW w:w="3160" w:type="dxa"/>
            <w:vAlign w:val="bottom"/>
          </w:tcPr>
          <w:p>
            <w:pPr>
              <w:ind w:left="20"/>
              <w:spacing w:after="0" w:line="201" w:lineRule="exact"/>
              <w:rPr>
                <w:sz w:val="20"/>
                <w:szCs w:val="20"/>
                <w:color w:val="auto"/>
              </w:rPr>
            </w:pPr>
            <w:r>
              <w:rPr>
                <w:rFonts w:ascii="Arial" w:cs="Arial" w:eastAsia="Arial" w:hAnsi="Arial"/>
                <w:sz w:val="18"/>
                <w:szCs w:val="18"/>
                <w:color w:val="auto"/>
              </w:rPr>
              <w:t>Cumulative effect of change in</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accounting principle</w:t>
            </w:r>
          </w:p>
        </w:tc>
        <w:tc>
          <w:tcPr>
            <w:tcW w:w="12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02"/>
        </w:trPr>
        <w:tc>
          <w:tcPr>
            <w:tcW w:w="3160" w:type="dxa"/>
            <w:vAlign w:val="bottom"/>
          </w:tcPr>
          <w:p>
            <w:pPr>
              <w:ind w:left="20"/>
              <w:spacing w:after="0" w:line="201" w:lineRule="exact"/>
              <w:rPr>
                <w:sz w:val="20"/>
                <w:szCs w:val="20"/>
                <w:color w:val="auto"/>
              </w:rPr>
            </w:pPr>
            <w:r>
              <w:rPr>
                <w:rFonts w:ascii="Arial" w:cs="Arial" w:eastAsia="Arial" w:hAnsi="Arial"/>
                <w:sz w:val="18"/>
                <w:szCs w:val="18"/>
                <w:color w:val="auto"/>
                <w:w w:val="99"/>
              </w:rPr>
              <w:t>Net income attributable to G-III Apparel</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Group, Ltd.</w:t>
            </w:r>
          </w:p>
        </w:tc>
        <w:tc>
          <w:tcPr>
            <w:tcW w:w="12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45,489</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45,489</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2021</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$ 447,476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961,901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(22,003)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$ 1,380,612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79"/>
              <w:spacing w:after="0"/>
              <w:rPr>
                <w:sz w:val="20"/>
                <w:szCs w:val="20"/>
                <w:color w:val="auto"/>
              </w:rPr>
            </w:pPr>
            <w:r>
              <w:rPr>
                <w:rFonts w:ascii="Arial" w:cs="Arial" w:eastAsia="Arial" w:hAnsi="Arial"/>
                <w:sz w:val="14"/>
                <w:szCs w:val="14"/>
                <w:b w:val="1"/>
                <w:bCs w:val="1"/>
                <w:color w:val="auto"/>
                <w:w w:val="93"/>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3"/>
          </w:tcPr>
          <w:p>
            <w:pPr>
              <w:jc w:val="center"/>
              <w:ind w:left="400"/>
              <w:spacing w:after="0" w:line="119" w:lineRule="exact"/>
              <w:rPr>
                <w:sz w:val="20"/>
                <w:szCs w:val="20"/>
                <w:color w:val="auto"/>
              </w:rPr>
            </w:pPr>
            <w:r>
              <w:rPr>
                <w:rFonts w:ascii="Arial" w:cs="Arial" w:eastAsia="Arial" w:hAnsi="Arial"/>
                <w:sz w:val="13"/>
                <w:szCs w:val="13"/>
                <w:b w:val="1"/>
                <w:bCs w:val="1"/>
                <w:color w:val="auto"/>
              </w:rPr>
              <w:t>(Unaudited)</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jc w:val="center"/>
              <w:ind w:right="79"/>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80"/>
              <w:spacing w:after="0"/>
              <w:rPr>
                <w:sz w:val="20"/>
                <w:szCs w:val="20"/>
                <w:color w:val="auto"/>
              </w:rPr>
            </w:pPr>
            <w:r>
              <w:rPr>
                <w:rFonts w:ascii="Arial" w:cs="Arial" w:eastAsia="Arial" w:hAnsi="Arial"/>
                <w:sz w:val="16"/>
                <w:szCs w:val="16"/>
                <w:color w:val="auto"/>
              </w:rPr>
              <w:t>Net income attributable to G-III Apparel Group, Ltd.</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66,953</w:t>
            </w:r>
          </w:p>
        </w:tc>
        <w:tc>
          <w:tcPr>
            <w:tcW w:w="500" w:type="dxa"/>
            <w:vAlign w:val="bottom"/>
            <w:gridSpan w:val="2"/>
          </w:tcPr>
          <w:p>
            <w:pPr>
              <w:jc w:val="right"/>
              <w:ind w:right="18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45,489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6"/>
                <w:szCs w:val="16"/>
                <w:color w:val="auto"/>
                <w:w w:val="98"/>
              </w:rPr>
              <w:t>Adjustments to reconcile net income to net cash (used in) provided by operating activities: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12,751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14,142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disposal of fixed assets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200"/>
              <w:spacing w:after="0"/>
              <w:rPr>
                <w:sz w:val="20"/>
                <w:szCs w:val="20"/>
                <w:color w:val="auto"/>
              </w:rPr>
            </w:pPr>
            <w:r>
              <w:rPr>
                <w:rFonts w:ascii="Arial" w:cs="Arial" w:eastAsia="Arial" w:hAnsi="Arial"/>
                <w:sz w:val="16"/>
                <w:szCs w:val="16"/>
                <w:color w:val="auto"/>
              </w:rPr>
              <w:t>Non-cash operating lease costs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24,271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20,598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 on lease modifications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200"/>
              <w:spacing w:after="0"/>
              <w:rPr>
                <w:sz w:val="20"/>
                <w:szCs w:val="20"/>
                <w:color w:val="auto"/>
              </w:rPr>
            </w:pPr>
            <w:r>
              <w:rPr>
                <w:rFonts w:ascii="Arial" w:cs="Arial" w:eastAsia="Arial" w:hAnsi="Arial"/>
                <w:sz w:val="16"/>
                <w:szCs w:val="16"/>
                <w:color w:val="auto"/>
              </w:rPr>
              <w:t>Dividend received from unconsolidated affiliate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gain in unconsolidated affiliates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200"/>
              <w:spacing w:after="0"/>
              <w:rPr>
                <w:sz w:val="20"/>
                <w:szCs w:val="20"/>
                <w:color w:val="auto"/>
              </w:rPr>
            </w:pPr>
            <w:r>
              <w:rPr>
                <w:rFonts w:ascii="Arial" w:cs="Arial" w:eastAsia="Arial" w:hAnsi="Arial"/>
                <w:sz w:val="16"/>
                <w:szCs w:val="16"/>
                <w:color w:val="auto"/>
              </w:rPr>
              <w:t>Change in fair value of equity securities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1,718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Share-based compensation</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25,245</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200"/>
              <w:spacing w:after="0"/>
              <w:rPr>
                <w:sz w:val="20"/>
                <w:szCs w:val="20"/>
                <w:color w:val="auto"/>
              </w:rPr>
            </w:pPr>
            <w:r>
              <w:rPr>
                <w:rFonts w:ascii="Arial" w:cs="Arial" w:eastAsia="Arial" w:hAnsi="Arial"/>
                <w:sz w:val="16"/>
                <w:szCs w:val="16"/>
                <w:color w:val="auto"/>
              </w:rPr>
              <w:t>Deferred financing charges and debt discount amortization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5,057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income taxes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200"/>
              <w:spacing w:after="0"/>
              <w:rPr>
                <w:sz w:val="20"/>
                <w:szCs w:val="20"/>
                <w:color w:val="auto"/>
              </w:rPr>
            </w:pPr>
            <w:r>
              <w:rPr>
                <w:rFonts w:ascii="Arial" w:cs="Arial" w:eastAsia="Arial" w:hAnsi="Arial"/>
                <w:sz w:val="16"/>
                <w:szCs w:val="16"/>
                <w:color w:val="auto"/>
              </w:rPr>
              <w:t>Non-cash gain on fair value of prior minority ownership of Karl Lagerfeld</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(30,925)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tcPr>
          <w:p>
            <w:pPr>
              <w:ind w:left="300"/>
              <w:spacing w:after="0"/>
              <w:rPr>
                <w:sz w:val="20"/>
                <w:szCs w:val="20"/>
                <w:color w:val="auto"/>
              </w:rPr>
            </w:pPr>
            <w:r>
              <w:rPr>
                <w:rFonts w:ascii="Arial" w:cs="Arial" w:eastAsia="Arial" w:hAnsi="Arial"/>
                <w:sz w:val="16"/>
                <w:szCs w:val="16"/>
                <w:color w:val="auto"/>
              </w:rPr>
              <w:t>Accounts receivable, net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145,134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107,652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Inventories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(496,351)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300"/>
              <w:spacing w:after="0"/>
              <w:rPr>
                <w:sz w:val="20"/>
                <w:szCs w:val="20"/>
                <w:color w:val="auto"/>
              </w:rPr>
            </w:pPr>
            <w:r>
              <w:rPr>
                <w:rFonts w:ascii="Arial" w:cs="Arial" w:eastAsia="Arial" w:hAnsi="Arial"/>
                <w:sz w:val="16"/>
                <w:szCs w:val="16"/>
                <w:color w:val="auto"/>
              </w:rPr>
              <w:t>Income taxes, net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15,009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18,833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(5,767)</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300"/>
              <w:spacing w:after="0"/>
              <w:rPr>
                <w:sz w:val="20"/>
                <w:szCs w:val="20"/>
                <w:color w:val="auto"/>
              </w:rPr>
            </w:pPr>
            <w:r>
              <w:rPr>
                <w:rFonts w:ascii="Arial" w:cs="Arial" w:eastAsia="Arial" w:hAnsi="Arial"/>
                <w:sz w:val="16"/>
                <w:szCs w:val="16"/>
                <w:color w:val="auto"/>
              </w:rPr>
              <w:t>Other assets, net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Customer refund liabilities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(30,404)</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300"/>
              <w:spacing w:after="0"/>
              <w:rPr>
                <w:sz w:val="20"/>
                <w:szCs w:val="20"/>
                <w:color w:val="auto"/>
              </w:rPr>
            </w:pPr>
            <w:r>
              <w:rPr>
                <w:rFonts w:ascii="Arial" w:cs="Arial" w:eastAsia="Arial" w:hAnsi="Arial"/>
                <w:sz w:val="16"/>
                <w:szCs w:val="16"/>
                <w:color w:val="auto"/>
              </w:rPr>
              <w:t>Operating lease liabilities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(23,547)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(22,562)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 accrued expenses and other liabilities</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182,480</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126,468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(used in) provided by operating activities</w:t>
            </w: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(109,894)</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193,826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Operating lease assets initial direct costs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80"/>
              <w:spacing w:after="0"/>
              <w:rPr>
                <w:sz w:val="20"/>
                <w:szCs w:val="20"/>
                <w:color w:val="auto"/>
              </w:rPr>
            </w:pPr>
            <w:r>
              <w:rPr>
                <w:rFonts w:ascii="Arial" w:cs="Arial" w:eastAsia="Arial" w:hAnsi="Arial"/>
                <w:sz w:val="16"/>
                <w:szCs w:val="16"/>
                <w:color w:val="auto"/>
              </w:rPr>
              <w:t>Investment in e-commerce retailer</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(25,000)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Investment in equity securities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(22,378)</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80"/>
              <w:spacing w:after="0"/>
              <w:rPr>
                <w:sz w:val="20"/>
                <w:szCs w:val="20"/>
                <w:color w:val="auto"/>
              </w:rPr>
            </w:pPr>
            <w:r>
              <w:rPr>
                <w:rFonts w:ascii="Arial" w:cs="Arial" w:eastAsia="Arial" w:hAnsi="Arial"/>
                <w:sz w:val="16"/>
                <w:szCs w:val="16"/>
                <w:color w:val="auto"/>
              </w:rPr>
              <w:t>Capital expenditures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(8,526)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Acquisition of KLH, net of cash acquired</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(168,592)</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used in investing activities</w:t>
            </w: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(224,583)</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(32,526)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Repayment of borrowings - revolving facility</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(8,647)</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80"/>
              <w:spacing w:after="0"/>
              <w:rPr>
                <w:sz w:val="20"/>
                <w:szCs w:val="20"/>
                <w:color w:val="auto"/>
              </w:rPr>
            </w:pPr>
            <w:r>
              <w:rPr>
                <w:rFonts w:ascii="Arial" w:cs="Arial" w:eastAsia="Arial" w:hAnsi="Arial"/>
                <w:sz w:val="16"/>
                <w:szCs w:val="16"/>
                <w:color w:val="auto"/>
              </w:rPr>
              <w:t>Proceeds from borrowings - revolving facility</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57,946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Repayment of borrowings - foreign facilities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80"/>
              <w:spacing w:after="0"/>
              <w:rPr>
                <w:sz w:val="20"/>
                <w:szCs w:val="20"/>
                <w:color w:val="auto"/>
              </w:rPr>
            </w:pPr>
            <w:r>
              <w:rPr>
                <w:rFonts w:ascii="Arial" w:cs="Arial" w:eastAsia="Arial" w:hAnsi="Arial"/>
                <w:sz w:val="16"/>
                <w:szCs w:val="16"/>
                <w:color w:val="auto"/>
              </w:rPr>
              <w:t>Proceeds from borrowings - foreign facilities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Purchase of treasury shares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(16,622)</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Taxes paid for net share settlements</w:t>
            </w: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(9,790)</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cash provided by (used in) financing activities</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22,868</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(3,398)</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Pr>
          <w:p>
            <w:pPr>
              <w:ind w:left="200"/>
              <w:spacing w:after="0"/>
              <w:rPr>
                <w:sz w:val="20"/>
                <w:szCs w:val="20"/>
                <w:color w:val="auto"/>
              </w:rPr>
            </w:pPr>
            <w:r>
              <w:rPr>
                <w:rFonts w:ascii="Arial" w:cs="Arial" w:eastAsia="Arial" w:hAnsi="Arial"/>
                <w:sz w:val="16"/>
                <w:szCs w:val="16"/>
                <w:color w:val="auto"/>
              </w:rPr>
              <w:t>Net (decrease) increase in cash and cash equivalents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(315,007)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158,054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465,984</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351,934</w:t>
            </w:r>
          </w:p>
        </w:tc>
        <w:tc>
          <w:tcPr>
            <w:tcW w:w="0" w:type="dxa"/>
            <w:vAlign w:val="bottom"/>
          </w:tcPr>
          <w:p>
            <w:pPr>
              <w:spacing w:after="0"/>
              <w:rPr>
                <w:sz w:val="1"/>
                <w:szCs w:val="1"/>
                <w:color w:val="auto"/>
              </w:rPr>
            </w:pPr>
          </w:p>
        </w:tc>
      </w:tr>
      <w:tr>
        <w:trPr>
          <w:trHeight w:val="236"/>
        </w:trPr>
        <w:tc>
          <w:tcPr>
            <w:tcW w:w="6380" w:type="dxa"/>
            <w:vAlign w:val="bottom"/>
            <w:gridSpan w:val="2"/>
          </w:tcPr>
          <w:p>
            <w:pPr>
              <w:spacing w:after="0"/>
              <w:rPr>
                <w:sz w:val="20"/>
                <w:szCs w:val="20"/>
                <w:color w:val="auto"/>
              </w:rPr>
            </w:pPr>
            <w:r>
              <w:rPr>
                <w:rFonts w:ascii="Arial" w:cs="Arial" w:eastAsia="Arial" w:hAnsi="Arial"/>
                <w:sz w:val="16"/>
                <w:szCs w:val="16"/>
                <w:color w:val="auto"/>
              </w:rPr>
              <w:t>Cash and cash equivalents at end of period</w:t>
            </w:r>
          </w:p>
        </w:tc>
        <w:tc>
          <w:tcPr>
            <w:tcW w:w="4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150,977</w:t>
            </w:r>
          </w:p>
        </w:tc>
        <w:tc>
          <w:tcPr>
            <w:tcW w:w="200" w:type="dxa"/>
            <w:vAlign w:val="bottom"/>
          </w:tcPr>
          <w:p>
            <w:pPr>
              <w:spacing w:after="0"/>
              <w:rPr>
                <w:sz w:val="20"/>
                <w:szCs w:val="20"/>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509,988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payments: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200"/>
              <w:spacing w:after="0"/>
              <w:rPr>
                <w:sz w:val="20"/>
                <w:szCs w:val="20"/>
                <w:color w:val="auto"/>
              </w:rPr>
            </w:pPr>
            <w:r>
              <w:rPr>
                <w:rFonts w:ascii="Arial" w:cs="Arial" w:eastAsia="Arial" w:hAnsi="Arial"/>
                <w:sz w:val="16"/>
                <w:szCs w:val="16"/>
                <w:color w:val="auto"/>
              </w:rPr>
              <w:t>Interest, net</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18,576</w:t>
            </w:r>
          </w:p>
        </w:tc>
        <w:tc>
          <w:tcPr>
            <w:tcW w:w="500" w:type="dxa"/>
            <w:vAlign w:val="bottom"/>
            <w:gridSpan w:val="2"/>
          </w:tcPr>
          <w:p>
            <w:pPr>
              <w:jc w:val="right"/>
              <w:ind w:right="18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19,545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 payments, net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6,733</w:t>
            </w:r>
          </w:p>
        </w:tc>
        <w:tc>
          <w:tcPr>
            <w:tcW w:w="500" w:type="dxa"/>
            <w:vAlign w:val="bottom"/>
            <w:gridSpan w:val="2"/>
            <w:shd w:val="clear" w:color="auto" w:fill="CCEEFF"/>
          </w:tcPr>
          <w:p>
            <w:pPr>
              <w:jc w:val="right"/>
              <w:ind w:right="18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statements</w:t>
      </w:r>
      <w:r>
        <w:rPr>
          <w:rFonts w:ascii="Arial" w:cs="Arial" w:eastAsia="Arial" w:hAnsi="Arial"/>
          <w:sz w:val="17"/>
          <w:szCs w:val="17"/>
          <w:i w:val="1"/>
          <w:iCs w:val="1"/>
          <w:color w:val="auto"/>
        </w:rPr>
        <w: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 – Basis of Presentation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for several product categories.</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consolidates the accounts of its wholly-owned and majority-owned subsidiaries. Karl Lagerfeld Holding B.V. (“KLH”) is a Dutch limited liability company that was 19% owned by the Company through May 30, 2022 and was accounted for during that time using the equity method of accounting. Effective May 31, 2022, the Company acquired the remaining 81% interest in KLH that it did not previously own and, as a result, KLH began being treated as a consolidated wholly-owned subsidiary. KL North America B.V. (“KLNA”) is a Dutch joint venture limited liability company that was 49% owned by the Company and 51% indirectly owned by KLH through May 30, 2022 and was accounted for during that time using the equity method of accounting. Effective May 31, 2022, KLNA became an indirect wholly-owned subsidiary of the Company as a result of the Company’s acquisition of the remaining 81% interest in KLH it did not previously own. All material intercompany balances and transactions have been eliminated. The results of KLH are included in the Company’s consolidated financial statements beginning May 31, 2022.</w:t>
      </w:r>
    </w:p>
    <w:p>
      <w:pPr>
        <w:spacing w:after="0" w:line="18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Vilebrequin International SA (“Vilebrequin”), a Swiss corporation that is wholly-owned by the Company, KLH, Fabco Holding B.V. (“Fabco”) and Sonia Rykiel, which the Company purchased in October 2021, report results on a calendar year basis rather than on the January 31 fiscal year basis used by the Company. Accordingly, the results of Vilebrequin, KLH, Fabco and Sonia Rykiel are, and will be, included in the financial statements for the quarter ended or ending closest to the Company’s fiscal quarter end. For example, with respect to the Company’s results for the six-month period ended July 31, 2022, the results of Vilebrequin, Fabco and Sonia Rykiel are included for the six-month period ended June 30, 2022. For the three and six month periods ended June 30, 2022, the results of KLH, which includes KLNA, are included for the one month period ended June 30, 2022 and the results of the Company’s previous 49% ownership interest in KLNA and 19% ownership interest in KLH are included for the period from February 1, 2022 through May 30, 2022. The Company’s retail operations segment reports on a 52/53-week fiscal year. For fiscal 2023 and 2022, the three and six-month periods for the retail operations segment were each 13-week and 26-week periods, respectively, and ended on July 30, 2022 and August 1, 2021, respectively.</w:t>
      </w:r>
    </w:p>
    <w:p>
      <w:pPr>
        <w:spacing w:after="0" w:line="17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results for the three and six months ended July 31, 2022 are not necessarily indicative of the results expected for the entire fiscal year, given the seasonal nature of the Company’s business and the effects of the COVID-19 pandemic on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accompanying financial statements should be read in conjunction with the financial statements and notes included in the Company’s Annual Report on Form 10-K for the fiscal year ended January 31, 2022 filed with the Securities and Exchange Commission (the “SEC”).</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Assets and liabilities of the Company’s foreign operations, where the functional currency is not the U.S. dollar (reporting currency), are translated from the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2 – Allowance for Doubtful Accounts</w:t>
      </w:r>
    </w:p>
    <w:p>
      <w:pPr>
        <w:spacing w:after="0" w:line="22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Company’s financial instruments consist of trade receivables arising from revenue transactions in the ordinary course of business. The Company considers its trade receivables to consist of two portfolio segments: wholesale and retail trade</w:t>
      </w:r>
    </w:p>
    <w:p>
      <w:pPr>
        <w:sectPr>
          <w:pgSz w:w="11900" w:h="16838" w:orient="portrait"/>
          <w:cols w:equalWidth="0" w:num="1">
            <w:col w:w="9019"/>
          </w:cols>
          <w:pgMar w:left="1440" w:top="517"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receivables. Wholesale trade receivables result from credit the Company has extended 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Company’s accounts receivable and allowance for doubtful accounts as of July 31, 2022, July 31, 2021 and January 31, 2022 were: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gross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doubtful accounts</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gross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doubtful accounts</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gross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doubtful accounts</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July 31, 2022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Wholesale</w:t>
            </w: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94"/>
              </w:rPr>
              <w:t>Retail</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14"/>
        </w:trPr>
        <w:tc>
          <w:tcPr>
            <w:tcW w:w="24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center"/>
              <w:ind w:right="39"/>
              <w:spacing w:after="0" w:line="114" w:lineRule="exact"/>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505,635</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955</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506,590</w:t>
            </w:r>
          </w:p>
        </w:tc>
        <w:tc>
          <w:tcPr>
            <w:tcW w:w="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(18,001)</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(18,067)</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487,634</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488,523</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July 31, 2021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Wholesale</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Retail</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182"/>
        </w:trPr>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400,714</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1,775</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402,489</w:t>
            </w:r>
          </w:p>
        </w:tc>
        <w:tc>
          <w:tcPr>
            <w:tcW w:w="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(17,386)</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(17,442)</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383,328</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385,047</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January 31, 2022</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Wholesale</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Retail</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182"/>
        </w:trPr>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620,737</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2,166</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622,903</w:t>
            </w:r>
          </w:p>
        </w:tc>
        <w:tc>
          <w:tcPr>
            <w:tcW w:w="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(17,307)</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(17,391)</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603,430</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605,512</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-2433955</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-2159635</wp:posOffset>
            </wp:positionV>
            <wp:extent cx="564896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-1439545</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-1165225</wp:posOffset>
            </wp:positionV>
            <wp:extent cx="564896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-445135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-170815</wp:posOffset>
            </wp:positionV>
            <wp:extent cx="564896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5019"/>
          </w:cols>
          <w:pgMar w:left="1440" w:top="517" w:right="1440" w:bottom="1440" w:gutter="0" w:footer="0" w:header="0"/>
          <w:type w:val="continuous"/>
        </w:sectPr>
      </w:pPr>
    </w:p>
    <w:p>
      <w:pPr>
        <w:spacing w:after="0" w:line="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had the following activity in its allowance for credit losses: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Wholesale</w:t>
            </w:r>
          </w:p>
        </w:tc>
        <w:tc>
          <w:tcPr>
            <w:tcW w:w="180" w:type="dxa"/>
            <w:vAlign w:val="bottom"/>
          </w:tcPr>
          <w:p>
            <w:pPr>
              <w:spacing w:after="0"/>
              <w:rPr>
                <w:sz w:val="14"/>
                <w:szCs w:val="14"/>
                <w:color w:val="auto"/>
              </w:rPr>
            </w:pPr>
          </w:p>
        </w:tc>
        <w:tc>
          <w:tcPr>
            <w:tcW w:w="1560" w:type="dxa"/>
            <w:vAlign w:val="bottom"/>
            <w:gridSpan w:val="2"/>
          </w:tcPr>
          <w:p>
            <w:pPr>
              <w:ind w:left="360"/>
              <w:spacing w:after="0"/>
              <w:rPr>
                <w:sz w:val="20"/>
                <w:szCs w:val="20"/>
                <w:color w:val="auto"/>
              </w:rPr>
            </w:pPr>
            <w:r>
              <w:rPr>
                <w:rFonts w:ascii="Arial" w:cs="Arial" w:eastAsia="Arial" w:hAnsi="Arial"/>
                <w:sz w:val="14"/>
                <w:szCs w:val="14"/>
                <w:b w:val="1"/>
                <w:bCs w:val="1"/>
                <w:color w:val="auto"/>
              </w:rPr>
              <w:t>Retail</w:t>
            </w:r>
          </w:p>
        </w:tc>
        <w:tc>
          <w:tcPr>
            <w:tcW w:w="34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(17,307)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Provision for credit losses, net</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(737)</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written off as uncollectible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July 31, 2022</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(18,001)</w:t>
            </w:r>
          </w:p>
        </w:tc>
        <w:tc>
          <w:tcPr>
            <w:tcW w:w="3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Balance as of January 31, 2021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(17,429)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(17,459)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 net</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Accounts written off as uncollectible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2021</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(17,429)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Provision for credit losses, net</w:t>
            </w:r>
          </w:p>
        </w:tc>
        <w:tc>
          <w:tcPr>
            <w:tcW w:w="24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written off as uncollectible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60" w:type="dxa"/>
            <w:vAlign w:val="bottom"/>
          </w:tcPr>
          <w:p>
            <w:pPr>
              <w:ind w:left="20"/>
              <w:spacing w:after="0"/>
              <w:rPr>
                <w:sz w:val="20"/>
                <w:szCs w:val="20"/>
                <w:color w:val="auto"/>
              </w:rPr>
            </w:pPr>
            <w:r>
              <w:rPr>
                <w:rFonts w:ascii="Arial" w:cs="Arial" w:eastAsia="Arial" w:hAnsi="Arial"/>
                <w:sz w:val="18"/>
                <w:szCs w:val="18"/>
                <w:color w:val="auto"/>
              </w:rPr>
              <w:t>Balance as of January 31, 2022</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(17,307)</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3 – Inventories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Wholesale inventories, which comprise a significant portion of the Company’s inventory, are stated at the lower of cost (determined by the first-in, first-out method) or net realizable value. Retail and Vilebrequin inventories are stated at the lower of cost (determined by the weighted average method) or net realizable value. Substantially all of the Company’s inventories consist of finished goods.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inventory return asset, which consists of the amount of goods that are anticipated to be returned by customers, was $9.3 million, $11.2 million and $18.9 million as of July 31, 2022, July 31, 2021 and January 31, 2022, respectively. The inventory return asset is recorded within prepaid expenses and other current assets on the condensed consolidated balance sheets.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Inventory held on consignment by the Company’s customers totaled $5.7 million, $4.7 million and $4.5 million at July 31, 2022, July 31, 2021 and January 31, 2022, respectively. Consignment inventory is held by the Company’s customers. The Company reflects this inventory on its condensed consolidated balance sheets.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4 – Fair Value of Financial Instruments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71" w:lineRule="exact"/>
        <w:rPr>
          <w:sz w:val="20"/>
          <w:szCs w:val="20"/>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based on quoted prices (unadjusted) for identical assets or liabilities in active markets.</w:t>
      </w:r>
    </w:p>
    <w:p>
      <w:pPr>
        <w:spacing w:after="0" w:line="48"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6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based on unobservable prices or valuation techniques that are significant to the fair value measurement.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carrying values and the estimated fair values of the Company’s debt instruments:</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Carrying Value</w:t>
            </w: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940" w:type="dxa"/>
            <w:vAlign w:val="bottom"/>
            <w:tcBorders>
              <w:bottom w:val="single" w:sz="8" w:color="auto"/>
            </w:tcBorders>
          </w:tcPr>
          <w:p>
            <w:pPr>
              <w:spacing w:after="0"/>
              <w:rPr>
                <w:sz w:val="16"/>
                <w:szCs w:val="16"/>
                <w:color w:val="auto"/>
              </w:rPr>
            </w:pPr>
          </w:p>
        </w:tc>
      </w:tr>
      <w:tr>
        <w:trPr>
          <w:trHeight w:val="119"/>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July 31,</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July 31,</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60" w:type="dxa"/>
            <w:vAlign w:val="bottom"/>
          </w:tcPr>
          <w:p>
            <w:pPr>
              <w:spacing w:after="0"/>
              <w:rPr>
                <w:sz w:val="10"/>
                <w:szCs w:val="10"/>
                <w:color w:val="auto"/>
              </w:rPr>
            </w:pPr>
          </w:p>
        </w:tc>
        <w:tc>
          <w:tcPr>
            <w:tcW w:w="88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July 31,</w:t>
            </w: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July 31,</w:t>
            </w: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r>
      <w:tr>
        <w:trPr>
          <w:trHeight w:val="185"/>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Instrument</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r>
      <w:tr>
        <w:trPr>
          <w:trHeight w:val="156"/>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20" w:type="dxa"/>
            <w:vAlign w:val="bottom"/>
            <w:gridSpan w:val="3"/>
          </w:tcPr>
          <w:p>
            <w:pPr>
              <w:jc w:val="right"/>
              <w:ind w:right="415"/>
              <w:spacing w:after="0" w:line="155"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Secured notes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400,000</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  400,000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400,000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394,000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422,020</w:t>
            </w:r>
          </w:p>
        </w:tc>
      </w:tr>
      <w:tr>
        <w:trPr>
          <w:trHeight w:val="216"/>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51,614</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51,614</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 issued to LVMH</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117,665</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111,005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114,255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114,796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107,869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110,123</w:t>
            </w:r>
          </w:p>
        </w:tc>
      </w:tr>
      <w:tr>
        <w:trPr>
          <w:trHeight w:val="216"/>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Unsecured loans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7,969</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8,930</w:t>
            </w:r>
          </w:p>
        </w:tc>
        <w:tc>
          <w:tcPr>
            <w:tcW w:w="880" w:type="dxa"/>
            <w:vAlign w:val="bottom"/>
          </w:tcPr>
          <w:p>
            <w:pPr>
              <w:jc w:val="right"/>
              <w:spacing w:after="0"/>
              <w:rPr>
                <w:sz w:val="20"/>
                <w:szCs w:val="20"/>
                <w:color w:val="auto"/>
              </w:rPr>
            </w:pPr>
            <w:r>
              <w:rPr>
                <w:rFonts w:ascii="Arial" w:cs="Arial" w:eastAsia="Arial" w:hAnsi="Arial"/>
                <w:sz w:val="18"/>
                <w:szCs w:val="18"/>
                <w:color w:val="auto"/>
              </w:rPr>
              <w:t>8,367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7,969</w:t>
            </w:r>
          </w:p>
        </w:tc>
        <w:tc>
          <w:tcPr>
            <w:tcW w:w="960" w:type="dxa"/>
            <w:vAlign w:val="bottom"/>
          </w:tcPr>
          <w:p>
            <w:pPr>
              <w:jc w:val="right"/>
              <w:spacing w:after="0"/>
              <w:rPr>
                <w:sz w:val="20"/>
                <w:szCs w:val="20"/>
                <w:color w:val="auto"/>
              </w:rPr>
            </w:pPr>
            <w:r>
              <w:rPr>
                <w:rFonts w:ascii="Arial" w:cs="Arial" w:eastAsia="Arial" w:hAnsi="Arial"/>
                <w:sz w:val="18"/>
                <w:szCs w:val="18"/>
                <w:color w:val="auto"/>
              </w:rPr>
              <w:t>9,119</w:t>
            </w:r>
          </w:p>
        </w:tc>
        <w:tc>
          <w:tcPr>
            <w:tcW w:w="940" w:type="dxa"/>
            <w:vAlign w:val="bottom"/>
          </w:tcPr>
          <w:p>
            <w:pPr>
              <w:jc w:val="right"/>
              <w:spacing w:after="0"/>
              <w:rPr>
                <w:sz w:val="20"/>
                <w:szCs w:val="20"/>
                <w:color w:val="auto"/>
              </w:rPr>
            </w:pPr>
            <w:r>
              <w:rPr>
                <w:rFonts w:ascii="Arial" w:cs="Arial" w:eastAsia="Arial" w:hAnsi="Arial"/>
                <w:sz w:val="18"/>
                <w:szCs w:val="18"/>
                <w:color w:val="auto"/>
              </w:rPr>
              <w:t>8,367</w:t>
            </w: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Overdraft facilities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4,500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r>
      <w:tr>
        <w:trPr>
          <w:trHeight w:val="23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Foreign credit facility</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391</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391</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Company’s debt instruments are recorded at their carrying values in its condensed consolidated balance sheets, which may differ from their respective fair values. The fair value of the Company’s secured notes is based on their current market price as of July 31, 2022.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The 2% note in the principal amount of $125 million (the “LVMH Note”) issued to LVMH Moet Hennessy Louis Vuitton Inc. (“LVMH”) in connection with the acquisition of DKNY and Donna Karan was recorded on the balance sheet at a discount of $40.0 million in accordance with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purposes of this fair value disclosure, the Company based its fair value estimate for the LVMH Note on the initial fair value as determined at the date of the acquisition of DKNY and Donna Karan and records the amortization using the effective interest method over the term of the LVMH Note.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fair value of the LVMH Note was considered a Level 3 valuation in the fair value hierarchy.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Non-Financial Assets and Liabilities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assets that are not recoverable,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w:t>
      </w:r>
      <w:r>
        <w:rPr>
          <w:rFonts w:ascii="Arial" w:cs="Arial" w:eastAsia="Arial" w:hAnsi="Arial"/>
          <w:sz w:val="17"/>
          <w:szCs w:val="17"/>
          <w:color w:val="212529"/>
        </w:rPr>
        <w:t>During the fourth quarter of fiscal 2022, the</w:t>
      </w:r>
      <w:r>
        <w:rPr>
          <w:rFonts w:ascii="Arial" w:cs="Arial" w:eastAsia="Arial" w:hAnsi="Arial"/>
          <w:sz w:val="17"/>
          <w:szCs w:val="17"/>
          <w:color w:val="auto"/>
        </w:rPr>
        <w:t xml:space="preserve"> </w:t>
      </w:r>
      <w:r>
        <w:rPr>
          <w:rFonts w:ascii="Arial" w:cs="Arial" w:eastAsia="Arial" w:hAnsi="Arial"/>
          <w:sz w:val="17"/>
          <w:szCs w:val="17"/>
          <w:color w:val="212529"/>
        </w:rPr>
        <w:t>Company recorded a $1.5 million impairment charge primarily related to leasehold improvements, furniture and fixtures and operating lease assets at certain DKNY, Karl Lagerfeld Paris and Vilebrequin stores as a result of the performance at these stores.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5 – Leases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leases retail stores, warehouses, distribution centers, office space and certain equipment. Leases with an initial term of 12 months or less are not recorded on the balance sheet. The Company recognizes lease expense for these leases on a straight-line basis over the lease term.</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Company’s lease assets and liabilities as of July 31, 2022, July 31, 2021 and January 31, 2022 consist of the following:</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96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1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31, 2022</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31, 2021</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2"/>
              </w:rPr>
              <w:t>January 31, 2022</w:t>
            </w:r>
          </w:p>
        </w:tc>
      </w:tr>
      <w:tr>
        <w:trPr>
          <w:trHeight w:val="142"/>
        </w:trPr>
        <w:tc>
          <w:tcPr>
            <w:tcW w:w="1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16"/>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60" w:type="dxa"/>
            <w:vAlign w:val="bottom"/>
            <w:gridSpan w:val="2"/>
          </w:tcPr>
          <w:p>
            <w:pPr>
              <w:ind w:left="120"/>
              <w:spacing w:after="0"/>
              <w:rPr>
                <w:sz w:val="20"/>
                <w:szCs w:val="20"/>
                <w:color w:val="auto"/>
              </w:rPr>
            </w:pPr>
            <w:r>
              <w:rPr>
                <w:rFonts w:ascii="Arial" w:cs="Arial" w:eastAsia="Arial" w:hAnsi="Arial"/>
                <w:sz w:val="18"/>
                <w:szCs w:val="18"/>
                <w:color w:val="auto"/>
              </w:rPr>
              <w:t>Operating</w:t>
            </w:r>
          </w:p>
        </w:tc>
        <w:tc>
          <w:tcPr>
            <w:tcW w:w="2900" w:type="dxa"/>
            <w:vAlign w:val="bottom"/>
            <w:gridSpan w:val="2"/>
          </w:tcPr>
          <w:p>
            <w:pPr>
              <w:spacing w:after="0"/>
              <w:rPr>
                <w:sz w:val="20"/>
                <w:szCs w:val="20"/>
                <w:color w:val="auto"/>
              </w:rPr>
            </w:pPr>
            <w:r>
              <w:rPr>
                <w:rFonts w:ascii="Arial" w:cs="Arial" w:eastAsia="Arial" w:hAnsi="Arial"/>
                <w:sz w:val="18"/>
                <w:szCs w:val="18"/>
                <w:color w:val="auto"/>
              </w:rPr>
              <w:t>Operating lease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209,000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172,916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169,595</w:t>
            </w:r>
          </w:p>
        </w:tc>
      </w:tr>
      <w:tr>
        <w:trPr>
          <w:trHeight w:val="216"/>
        </w:trPr>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operating</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operating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42,763</w:t>
            </w:r>
          </w:p>
        </w:tc>
      </w:tr>
      <w:tr>
        <w:trPr>
          <w:trHeight w:val="216"/>
        </w:trPr>
        <w:tc>
          <w:tcPr>
            <w:tcW w:w="1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Noncurrent operating</w:t>
            </w:r>
          </w:p>
        </w:tc>
        <w:tc>
          <w:tcPr>
            <w:tcW w:w="2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9"/>
              </w:rPr>
              <w:t>Noncurrent operating lease liabilities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179,247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147,119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142,868</w:t>
            </w:r>
          </w:p>
        </w:tc>
      </w:tr>
      <w:tr>
        <w:trPr>
          <w:trHeight w:val="209"/>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228,981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190,238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185,631</w:t>
            </w: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Company’s operating lease assets and operating lease liabilities increased during fiscal 2023 primarily due to the acquisition of KLH. The Company recorded lease costs of $14.9 million and $29.0 million during the three and six months ended July 31, 2022. The Company recorded lease costs of $13.5 and $27.1 million during the three and six months ended July 31, 2021, respectively. Lease costs are recorded within selling, general and administrative expenses in the Company’s condensed consolidated statements of operations and comprehensive income. The Company recorded variable lease costs and short-term lease costs of $5.5 million and $10.6 million for the three and six months ended July 31, 2022, respectively. The Company recorded variable lease coasts and short-term lease costs of $1.9 million and $3.3 million for the three and six months ended July 31, 2021, respectively. Short-term lease costs are immaterial.</w:t>
      </w:r>
    </w:p>
    <w:p>
      <w:pPr>
        <w:spacing w:after="0" w:line="16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July 31, 2022, the Company’s maturity of operating lease liabilities in the years ending up to January 31, 2027 and thereafter are as follows: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Year Ending January 31,</w:t>
            </w:r>
          </w:p>
        </w:tc>
        <w:tc>
          <w:tcPr>
            <w:tcW w:w="4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b w:val="1"/>
                <w:bCs w:val="1"/>
                <w:color w:val="auto"/>
              </w:rPr>
              <w:t>Amount</w:t>
            </w:r>
          </w:p>
        </w:tc>
      </w:tr>
      <w:tr>
        <w:trPr>
          <w:trHeight w:val="142"/>
        </w:trPr>
        <w:tc>
          <w:tcPr>
            <w:tcW w:w="6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tcPr>
          <w:p>
            <w:pPr>
              <w:jc w:val="right"/>
              <w:ind w:right="673"/>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34,750</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58,469</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49,938</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41,380</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33,559</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2027</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67,561</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285,657</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56,676</w:t>
            </w:r>
          </w:p>
        </w:tc>
      </w:tr>
      <w:tr>
        <w:trPr>
          <w:trHeight w:val="209"/>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228,981</w:t>
            </w: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July 31, 2022, there are no material leases that are legally binding but have not yet commenced.</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July 31, 2022, the weighted average remaining lease term related to operating leases is 5.5 years. The weighted average discount rate related to operating leases is 8.5%.</w:t>
      </w:r>
    </w:p>
    <w:p>
      <w:pPr>
        <w:spacing w:after="0" w:line="170"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Cash paid for amounts included in the measurement of operating lease liabilities is $30.0 million and $29.4 million during the six months ended July 31, 2022 and July 31, 2021, respectively. Right-of-use assets obtained in exchange for lease obligations were $69.9 million and $8.6 million during the six months ended July 31, 2022 and July 31, 2021, respectively.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6 – Karl Lagerfeld Acquisition</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April 29, 2022, the Company entered into a share purchase agreement (the “Purchase Agreement”) with a group of investors pursuant to which the Company agreed to acquire, on the terms set forth and subject to the conditions set forth in the Purchase Agreement, the remaining 81% interest in KLH that it did not already own, for an aggregate consideration of €202.0 million (approximately $216.8 million) in cash, subject to certain adjustments. The acquisition closed on May 31, 2022. The Company funded the purchase price from cash on hand.</w:t>
      </w:r>
    </w:p>
    <w:p>
      <w:pPr>
        <w:sectPr>
          <w:pgSz w:w="11900" w:h="16838" w:orient="portrait"/>
          <w:cols w:equalWidth="0" w:num="1">
            <w:col w:w="9019"/>
          </w:cols>
          <w:pgMar w:left="1440" w:top="517" w:right="1440"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On the effective date of the acquisition, the Company’s previously held 19% investment in KLH and 49% investment in KLNA were remeasured at fair value using a market approach based on the purchase price of the acquisition and a discount for lack of control related to the Company’s previously held minority investment in KLH. As a result of this remeasurement, a $30.9 million gain was recorded as of the effective date of the acquisition.</w:t>
      </w:r>
    </w:p>
    <w:p>
      <w:pPr>
        <w:spacing w:after="0" w:line="17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addition of KLH to the Company’s portfolio advances several of its key priorities, including increasing its direct ownership of brands and their licensing opportunities and further diversifying its global presence. This acquisition offers additional opportunities to expand the Company’s international growth by further developing its European-based brands, which already include Vilebrequin and Sonia Rykiel. KLH’s existing digital channel presence also provides an opportunity for the Company to enhance its omni-channel business and further accelerate its digital priorities.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 price consideration</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purchase price of $216.8 million, after taking into account certain adjustments, was paid from cash on hand. The purchase price has been revised to include adjustments in accordance with the Purchase Agreement.</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w w:val="99"/>
              </w:rPr>
              <w:t>The total consideration paid for the acquisition of KLH is as follows (in thousands):</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9"/>
        </w:trPr>
        <w:tc>
          <w:tcPr>
            <w:tcW w:w="6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disbursed for the acquisition of KLH</w:t>
            </w: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168,592</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Plus: cash acquired</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38,499</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aggregate adjustments to purchase price</w:t>
            </w:r>
          </w:p>
        </w:tc>
        <w:tc>
          <w:tcPr>
            <w:tcW w:w="9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9,729</w:t>
            </w:r>
          </w:p>
        </w:tc>
      </w:tr>
      <w:tr>
        <w:trPr>
          <w:trHeight w:val="209"/>
        </w:trPr>
        <w:tc>
          <w:tcPr>
            <w:tcW w:w="6520" w:type="dxa"/>
            <w:vAlign w:val="bottom"/>
          </w:tcPr>
          <w:p>
            <w:pPr>
              <w:ind w:left="20"/>
              <w:spacing w:after="0"/>
              <w:rPr>
                <w:sz w:val="20"/>
                <w:szCs w:val="20"/>
                <w:color w:val="auto"/>
              </w:rPr>
            </w:pPr>
            <w:r>
              <w:rPr>
                <w:rFonts w:ascii="Arial" w:cs="Arial" w:eastAsia="Arial" w:hAnsi="Arial"/>
                <w:sz w:val="18"/>
                <w:szCs w:val="18"/>
                <w:color w:val="auto"/>
              </w:rPr>
              <w:t>Initial purchase price</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216,820</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fair value of prior minority ownership</w:t>
            </w:r>
          </w:p>
        </w:tc>
        <w:tc>
          <w:tcPr>
            <w:tcW w:w="9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102,858</w:t>
            </w:r>
          </w:p>
        </w:tc>
      </w:tr>
      <w:tr>
        <w:trPr>
          <w:trHeight w:val="210"/>
        </w:trPr>
        <w:tc>
          <w:tcPr>
            <w:tcW w:w="6520" w:type="dxa"/>
            <w:vAlign w:val="bottom"/>
          </w:tcPr>
          <w:p>
            <w:pPr>
              <w:ind w:left="20"/>
              <w:spacing w:after="0"/>
              <w:rPr>
                <w:sz w:val="20"/>
                <w:szCs w:val="20"/>
                <w:color w:val="auto"/>
              </w:rPr>
            </w:pPr>
            <w:r>
              <w:rPr>
                <w:rFonts w:ascii="Arial" w:cs="Arial" w:eastAsia="Arial" w:hAnsi="Arial"/>
                <w:sz w:val="18"/>
                <w:szCs w:val="18"/>
                <w:color w:val="auto"/>
              </w:rPr>
              <w:t>Total consideration</w:t>
            </w: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319,678</w:t>
            </w:r>
          </w:p>
        </w:tc>
      </w:tr>
      <w:tr>
        <w:trPr>
          <w:trHeight w:val="20"/>
        </w:trPr>
        <w:tc>
          <w:tcPr>
            <w:tcW w:w="6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Allocation of the purchase price consideration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at the date of acquisition:</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38,499</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28,146</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32,308</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Prepaid income taxes</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11,545</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52,983</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46,113</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178,823</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4,401</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unconsolidated affiliates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9,183</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9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r>
      <w:tr>
        <w:trPr>
          <w:trHeight w:val="210"/>
        </w:trPr>
        <w:tc>
          <w:tcPr>
            <w:tcW w:w="652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410,066</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8,057</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15,261</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56,132</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r>
      <w:tr>
        <w:trPr>
          <w:trHeight w:val="21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w:t>
            </w:r>
          </w:p>
        </w:tc>
      </w:tr>
      <w:tr>
        <w:trPr>
          <w:trHeight w:val="20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92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90,388</w:t>
            </w:r>
          </w:p>
        </w:tc>
      </w:tr>
      <w:tr>
        <w:trPr>
          <w:trHeight w:val="210"/>
        </w:trPr>
        <w:tc>
          <w:tcPr>
            <w:tcW w:w="6520" w:type="dxa"/>
            <w:vAlign w:val="bottom"/>
          </w:tcPr>
          <w:p>
            <w:pPr>
              <w:ind w:left="20"/>
              <w:spacing w:after="0"/>
              <w:rPr>
                <w:sz w:val="20"/>
                <w:szCs w:val="20"/>
                <w:color w:val="auto"/>
              </w:rPr>
            </w:pPr>
            <w:r>
              <w:rPr>
                <w:rFonts w:ascii="Arial" w:cs="Arial" w:eastAsia="Arial" w:hAnsi="Arial"/>
                <w:sz w:val="18"/>
                <w:szCs w:val="18"/>
                <w:color w:val="auto"/>
              </w:rPr>
              <w:t>Total fair value of acquisition consideration</w:t>
            </w: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319,678</w:t>
            </w:r>
          </w:p>
        </w:tc>
      </w:tr>
      <w:tr>
        <w:trPr>
          <w:trHeight w:val="20"/>
        </w:trPr>
        <w:tc>
          <w:tcPr>
            <w:tcW w:w="6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Company recognized goodwill of approximately $46.1 million in connection with the acquisition of KLH. The goodwill was assigned to the Company’s wholesale operations reporting unit. The Company intends to make an election under Internal Revenue Code Section 338(g) to amortize the total goodwill and intangible assets over a 15 year period.</w:t>
      </w:r>
    </w:p>
    <w:p>
      <w:pPr>
        <w:spacing w:after="0" w:line="14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fair values assigned to identifiable intangible assets acquired were based on assumptions and estimates made by management using unobservable inputs reflecting the Company’s own assumptions about the inputs that market participants would use in pricing the asset or liability based on the best information available. The fair values of the trademarks were determined using the relief from royalty method and the fair value of the customer relationships were determined using an income approach. The Company classifies these intangibles as Level 3 fair value measurements. Identifiable intangible assets acquired include the following (in thousands):</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jc w:val="right"/>
              <w:ind w:right="277"/>
              <w:spacing w:after="0"/>
              <w:rPr>
                <w:sz w:val="20"/>
                <w:szCs w:val="20"/>
                <w:color w:val="auto"/>
              </w:rPr>
            </w:pPr>
            <w:r>
              <w:rPr>
                <w:rFonts w:ascii="Arial" w:cs="Arial" w:eastAsia="Arial" w:hAnsi="Arial"/>
                <w:sz w:val="14"/>
                <w:szCs w:val="14"/>
                <w:b w:val="1"/>
                <w:bCs w:val="1"/>
                <w:color w:val="auto"/>
              </w:rPr>
              <w:t>Weighted Average</w:t>
            </w:r>
          </w:p>
        </w:tc>
      </w:tr>
      <w:tr>
        <w:trPr>
          <w:trHeight w:val="201"/>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2"/>
          </w:tcPr>
          <w:p>
            <w:pPr>
              <w:ind w:left="240"/>
              <w:spacing w:after="0"/>
              <w:rPr>
                <w:sz w:val="20"/>
                <w:szCs w:val="20"/>
                <w:color w:val="auto"/>
              </w:rPr>
            </w:pPr>
            <w:r>
              <w:rPr>
                <w:rFonts w:ascii="Arial" w:cs="Arial" w:eastAsia="Arial" w:hAnsi="Arial"/>
                <w:sz w:val="14"/>
                <w:szCs w:val="14"/>
                <w:b w:val="1"/>
                <w:bCs w:val="1"/>
                <w:color w:val="auto"/>
              </w:rPr>
              <w:t>Fair Value</w:t>
            </w:r>
          </w:p>
        </w:tc>
        <w:tc>
          <w:tcPr>
            <w:tcW w:w="1840" w:type="dxa"/>
            <w:vAlign w:val="bottom"/>
          </w:tcPr>
          <w:p>
            <w:pPr>
              <w:jc w:val="right"/>
              <w:ind w:right="197"/>
              <w:spacing w:after="0"/>
              <w:rPr>
                <w:sz w:val="20"/>
                <w:szCs w:val="20"/>
                <w:color w:val="auto"/>
              </w:rPr>
            </w:pPr>
            <w:r>
              <w:rPr>
                <w:rFonts w:ascii="Arial" w:cs="Arial" w:eastAsia="Arial" w:hAnsi="Arial"/>
                <w:sz w:val="14"/>
                <w:szCs w:val="14"/>
                <w:b w:val="1"/>
                <w:bCs w:val="1"/>
                <w:color w:val="auto"/>
              </w:rPr>
              <w:t>Amortization Period</w:t>
            </w:r>
          </w:p>
        </w:tc>
      </w:tr>
      <w:tr>
        <w:trPr>
          <w:trHeight w:val="20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178,823</w:t>
            </w:r>
          </w:p>
        </w:tc>
        <w:tc>
          <w:tcPr>
            <w:tcW w:w="2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w:t>
            </w:r>
          </w:p>
        </w:tc>
        <w:tc>
          <w:tcPr>
            <w:tcW w:w="24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09"/>
        </w:trPr>
        <w:tc>
          <w:tcPr>
            <w:tcW w:w="50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183,224</w:t>
            </w:r>
          </w:p>
        </w:tc>
        <w:tc>
          <w:tcPr>
            <w:tcW w:w="24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Company recognized approximately $5.4 million of acquisition related costs that were expensed in fiscal 2022 and fiscal 2023. The fiscal 2022 and fiscal 2023 acquisition and integration costs are recorded within selling, general and administrative expenses in the Company’s condensed consolidated statements of operations and comprehensive income for the fiscal year ended January 31, 2022 and for the six months ended July 31, 2022, respectively.</w:t>
      </w:r>
    </w:p>
    <w:p>
      <w:pPr>
        <w:spacing w:after="0" w:line="17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estimates of fair value of assets acquired and liabilities assumed are preliminary and subject to change based on completion of certain working capital adjustments and the tax implications of the Company’s purchase price allocation. The purchase price allocation for acquired companies can be modified for up to one year from the date of acquisition.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Sales, Operating Income and Pro Forma Impact of the Transaction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amount of net sales and operating income of KLH since the acquisition date included in the condensed consolidated statements of operations for the three and six months ended July 31, 2022 were $18.2 million and $0.2 million, respectively.</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reflects the unaudited pro forma consolidated results of operations of the Company for the periods presented, as though the acquisition of KLH had occurred on February 1, 2021.</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July 31,</w:t>
            </w:r>
          </w:p>
        </w:tc>
        <w:tc>
          <w:tcPr>
            <w:tcW w:w="280" w:type="dxa"/>
            <w:vAlign w:val="bottom"/>
          </w:tcPr>
          <w:p>
            <w:pPr>
              <w:spacing w:after="0"/>
              <w:rPr>
                <w:sz w:val="14"/>
                <w:szCs w:val="14"/>
                <w:color w:val="auto"/>
              </w:rPr>
            </w:pPr>
          </w:p>
        </w:tc>
        <w:tc>
          <w:tcPr>
            <w:tcW w:w="238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Six Months Ended July 31,</w:t>
            </w:r>
          </w:p>
        </w:tc>
      </w:tr>
      <w:tr>
        <w:trPr>
          <w:trHeight w:val="196"/>
        </w:trPr>
        <w:tc>
          <w:tcPr>
            <w:tcW w:w="34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r>
      <w:tr>
        <w:trPr>
          <w:trHeight w:val="196"/>
        </w:trPr>
        <w:tc>
          <w:tcPr>
            <w:tcW w:w="3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80" w:type="dxa"/>
            <w:vAlign w:val="bottom"/>
            <w:gridSpan w:val="9"/>
          </w:tcPr>
          <w:p>
            <w:pPr>
              <w:jc w:val="right"/>
              <w:ind w:right="90"/>
              <w:spacing w:after="0"/>
              <w:rPr>
                <w:sz w:val="20"/>
                <w:szCs w:val="20"/>
                <w:color w:val="auto"/>
              </w:rPr>
            </w:pPr>
            <w:r>
              <w:rPr>
                <w:rFonts w:ascii="Arial" w:cs="Arial" w:eastAsia="Arial" w:hAnsi="Arial"/>
                <w:sz w:val="14"/>
                <w:szCs w:val="14"/>
                <w:b w:val="1"/>
                <w:bCs w:val="1"/>
                <w:color w:val="auto"/>
              </w:rPr>
              <w:t>(unaudited, in thousands, except per share amounts)</w:t>
            </w:r>
          </w:p>
        </w:tc>
        <w:tc>
          <w:tcPr>
            <w:tcW w:w="960" w:type="dxa"/>
            <w:vAlign w:val="bottom"/>
          </w:tcPr>
          <w:p>
            <w:pPr>
              <w:spacing w:after="0"/>
              <w:rPr>
                <w:sz w:val="17"/>
                <w:szCs w:val="17"/>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628,050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518,258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1,362,811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1,073,929</w:t>
            </w: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11,844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39,316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42,060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63,289</w:t>
            </w: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bl>
    <w:p>
      <w:pPr>
        <w:spacing w:after="0" w:line="12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pro forma adjustments are based upon available information and certain assumptions that the Company considers reasonable. The unaudited pro forma condensed combined financial data is based on preliminary estimates and assumptions set forth in the accompanying notes. Pro forma adjustments are necessary to reflect (i) the changes in depreciation and amortization expense resulting from fair value adjustments to intangible assets, (ii) amortization of the inventory fair value adjustment, (iii) incentive compensation arrangements expenses acquired as part of the acquisition agreements, (iv) elimination of royalty expenses related to the Company’s license agreement with KLNA, (v) the taxation of G-III’s and KLH’s combined income as a result of the acquisition, as well as the tax effects related to such pro forma adjustments, (vi) the $30.9 million gain recorded to remeasure to fair value the previously held investments in KLH and KLNA as though the gain was recorded on February 1, 2021 and (vii) adjustments for accounting policy changes to conform to G-III’s presentation. The pro forma results do not include any realized or anticipated cost synergies or other effects of the integration of KLH. Accordingly, such pro forma amounts are not indicative of the results that actually would have occurred had the acquisition been completed on February 1, 2021, nor are they indicative of the future operating results of the combined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7 – Intangible Assets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Intangible assets consist of:</w:t>
      </w:r>
    </w:p>
    <w:p>
      <w:pPr>
        <w:spacing w:after="0" w:line="200" w:lineRule="exact"/>
        <w:rPr>
          <w:sz w:val="20"/>
          <w:szCs w:val="20"/>
          <w:color w:val="auto"/>
        </w:rPr>
      </w:pP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gridSpan w:val="3"/>
            <w:vMerge w:val="restart"/>
          </w:tcPr>
          <w:p>
            <w:pPr>
              <w:ind w:left="1600"/>
              <w:spacing w:after="0"/>
              <w:rPr>
                <w:sz w:val="20"/>
                <w:szCs w:val="20"/>
                <w:color w:val="auto"/>
              </w:rPr>
            </w:pPr>
            <w:r>
              <w:rPr>
                <w:rFonts w:ascii="Arial" w:cs="Arial" w:eastAsia="Arial" w:hAnsi="Arial"/>
                <w:sz w:val="14"/>
                <w:szCs w:val="14"/>
                <w:b w:val="1"/>
                <w:bCs w:val="1"/>
                <w:color w:val="auto"/>
              </w:rPr>
              <w:t>July 31, 2022</w:t>
            </w:r>
          </w:p>
        </w:tc>
        <w:tc>
          <w:tcPr>
            <w:tcW w:w="220" w:type="dxa"/>
            <w:vAlign w:val="bottom"/>
            <w:vMerge w:val="restart"/>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Estimated Life</w:t>
            </w:r>
          </w:p>
        </w:tc>
        <w:tc>
          <w:tcPr>
            <w:tcW w:w="200" w:type="dxa"/>
            <w:vAlign w:val="bottom"/>
            <w:vMerge w:val="restart"/>
          </w:tcPr>
          <w:p>
            <w:pPr>
              <w:spacing w:after="0"/>
              <w:rPr>
                <w:sz w:val="14"/>
                <w:szCs w:val="1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40" w:type="dxa"/>
            <w:vAlign w:val="bottom"/>
            <w:gridSpan w:val="5"/>
            <w:vMerge w:val="restart"/>
          </w:tcPr>
          <w:p>
            <w:pPr>
              <w:ind w:left="20"/>
              <w:spacing w:after="0"/>
              <w:rPr>
                <w:sz w:val="20"/>
                <w:szCs w:val="20"/>
                <w:color w:val="auto"/>
              </w:rPr>
            </w:pPr>
            <w:r>
              <w:rPr>
                <w:rFonts w:ascii="Arial" w:cs="Arial" w:eastAsia="Arial" w:hAnsi="Arial"/>
                <w:sz w:val="18"/>
                <w:szCs w:val="18"/>
                <w:color w:val="auto"/>
              </w:rPr>
              <w:t>Finite-lived intangible assets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40" w:type="dxa"/>
            <w:vAlign w:val="bottom"/>
            <w:gridSpan w:val="5"/>
            <w:vMerge w:val="continue"/>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Licenses</w:t>
            </w: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14 years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rPr>
              <w:t>Trademarks</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8-12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Customer relationships</w:t>
            </w: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15-17 years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(21,354)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rPr>
              <w:t>Other</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5-10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(4,464)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20" w:type="dxa"/>
            <w:vAlign w:val="bottom"/>
            <w:tcBorders>
              <w:top w:val="single" w:sz="8" w:color="CCEEFF"/>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Total finite-lived intangible assets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5"/>
            <w:vMerge w:val="restart"/>
          </w:tcPr>
          <w:p>
            <w:pPr>
              <w:ind w:left="20"/>
              <w:spacing w:after="0" w:line="182" w:lineRule="exact"/>
              <w:rPr>
                <w:sz w:val="20"/>
                <w:szCs w:val="20"/>
                <w:color w:val="auto"/>
              </w:rPr>
            </w:pPr>
            <w:r>
              <w:rPr>
                <w:rFonts w:ascii="Arial" w:cs="Arial" w:eastAsia="Arial" w:hAnsi="Arial"/>
                <w:sz w:val="18"/>
                <w:szCs w:val="18"/>
                <w:color w:val="auto"/>
              </w:rPr>
              <w:t>Indefinite-lived intangible assets</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gridSpan w:val="5"/>
            <w:vMerge w:val="continue"/>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rPr>
              <w:t>Trademarks</w:t>
            </w: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indefinite-lived intangible assets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gridSpan w:val="4"/>
          </w:tcPr>
          <w:p>
            <w:pPr>
              <w:ind w:left="200"/>
              <w:spacing w:after="0"/>
              <w:rPr>
                <w:sz w:val="20"/>
                <w:szCs w:val="20"/>
                <w:color w:val="auto"/>
              </w:rPr>
            </w:pPr>
            <w:r>
              <w:rPr>
                <w:rFonts w:ascii="Arial" w:cs="Arial" w:eastAsia="Arial" w:hAnsi="Arial"/>
                <w:sz w:val="18"/>
                <w:szCs w:val="18"/>
                <w:color w:val="auto"/>
              </w:rPr>
              <w:t>Total intangible assets, net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0" w:type="dxa"/>
            <w:vAlign w:val="bottom"/>
          </w:tcPr>
          <w:p>
            <w:pPr>
              <w:spacing w:after="0"/>
              <w:rPr>
                <w:sz w:val="24"/>
                <w:szCs w:val="24"/>
                <w:color w:val="auto"/>
              </w:rPr>
            </w:pPr>
          </w:p>
        </w:tc>
        <w:tc>
          <w:tcPr>
            <w:tcW w:w="4000" w:type="dxa"/>
            <w:vAlign w:val="bottom"/>
            <w:gridSpan w:val="3"/>
            <w:vMerge w:val="restart"/>
          </w:tcPr>
          <w:p>
            <w:pPr>
              <w:ind w:left="1600"/>
              <w:spacing w:after="0"/>
              <w:rPr>
                <w:sz w:val="20"/>
                <w:szCs w:val="20"/>
                <w:color w:val="auto"/>
              </w:rPr>
            </w:pPr>
            <w:r>
              <w:rPr>
                <w:rFonts w:ascii="Arial" w:cs="Arial" w:eastAsia="Arial" w:hAnsi="Arial"/>
                <w:sz w:val="14"/>
                <w:szCs w:val="14"/>
                <w:b w:val="1"/>
                <w:bCs w:val="1"/>
                <w:color w:val="auto"/>
              </w:rPr>
              <w:t>July 31, 2021</w:t>
            </w:r>
          </w:p>
        </w:tc>
        <w:tc>
          <w:tcPr>
            <w:tcW w:w="220" w:type="dxa"/>
            <w:vAlign w:val="bottom"/>
            <w:vMerge w:val="restart"/>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Estimated Life</w:t>
            </w:r>
          </w:p>
        </w:tc>
        <w:tc>
          <w:tcPr>
            <w:tcW w:w="200" w:type="dxa"/>
            <w:vAlign w:val="bottom"/>
            <w:vMerge w:val="restart"/>
          </w:tcPr>
          <w:p>
            <w:pPr>
              <w:spacing w:after="0"/>
              <w:rPr>
                <w:sz w:val="24"/>
                <w:szCs w:val="2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40" w:type="dxa"/>
            <w:vAlign w:val="bottom"/>
            <w:gridSpan w:val="5"/>
            <w:vMerge w:val="restart"/>
          </w:tcPr>
          <w:p>
            <w:pPr>
              <w:ind w:left="20"/>
              <w:spacing w:after="0"/>
              <w:rPr>
                <w:sz w:val="20"/>
                <w:szCs w:val="20"/>
                <w:color w:val="auto"/>
              </w:rPr>
            </w:pPr>
            <w:r>
              <w:rPr>
                <w:rFonts w:ascii="Arial" w:cs="Arial" w:eastAsia="Arial" w:hAnsi="Arial"/>
                <w:sz w:val="18"/>
                <w:szCs w:val="18"/>
                <w:color w:val="auto"/>
              </w:rPr>
              <w:t>Finite-lived intangible assets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40" w:type="dxa"/>
            <w:vAlign w:val="bottom"/>
            <w:gridSpan w:val="5"/>
            <w:vMerge w:val="continue"/>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Licenses</w:t>
            </w: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14 years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rPr>
              <w:t>Trademarks</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8-12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Customer relationships</w:t>
            </w: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15-17 years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(19,049)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rPr>
              <w:t>Other</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5-10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(7,343)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20" w:type="dxa"/>
            <w:vAlign w:val="bottom"/>
            <w:tcBorders>
              <w:top w:val="single" w:sz="8" w:color="CCEEFF"/>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Total finite-lived intangible assets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5"/>
            <w:vMerge w:val="restart"/>
          </w:tcPr>
          <w:p>
            <w:pPr>
              <w:ind w:left="20"/>
              <w:spacing w:after="0" w:line="182" w:lineRule="exact"/>
              <w:rPr>
                <w:sz w:val="20"/>
                <w:szCs w:val="20"/>
                <w:color w:val="auto"/>
              </w:rPr>
            </w:pPr>
            <w:r>
              <w:rPr>
                <w:rFonts w:ascii="Arial" w:cs="Arial" w:eastAsia="Arial" w:hAnsi="Arial"/>
                <w:sz w:val="18"/>
                <w:szCs w:val="18"/>
                <w:color w:val="auto"/>
              </w:rPr>
              <w:t>Indefinite-lived intangible assets</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gridSpan w:val="5"/>
            <w:vMerge w:val="continue"/>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rPr>
              <w:t>Trademarks</w:t>
            </w: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indefinite-lived intangible assets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gridSpan w:val="4"/>
          </w:tcPr>
          <w:p>
            <w:pPr>
              <w:ind w:left="200"/>
              <w:spacing w:after="0"/>
              <w:rPr>
                <w:sz w:val="20"/>
                <w:szCs w:val="20"/>
                <w:color w:val="auto"/>
              </w:rPr>
            </w:pPr>
            <w:r>
              <w:rPr>
                <w:rFonts w:ascii="Arial" w:cs="Arial" w:eastAsia="Arial" w:hAnsi="Arial"/>
                <w:sz w:val="18"/>
                <w:szCs w:val="18"/>
                <w:color w:val="auto"/>
              </w:rPr>
              <w:t>Total intangible assets, net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vMerge w:val="restart"/>
          </w:tcPr>
          <w:p>
            <w:pPr>
              <w:jc w:val="right"/>
              <w:ind w:right="553"/>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gridSpan w:val="3"/>
            <w:vMerge w:val="restart"/>
          </w:tcPr>
          <w:p>
            <w:pPr>
              <w:ind w:left="1460"/>
              <w:spacing w:after="0"/>
              <w:rPr>
                <w:sz w:val="20"/>
                <w:szCs w:val="20"/>
                <w:color w:val="auto"/>
              </w:rPr>
            </w:pPr>
            <w:r>
              <w:rPr>
                <w:rFonts w:ascii="Arial" w:cs="Arial" w:eastAsia="Arial" w:hAnsi="Arial"/>
                <w:sz w:val="14"/>
                <w:szCs w:val="14"/>
                <w:b w:val="1"/>
                <w:bCs w:val="1"/>
                <w:color w:val="auto"/>
              </w:rPr>
              <w:t>January 31, 2022</w:t>
            </w:r>
          </w:p>
        </w:tc>
        <w:tc>
          <w:tcPr>
            <w:tcW w:w="220" w:type="dxa"/>
            <w:vAlign w:val="bottom"/>
            <w:vMerge w:val="restart"/>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Estimated Life</w:t>
            </w:r>
          </w:p>
        </w:tc>
        <w:tc>
          <w:tcPr>
            <w:tcW w:w="200" w:type="dxa"/>
            <w:vAlign w:val="bottom"/>
            <w:vMerge w:val="restart"/>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920" w:type="dxa"/>
            <w:vAlign w:val="bottom"/>
          </w:tcPr>
          <w:p>
            <w:pPr>
              <w:jc w:val="right"/>
              <w:ind w:right="13"/>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0"/>
        </w:trPr>
        <w:tc>
          <w:tcPr>
            <w:tcW w:w="4240" w:type="dxa"/>
            <w:vAlign w:val="bottom"/>
            <w:gridSpan w:val="5"/>
            <w:vMerge w:val="restart"/>
          </w:tcPr>
          <w:p>
            <w:pPr>
              <w:ind w:left="20"/>
              <w:spacing w:after="0"/>
              <w:rPr>
                <w:sz w:val="20"/>
                <w:szCs w:val="20"/>
                <w:color w:val="auto"/>
              </w:rPr>
            </w:pPr>
            <w:r>
              <w:rPr>
                <w:rFonts w:ascii="Arial" w:cs="Arial" w:eastAsia="Arial" w:hAnsi="Arial"/>
                <w:sz w:val="18"/>
                <w:szCs w:val="18"/>
                <w:color w:val="auto"/>
              </w:rPr>
              <w:t>Finite-lived intangible assets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(In thousands)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40" w:type="dxa"/>
            <w:vAlign w:val="bottom"/>
            <w:gridSpan w:val="5"/>
            <w:vMerge w:val="continue"/>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Licenses</w:t>
            </w: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14 years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rPr>
              <w:t>Trademarks</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8-12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Customer relationships</w:t>
            </w: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15-17 years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(20,224)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rPr>
              <w:t>Other</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5-10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(7,410)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20" w:type="dxa"/>
            <w:vAlign w:val="bottom"/>
            <w:tcBorders>
              <w:top w:val="single" w:sz="8" w:color="CCEEFF"/>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Total finite-lived intangible assets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31,361</w:t>
            </w:r>
          </w:p>
        </w:tc>
        <w:tc>
          <w:tcPr>
            <w:tcW w:w="0" w:type="dxa"/>
            <w:vAlign w:val="bottom"/>
          </w:tcPr>
          <w:p>
            <w:pPr>
              <w:spacing w:after="0"/>
              <w:rPr>
                <w:sz w:val="1"/>
                <w:szCs w:val="1"/>
                <w:color w:val="auto"/>
              </w:rPr>
            </w:pPr>
          </w:p>
        </w:tc>
      </w:tr>
      <w:tr>
        <w:trPr>
          <w:trHeight w:val="20"/>
        </w:trPr>
        <w:tc>
          <w:tcPr>
            <w:tcW w:w="4240" w:type="dxa"/>
            <w:vAlign w:val="bottom"/>
            <w:gridSpan w:val="5"/>
            <w:vMerge w:val="restart"/>
          </w:tcPr>
          <w:p>
            <w:pPr>
              <w:ind w:left="20"/>
              <w:spacing w:after="0" w:line="182" w:lineRule="exact"/>
              <w:rPr>
                <w:sz w:val="20"/>
                <w:szCs w:val="20"/>
                <w:color w:val="auto"/>
              </w:rPr>
            </w:pPr>
            <w:r>
              <w:rPr>
                <w:rFonts w:ascii="Arial" w:cs="Arial" w:eastAsia="Arial" w:hAnsi="Arial"/>
                <w:sz w:val="18"/>
                <w:szCs w:val="18"/>
                <w:color w:val="auto"/>
              </w:rPr>
              <w:t>Indefinite-lived intangible assets</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gridSpan w:val="5"/>
            <w:vMerge w:val="continue"/>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262,527</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rPr>
              <w:t>Trademarks</w:t>
            </w: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453,329</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indefinite-lived intangible assets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gridSpan w:val="4"/>
          </w:tcPr>
          <w:p>
            <w:pPr>
              <w:ind w:left="200"/>
              <w:spacing w:after="0"/>
              <w:rPr>
                <w:sz w:val="20"/>
                <w:szCs w:val="20"/>
                <w:color w:val="auto"/>
              </w:rPr>
            </w:pPr>
            <w:r>
              <w:rPr>
                <w:rFonts w:ascii="Arial" w:cs="Arial" w:eastAsia="Arial" w:hAnsi="Arial"/>
                <w:sz w:val="18"/>
                <w:szCs w:val="18"/>
                <w:color w:val="auto"/>
              </w:rPr>
              <w:t>Total intangible assets, net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Amortization expense with respect to finite-lived intangibles amounted to $0.9 million and $1.8 million for the three and six months ended July 31, 2022, respectively. Amortization expense with respect to finite-lived intangibles amounted to $1.0 million and $1.9 million for the three and six months ended July 31, 2021, respectively. Amortization expense with respect to finite-lived intangibles amounted to $3.7 million for the year ended January 31,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estimated amortization expense with respect to intangibles for the next five years is as follows: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January 31,</w:t>
            </w:r>
          </w:p>
        </w:tc>
        <w:tc>
          <w:tcPr>
            <w:tcW w:w="200" w:type="dxa"/>
            <w:vAlign w:val="bottom"/>
          </w:tcPr>
          <w:p>
            <w:pPr>
              <w:spacing w:after="0"/>
              <w:rPr>
                <w:sz w:val="14"/>
                <w:szCs w:val="14"/>
                <w:color w:val="auto"/>
              </w:rPr>
            </w:pPr>
          </w:p>
        </w:tc>
        <w:tc>
          <w:tcPr>
            <w:tcW w:w="1820" w:type="dxa"/>
            <w:vAlign w:val="bottom"/>
          </w:tcPr>
          <w:p>
            <w:pPr>
              <w:jc w:val="right"/>
              <w:ind w:right="235"/>
              <w:spacing w:after="0"/>
              <w:rPr>
                <w:sz w:val="20"/>
                <w:szCs w:val="20"/>
                <w:color w:val="auto"/>
              </w:rPr>
            </w:pPr>
            <w:r>
              <w:rPr>
                <w:rFonts w:ascii="Arial" w:cs="Arial" w:eastAsia="Arial" w:hAnsi="Arial"/>
                <w:sz w:val="14"/>
                <w:szCs w:val="14"/>
                <w:b w:val="1"/>
                <w:bCs w:val="1"/>
                <w:color w:val="auto"/>
              </w:rPr>
              <w:t>Amortization Expense</w:t>
            </w:r>
          </w:p>
        </w:tc>
      </w:tr>
      <w:tr>
        <w:trPr>
          <w:trHeight w:val="142"/>
        </w:trPr>
        <w:tc>
          <w:tcPr>
            <w:tcW w:w="65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3,976</w:t>
            </w: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w:t>
            </w: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3,828</w:t>
            </w: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Intangible assets with finite lives are amortized over their estimated useful lives and measured for impairment when events or circumstances indicate that the carrying value may be impaired.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Change in Goodwill</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Changes in the amounts of goodwill for the six months ended July 31, 2022 and the year ended January 31, 2022 are summarized by reportable segment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Wholesale</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Retail</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31, 2021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263,135</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263,135</w:t>
            </w: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color w:val="auto"/>
              </w:rPr>
              <w:t>Acquisition of Sonia Rykiel</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1,518</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1,518</w:t>
            </w: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(2,126)</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r>
      <w:tr>
        <w:trPr>
          <w:trHeight w:val="210"/>
        </w:trPr>
        <w:tc>
          <w:tcPr>
            <w:tcW w:w="4840" w:type="dxa"/>
            <w:vAlign w:val="bottom"/>
          </w:tcPr>
          <w:p>
            <w:pPr>
              <w:ind w:left="20"/>
              <w:spacing w:after="0"/>
              <w:rPr>
                <w:sz w:val="20"/>
                <w:szCs w:val="20"/>
                <w:color w:val="auto"/>
              </w:rPr>
            </w:pPr>
            <w:r>
              <w:rPr>
                <w:rFonts w:ascii="Arial" w:cs="Arial" w:eastAsia="Arial" w:hAnsi="Arial"/>
                <w:sz w:val="18"/>
                <w:szCs w:val="18"/>
                <w:color w:val="auto"/>
              </w:rPr>
              <w:t>January 31, 2022</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262,527</w:t>
            </w:r>
          </w:p>
        </w:tc>
        <w:tc>
          <w:tcPr>
            <w:tcW w:w="2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262,527</w:t>
            </w: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Karl Lagerfeld</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46,113</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46,113</w:t>
            </w: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color w:val="auto"/>
              </w:rPr>
              <w:t>Currency translation</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(3,710)</w:t>
            </w:r>
          </w:p>
        </w:tc>
        <w:tc>
          <w:tcPr>
            <w:tcW w:w="84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(3,710)</w:t>
            </w:r>
          </w:p>
        </w:tc>
      </w:tr>
      <w:tr>
        <w:trPr>
          <w:trHeight w:val="209"/>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31, 2022</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304,930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304,930</w:t>
            </w:r>
          </w:p>
        </w:tc>
      </w:tr>
      <w:tr>
        <w:trPr>
          <w:trHeight w:val="20"/>
        </w:trPr>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Impairment</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Goodwill represents the excess of the purchase price and related costs over the value assigned to net tangible and identifiable intangible assets of businesses acquired and accounted for under the purchase method. The Company reviews and tests its goodwill and intangible assets with indefinite lives for impairment at least annually, or more frequently if</w:t>
      </w:r>
    </w:p>
    <w:p>
      <w:pPr>
        <w:sectPr>
          <w:pgSz w:w="11900" w:h="16838" w:orient="portrait"/>
          <w:cols w:equalWidth="0" w:num="1">
            <w:col w:w="9019"/>
          </w:cols>
          <w:pgMar w:left="1440" w:top="51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events or changes in circumstances indicate that the carrying amount of such assets may be impaired. The Company performs its goodwill test as of January 31 of each year using a qualitative evaluation or a quantitative test using an income approach through a discounted cash flow analysis methodology. The discounted cash flow approach requires that certain assumptions and estimates be made regarding industry economic factors and future profitability. The Company also performs its annual test for intangible assets with indefinite lives as of January 31 of each year using a qualitative evaluation or a quantitative test using a relief from royalty method, another form of the income approach. The relief from royalty method requires assumptions regarding industry economic factors and future profitability.</w:t>
      </w:r>
    </w:p>
    <w:p>
      <w:pPr>
        <w:spacing w:after="0" w:line="17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performed its annual tests of its wholesale reporting unit and its indefinite-lived trademarks as of January 31, 2022 and determined that no impairment existed at that date. The result of the Company’s annual test determined that the estimated fair value of its wholesale reporting unit and its indefinite-lived trademarks were substantially in excess of their carrying values.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Company’s indefinite-lived trademark balance is primarily composed of the Donna Karan/DKNY trademark that was acquired in fiscal 2017 and the Karl Lagerfeld trademark that was acquired in fiscal 2023.</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fair value of the Company’s goodwill and indefinite-lived intangible assets are considered a Level 3 valuation in the fair value hierarchy.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8 – Net Income per Common Share</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Basic net income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and stock options outstanding during the period. Approximately 301,300 and 205,400 shares of common stock have been excluded from the diluted net income per share calculation for the three and six months ended July 31, 2022, respectively. Approximately 15,100 and 8,200 shares of common stock have been excluded from the diluted net income per share calculation for the three and six months ended July 31, 2021. All share-based payments outstanding that vest based on the achievement of performance conditions, and for which the respective performance conditions have not been achieved, have been excluded from the diluted per share calculation.</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reconciles the numerators and denominators used in the calculation of basic and diluted net income per share:</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July 31,</w:t>
            </w:r>
          </w:p>
        </w:tc>
        <w:tc>
          <w:tcPr>
            <w:tcW w:w="16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July 31,</w:t>
            </w:r>
          </w:p>
        </w:tc>
      </w:tr>
      <w:tr>
        <w:trPr>
          <w:trHeight w:val="142"/>
        </w:trPr>
        <w:tc>
          <w:tcPr>
            <w:tcW w:w="43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60" w:type="dxa"/>
            <w:vAlign w:val="bottom"/>
            <w:gridSpan w:val="9"/>
          </w:tcPr>
          <w:p>
            <w:pPr>
              <w:jc w:val="right"/>
              <w:spacing w:after="0" w:line="142" w:lineRule="exact"/>
              <w:rPr>
                <w:sz w:val="20"/>
                <w:szCs w:val="20"/>
                <w:color w:val="auto"/>
              </w:rPr>
            </w:pPr>
            <w:r>
              <w:rPr>
                <w:rFonts w:ascii="Arial" w:cs="Arial" w:eastAsia="Arial" w:hAnsi="Arial"/>
                <w:sz w:val="14"/>
                <w:szCs w:val="14"/>
                <w:b w:val="1"/>
                <w:bCs w:val="1"/>
                <w:color w:val="auto"/>
              </w:rPr>
              <w:t>(In thousands, except share and per share amounts)</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G-III Apparel Group, Ltd.</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45,489</w:t>
            </w:r>
          </w:p>
        </w:tc>
        <w:tc>
          <w:tcPr>
            <w:tcW w:w="20" w:type="dxa"/>
            <w:vAlign w:val="bottom"/>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Basic net income per share:</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common shares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48,007</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48,427</w:t>
            </w:r>
          </w:p>
        </w:tc>
        <w:tc>
          <w:tcPr>
            <w:tcW w:w="20" w:type="dxa"/>
            <w:vAlign w:val="bottom"/>
          </w:tcPr>
          <w:p>
            <w:pPr>
              <w:spacing w:after="0"/>
              <w:rPr>
                <w:sz w:val="18"/>
                <w:szCs w:val="18"/>
                <w:color w:val="auto"/>
              </w:rPr>
            </w:pPr>
          </w:p>
        </w:tc>
      </w:tr>
      <w:tr>
        <w:trPr>
          <w:trHeight w:val="250"/>
        </w:trPr>
        <w:tc>
          <w:tcPr>
            <w:tcW w:w="4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 net income per share</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20" w:type="dxa"/>
            <w:vAlign w:val="bottom"/>
          </w:tcPr>
          <w:p>
            <w:pPr>
              <w:spacing w:after="0"/>
              <w:rPr>
                <w:sz w:val="21"/>
                <w:szCs w:val="21"/>
                <w:color w:val="auto"/>
              </w:rPr>
            </w:pPr>
          </w:p>
        </w:tc>
      </w:tr>
      <w:tr>
        <w:trPr>
          <w:trHeight w:val="196"/>
        </w:trPr>
        <w:tc>
          <w:tcPr>
            <w:tcW w:w="4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Diluted net income per share:</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common shares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48,427</w:t>
            </w:r>
          </w:p>
        </w:tc>
        <w:tc>
          <w:tcPr>
            <w:tcW w:w="20" w:type="dxa"/>
            <w:vAlign w:val="bottom"/>
          </w:tcPr>
          <w:p>
            <w:pPr>
              <w:spacing w:after="0"/>
              <w:rPr>
                <w:sz w:val="18"/>
                <w:szCs w:val="18"/>
                <w:color w:val="auto"/>
              </w:rPr>
            </w:pPr>
          </w:p>
        </w:tc>
      </w:tr>
      <w:tr>
        <w:trPr>
          <w:trHeight w:val="216"/>
        </w:trPr>
        <w:tc>
          <w:tcPr>
            <w:tcW w:w="4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7"/>
              </w:rPr>
              <w:t>Dilutive restricted stock unit awards and stock options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20" w:type="dxa"/>
            <w:vAlign w:val="bottom"/>
          </w:tcPr>
          <w:p>
            <w:pPr>
              <w:spacing w:after="0"/>
              <w:rPr>
                <w:sz w:val="18"/>
                <w:szCs w:val="18"/>
                <w:color w:val="auto"/>
              </w:rPr>
            </w:pPr>
          </w:p>
        </w:tc>
      </w:tr>
      <w:tr>
        <w:trPr>
          <w:trHeight w:val="210"/>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 common shares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49,061</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49,502</w:t>
            </w:r>
          </w:p>
        </w:tc>
        <w:tc>
          <w:tcPr>
            <w:tcW w:w="20" w:type="dxa"/>
            <w:vAlign w:val="bottom"/>
          </w:tcPr>
          <w:p>
            <w:pPr>
              <w:spacing w:after="0"/>
              <w:rPr>
                <w:sz w:val="18"/>
                <w:szCs w:val="18"/>
                <w:color w:val="auto"/>
              </w:rPr>
            </w:pPr>
          </w:p>
        </w:tc>
      </w:tr>
      <w:tr>
        <w:trPr>
          <w:trHeight w:val="209"/>
        </w:trPr>
        <w:tc>
          <w:tcPr>
            <w:tcW w:w="4320" w:type="dxa"/>
            <w:vAlign w:val="bottom"/>
          </w:tcPr>
          <w:p>
            <w:pPr>
              <w:ind w:left="120"/>
              <w:spacing w:after="0"/>
              <w:rPr>
                <w:sz w:val="20"/>
                <w:szCs w:val="20"/>
                <w:color w:val="auto"/>
              </w:rPr>
            </w:pPr>
            <w:r>
              <w:rPr>
                <w:rFonts w:ascii="Arial" w:cs="Arial" w:eastAsia="Arial" w:hAnsi="Arial"/>
                <w:sz w:val="18"/>
                <w:szCs w:val="18"/>
                <w:color w:val="auto"/>
              </w:rPr>
              <w:t>Diluted net income per share</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4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9 – Notes Payable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Long-term debt consists of the following:</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July 31, 2022</w:t>
            </w:r>
          </w:p>
        </w:tc>
        <w:tc>
          <w:tcPr>
            <w:tcW w:w="18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2021</w:t>
            </w:r>
          </w:p>
        </w:tc>
        <w:tc>
          <w:tcPr>
            <w:tcW w:w="140" w:type="dxa"/>
            <w:vAlign w:val="bottom"/>
          </w:tcPr>
          <w:p>
            <w:pPr>
              <w:spacing w:after="0"/>
              <w:rPr>
                <w:sz w:val="14"/>
                <w:szCs w:val="14"/>
                <w:color w:val="auto"/>
              </w:rPr>
            </w:pPr>
          </w:p>
        </w:tc>
        <w:tc>
          <w:tcPr>
            <w:tcW w:w="1300" w:type="dxa"/>
            <w:vAlign w:val="bottom"/>
          </w:tcPr>
          <w:p>
            <w:pPr>
              <w:jc w:val="right"/>
              <w:ind w:right="92"/>
              <w:spacing w:after="0"/>
              <w:rPr>
                <w:sz w:val="20"/>
                <w:szCs w:val="20"/>
                <w:color w:val="auto"/>
              </w:rPr>
            </w:pPr>
            <w:r>
              <w:rPr>
                <w:rFonts w:ascii="Arial" w:cs="Arial" w:eastAsia="Arial" w:hAnsi="Arial"/>
                <w:sz w:val="14"/>
                <w:szCs w:val="14"/>
                <w:b w:val="1"/>
                <w:bCs w:val="1"/>
                <w:color w:val="auto"/>
                <w:w w:val="98"/>
              </w:rPr>
              <w:t>January 31, 2022</w:t>
            </w:r>
          </w:p>
        </w:tc>
      </w:tr>
      <w:tr>
        <w:trPr>
          <w:trHeight w:val="128"/>
        </w:trPr>
        <w:tc>
          <w:tcPr>
            <w:tcW w:w="22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w w:val="99"/>
              </w:rPr>
              <w:t>(In thousands)</w:t>
            </w: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Secured Notes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1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51,614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LVMH Note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1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Unsecured loans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7,969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8,930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8,367</w:t>
            </w:r>
          </w:p>
        </w:tc>
      </w:tr>
      <w:tr>
        <w:trPr>
          <w:trHeight w:val="21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Overdraft facilities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r>
      <w:tr>
        <w:trPr>
          <w:trHeight w:val="21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Foreign credit facility</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00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588,207</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538,430</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536,270</w:t>
            </w:r>
          </w:p>
        </w:tc>
      </w:tr>
      <w:tr>
        <w:trPr>
          <w:trHeight w:val="216"/>
        </w:trPr>
        <w:tc>
          <w:tcPr>
            <w:tcW w:w="40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Less: Net debt issuance costs </w:t>
            </w:r>
            <w:r>
              <w:rPr>
                <w:rFonts w:ascii="Arial" w:cs="Arial" w:eastAsia="Arial" w:hAnsi="Arial"/>
                <w:sz w:val="25"/>
                <w:szCs w:val="25"/>
                <w:color w:val="auto"/>
                <w:vertAlign w:val="superscript"/>
              </w:rPr>
              <w:t>(1)</w:t>
            </w:r>
          </w:p>
        </w:tc>
        <w:tc>
          <w:tcPr>
            <w:tcW w:w="2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(5,095)</w:t>
            </w:r>
          </w:p>
        </w:tc>
        <w:tc>
          <w:tcPr>
            <w:tcW w:w="1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(6,794)</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(5,944)</w:t>
            </w:r>
          </w:p>
        </w:tc>
      </w:tr>
      <w:tr>
        <w:trPr>
          <w:trHeight w:val="216"/>
        </w:trPr>
        <w:tc>
          <w:tcPr>
            <w:tcW w:w="4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 discount</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(7,335)</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(13,995)</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(10,745)</w:t>
            </w:r>
          </w:p>
        </w:tc>
      </w:tr>
      <w:tr>
        <w:trPr>
          <w:trHeight w:val="216"/>
        </w:trPr>
        <w:tc>
          <w:tcPr>
            <w:tcW w:w="4000" w:type="dxa"/>
            <w:vAlign w:val="bottom"/>
            <w:gridSpan w:val="2"/>
          </w:tcPr>
          <w:p>
            <w:pPr>
              <w:ind w:left="4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(80,109)</w:t>
            </w:r>
          </w:p>
        </w:tc>
        <w:tc>
          <w:tcPr>
            <w:tcW w:w="1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(5,624)</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(4,237)</w:t>
            </w:r>
          </w:p>
        </w:tc>
      </w:tr>
      <w:tr>
        <w:trPr>
          <w:trHeight w:val="209"/>
        </w:trPr>
        <w:tc>
          <w:tcPr>
            <w:tcW w:w="4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495,668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512,017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515,344</w:t>
            </w:r>
          </w:p>
        </w:tc>
      </w:tr>
      <w:tr>
        <w:trPr>
          <w:trHeight w:val="20"/>
        </w:trPr>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r>
    </w:tbl>
    <w:p>
      <w:pPr>
        <w:spacing w:after="0" w:line="68" w:lineRule="exact"/>
        <w:rPr>
          <w:sz w:val="20"/>
          <w:szCs w:val="20"/>
          <w:color w:val="auto"/>
        </w:rPr>
      </w:pPr>
    </w:p>
    <w:p>
      <w:pPr>
        <w:jc w:val="both"/>
        <w:ind w:left="380" w:right="79" w:hanging="330"/>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5"/>
          <w:szCs w:val="15"/>
          <w:color w:val="auto"/>
        </w:rPr>
        <w:t>Does not include debt issuance costs, net of amortization, totaling $4.8 million, $6.4 million and $5.6 million as of July 31, 2022, July 31, 2021 and January 31, 2022, respectively, related to the revolving credit facility. These debt issuance costs have been deferred and are classified in assets in the accompanying condensed consolidated balance sheets in accordance with ASC 835.</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Notes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August 2020, the Company completed a private debt offering of $400 million aggregate principal amount of its 7.875% Senior Secured Notes due 2025 (the “Notes”). The terms of the Notes are governed by an indenture (the “Indenture”), among the Company, the guarantors party thereto and U.S. Bank, National Association, as trustee and collateral agent (the “Collateral Agent”). The net proceeds of the Notes have been used (i) to repay the $300 million that was outstanding under the Company’s prior term loan facility due 2022 (the “Term Loan”), (ii) to pay related fees and expenses and (iii) for general corporate purposes.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Notes bear interest at a rate of 7.875% per year payable semi-annually in arrears on February 15 and August 15 of each year.</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Notes are unconditionally guaranteed on a senior-priority secured basis by the Company’s current and future wholly-owned domestic subsidiaries that guarantee any of the Company’s credit facilities, including the Company’s ABL facility (the “ABL Facility”) pursuant to the ABL Credit Agreement, or certain future capital markets indebtedness of the Company or guarantors.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Notes and the related guarantees are secured by (i) first priority liens on the Company’s Cash Flow Priority Collateral (as defined in the Indenture), and (ii) a second-priority lien on the Company’s ABL Priority Collateral (as defined in the Indenture), in each case subject to permitted liens described in the Indenture.</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In connection with the issuance of the Notes and execution of the Indenture, the Company and the Guarantors entered into a pledge and security agreement (the “Pledge and Security Agreement”), among the Company, the Guarantors and the Collateral Agent.</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LVMH Note subordination agreement which governs the relative rights of the secured parties in respect of the LVMH Note, the ABL Facility and the Notes.</w:t>
      </w:r>
    </w:p>
    <w:p>
      <w:pPr>
        <w:spacing w:after="0" w:line="1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Company may redeem some or all of the Notes at any time and from time to time at the redemption prices set forth in the Indenture, plus accrued and unpaid interest, if any, to, but excluding, the applicable redemption date.</w:t>
      </w:r>
    </w:p>
    <w:p>
      <w:pPr>
        <w:sectPr>
          <w:pgSz w:w="11900" w:h="16838" w:orient="portrait"/>
          <w:cols w:equalWidth="0" w:num="1">
            <w:col w:w="9019"/>
          </w:cols>
          <w:pgMar w:left="1440" w:top="51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Indenture contains covenants that, among other things, limit the Company’s ability and the ability of its restricted subsidiaries to incur or guarantee additional indebtedness, pay dividends or make other restricted payments, make certain investments, incur restrictions on the ability of the Company’s restricted subsidiaries that are not guarantors to pay dividends or make certain other payments, create or incur certain liens, sell assets and subsidiary stock, impair the security interests, transfer all or substantially all of the Company’s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8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 In addition, the Company had unamortized debt issuance costs of $6.1 million associated with the Term Loan. Upon repayment of the Term Loan, these debt issuance costs were fully extinguished and charged to interest expense in the Company’s results of operations.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Second Amended and Restated ABL Credit Agreement</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August 2020, the Company’s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The Company and its subsidiaries, G-III Apparel Canada ULC, Gabrielle Studio, Inc., Donna Karan International Inc. and Donna Karan Studio LLC (the “Guarantors”), are Loan Guarantors under the ABL Credit Agreement.</w:t>
      </w:r>
    </w:p>
    <w:p>
      <w:pPr>
        <w:spacing w:after="0" w:line="18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ABL Credit Agreement refinanced, amended and restated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The ABL Credit Agreement extended the maturity date of this facility from December 2021 to August 2025, subject to a springing maturity date if, subject to certain conditions, the LVMH Note is not refinanced or repaid prior to the date that is 91 days prior to the date of any relevant payment thereunder.</w:t>
      </w:r>
    </w:p>
    <w:p>
      <w:pPr>
        <w:spacing w:after="0" w:line="19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 In addition to paying interest on any outstanding borrowings under the ABL Credit Agreement, the Company is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 As of July 31, 2022, interest under the ABL Credit Agreement was being paid at an average rate of 6.05% per annum.</w:t>
      </w:r>
    </w:p>
    <w:p>
      <w:pPr>
        <w:sectPr>
          <w:pgSz w:w="11900" w:h="16838" w:orient="portrait"/>
          <w:cols w:equalWidth="0" w:num="1">
            <w:col w:w="9019"/>
          </w:cols>
          <w:pgMar w:left="1440" w:top="517" w:right="1440"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revolving credit facility contains covenants that, among other things, restrict the Company’s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July 31, 2022, the Company was in compliance with these covenants.</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As of July 31, 2022, the Company had $51.6 million of borrowings outstanding under the ABL Credit Agreement. The ABL credit agreement also includes amounts available for letters of credit. As of July 31, 2022, there were outstanding trade and standby letters of credit amounting to $7.9 million and $3.4 million, respectively.</w:t>
      </w:r>
    </w:p>
    <w:p>
      <w:pPr>
        <w:spacing w:after="0" w:line="16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At the date of the refinancing of the Prior Credit Agreement, the Company had $3.3 million of unamortized debt issuance costs remaining from the Prior Credit Agreement. The Company extinguished and charged to interest expense $0.4 million of the prior debt issuance costs and incurred new debt issuance costs totaling $5.1 million related to the ABL Credit Agreement. The Company has a total of $8.0 million debt issuance costs related to the ABL Credit Agreement. As permitted under ASC 835, the debt issuance costs have been deferred and are presented as an asset which is amortized ratably over the term of the ABL Credit Agreement.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a portion of the consideration for the acquisition of Donna Karan International (“DKI”), the Company issued to LVMH a junior lien secured promissory note in the principal amount of $125.0 million that bears interest at the rate of 2% per year. $75.0 million of the principal amount of the LVMH Note is due and payable on June 1, 2023 and therefore has been recorded within current portion of notes payable on the condensed consolidated balance sheets and $50.0 million of such principal amount is due and payable on December 1, 2023.</w:t>
      </w:r>
    </w:p>
    <w:p>
      <w:pPr>
        <w:spacing w:after="0" w:line="18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ASC 820 requires the note to be recorded at fair value at issuance. As a result, the Company recorded a $40.0 million debt discount. This discount is being amortized as interest expense using the effective interest method over the term of the LVMH Note.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Unsecured Loans</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During fiscal 2020 and fiscal 2021, T.R.B International SA (“TRB”), a subsidiary of Vilebrequin, borrowed funds under several unsecured loans. A portion of the unsecured loans was to provide funding for operations in the normal course of business, while other unsecured loans were various European state backed loans as part of COVID-19 relief programs. Additionally, Sonia Rykiel and KLH borrowed funds pursuant to European state backed loans that were part of COVID-19 relief programs. In the aggregate, the Company is currently required to make quarterly installment payments of principal in the amount of €0.2 million under these loans. Interest on the outstanding principal amount of the unsecured loans accrues at a fixed rate equal to 0% to 3.0% per annum, payable on either a quarterly or monthly basis. As of July 31, 2022, the Company had an aggregate outstanding balance of €7.6 million ($8.0 million) under these unsecured loans.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Overdraft Facilities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During fiscal 2022,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July 31, 2022, TRB had an aggregate of €3.1 million ($3.2 million) drawn under these facilities.</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Credit Facility</w:t>
      </w:r>
    </w:p>
    <w:p>
      <w:pPr>
        <w:spacing w:after="0" w:line="14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KLH has a credit agreement with ABN AMRO Bank N.V. with a credit limit of €15.0 million which is secured by specified assets of KLH. Borrowings bear interest at the Euro Interbank Offered Rate (“EURIBOR”) plus a margin of 1.7%. As of July 31, 2022, KLH had €0.4 million ($0.4 million) of borrowings outstanding under this credit facility.</w:t>
      </w:r>
    </w:p>
    <w:p>
      <w:pPr>
        <w:sectPr>
          <w:pgSz w:w="11900" w:h="16838" w:orient="portrait"/>
          <w:cols w:equalWidth="0" w:num="1">
            <w:col w:w="9019"/>
          </w:cols>
          <w:pgMar w:left="1440" w:top="517" w:right="1440" w:bottom="1440" w:gutter="0" w:footer="0" w:header="0"/>
        </w:sect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10 – Revenue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In accordance with ASC 606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discloses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i w:val="1"/>
          <w:iCs w:val="1"/>
          <w:color w:val="auto"/>
        </w:rPr>
        <w:t xml:space="preserve">Wholesale Operations Segment. </w:t>
      </w:r>
      <w:r>
        <w:rPr>
          <w:rFonts w:ascii="Arial" w:cs="Arial" w:eastAsia="Arial" w:hAnsi="Arial"/>
          <w:sz w:val="17"/>
          <w:szCs w:val="17"/>
          <w:color w:val="auto"/>
        </w:rPr>
        <w:t>Wholesale revenues include sales of products to retailers under owned, licensed and</w:t>
      </w:r>
      <w:r>
        <w:rPr>
          <w:rFonts w:ascii="Arial" w:cs="Arial" w:eastAsia="Arial" w:hAnsi="Arial"/>
          <w:sz w:val="17"/>
          <w:szCs w:val="17"/>
          <w:i w:val="1"/>
          <w:iCs w:val="1"/>
          <w:color w:val="auto"/>
        </w:rPr>
        <w:t xml:space="preserve"> </w:t>
      </w:r>
      <w:r>
        <w:rPr>
          <w:rFonts w:ascii="Arial" w:cs="Arial" w:eastAsia="Arial" w:hAnsi="Arial"/>
          <w:sz w:val="17"/>
          <w:szCs w:val="17"/>
          <w:color w:val="auto"/>
        </w:rPr>
        <w:t>private label brands, as well as sales related to the Vilebrequin and Karl Lagerfeld businesses, other than sales of the Karl Lagerfeld Paris brand from retail stores and digital outlets.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 arising from implicit or explicit obligations. Wholesale revenues also include revenues from license agreements related to the DKNY, Donna Karan, G.H. Bass, Andrew Marc, Karl Lagerfeld and Vilebrequin trademarks owned by the Company. As of July 31, 2022, revenues from license agreements represented an insignificant portion of wholesale revenues.</w:t>
      </w:r>
    </w:p>
    <w:p>
      <w:pPr>
        <w:spacing w:after="0" w:line="18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i w:val="1"/>
          <w:iCs w:val="1"/>
          <w:color w:val="auto"/>
        </w:rPr>
        <w:t xml:space="preserve">Retail Operations Segment. </w:t>
      </w:r>
      <w:r>
        <w:rPr>
          <w:rFonts w:ascii="Arial" w:cs="Arial" w:eastAsia="Arial" w:hAnsi="Arial"/>
          <w:sz w:val="17"/>
          <w:szCs w:val="17"/>
          <w:color w:val="auto"/>
        </w:rPr>
        <w:t>Retail store revenues are generated by direct sales to consumers through company-operated</w:t>
      </w:r>
      <w:r>
        <w:rPr>
          <w:rFonts w:ascii="Arial" w:cs="Arial" w:eastAsia="Arial" w:hAnsi="Arial"/>
          <w:sz w:val="17"/>
          <w:szCs w:val="17"/>
          <w:i w:val="1"/>
          <w:iCs w:val="1"/>
          <w:color w:val="auto"/>
        </w:rPr>
        <w:t xml:space="preserve"> </w:t>
      </w:r>
      <w:r>
        <w:rPr>
          <w:rFonts w:ascii="Arial" w:cs="Arial" w:eastAsia="Arial" w:hAnsi="Arial"/>
          <w:sz w:val="17"/>
          <w:szCs w:val="17"/>
          <w:color w:val="auto"/>
        </w:rPr>
        <w:t>stores and product sales through the Company’s digital channels for the DKNY, Donna Karan, G.H. Bass, Karl Lagerfeld Paris, Andrew Marc and Wilsons Leather businesses. Retail stores primarily consist of DKNY and Karl Lagerfeld Paris retail stores, substantially all of which are operated as outlet stores.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Company’s contract liabilities, which are recorded within accrued expenses in the accompanying condensed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$4.0 million, $4.3 million and $5.1 million at July 31, 2022, July 31, 2021 and January 31, 2022, respectively. The Company recognized $2.7 million in revenue for the three months ended July 31, 2022 related to contract liabilities that existed at April 30, 2022. The Company recognized $4.8 million in revenue for the six months ended July 31, 2022 related to contract liabilities that existed at January 31, 2022. There were no contract assets recorded as of July 31, 2022, July 31, 2021 and January 31, 2022. Substantially all of the advance payments from licensees as of July 31, 2022 are expected to be recognized as revenue within the next twelve months.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11 – Segments</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the Company’s owned, licensed and private label brands, as well as sales related to the Vilebrequin and Karl Lagerfeld businesses, other than sales of the Karl Lagerfeld Paris brand from retail stores and digital outlets. Wholesale revenues also include revenues from license agreements related to our owned trademarks including DKNY, Donna Karan, Vilebrequin, Karl Lagerfeld, G.H. Bass and Andrew Marc. The retail operations segment consists primarily of direct sales to consumers through Company-operated stores, which consists primarily of DKNY and Karl Lagerfeld Paris stores, as well as the digital channels for DKNY, Donna Karan, Karl Lagerfeld Paris, G.H. Bass, Andrew Marc and Wilsons Leather. Substantially all DKNY and Karl Lagerfeld Paris stores are operated as outlet stores.</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segment information is presented for the three-month periods indicated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b w:val="1"/>
                <w:bCs w:val="1"/>
                <w:color w:val="auto"/>
                <w:w w:val="93"/>
              </w:rPr>
              <w:t>Three Months Ended July 31, 2022</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5"/>
              </w:rPr>
              <w:t>Wholesale</w:t>
            </w:r>
          </w:p>
        </w:tc>
        <w:tc>
          <w:tcPr>
            <w:tcW w:w="18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Retail</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5"/>
          </w:tcPr>
          <w:p>
            <w:pPr>
              <w:jc w:val="center"/>
              <w:ind w:left="455"/>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(13,823)</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605,244</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375,090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(13,823)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376,318</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212,865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228,926</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169,677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191,041</w:t>
            </w:r>
          </w:p>
        </w:tc>
        <w:tc>
          <w:tcPr>
            <w:tcW w:w="2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Gain on lease terminations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b w:val="1"/>
                <w:bCs w:val="1"/>
                <w:color w:val="auto"/>
                <w:w w:val="93"/>
              </w:rPr>
              <w:t>Three Months Ended July 31, 2021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5"/>
              </w:rPr>
              <w:t>Wholesale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Total</w:t>
            </w: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5"/>
          </w:tcPr>
          <w:p>
            <w:pPr>
              <w:jc w:val="center"/>
              <w:ind w:left="455"/>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(11,217)</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483,081</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288,306</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13,114</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(11,217)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290,203</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192,878</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129,291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146,840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20" w:type="dxa"/>
            <w:vAlign w:val="bottom"/>
            <w:shd w:val="clear" w:color="auto" w:fill="CCEEFF"/>
          </w:tcPr>
          <w:p>
            <w:pPr>
              <w:spacing w:after="0"/>
              <w:rPr>
                <w:sz w:val="18"/>
                <w:szCs w:val="18"/>
                <w:color w:val="auto"/>
              </w:rPr>
            </w:pPr>
          </w:p>
        </w:tc>
      </w:tr>
      <w:tr>
        <w:trPr>
          <w:trHeight w:val="210"/>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Operating profit (loss)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43,330</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38,940</w:t>
            </w:r>
          </w:p>
        </w:tc>
        <w:tc>
          <w:tcPr>
            <w:tcW w:w="20" w:type="dxa"/>
            <w:vAlign w:val="bottom"/>
            <w:tcBorders>
              <w:top w:val="single" w:sz="8" w:color="auto"/>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3"/>
              </w:rPr>
              <w:t>Six Months Ended July 31, 2022</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5"/>
              </w:rPr>
              <w:t>Wholesale</w:t>
            </w:r>
          </w:p>
        </w:tc>
        <w:tc>
          <w:tcPr>
            <w:tcW w:w="18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Retail</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5"/>
          </w:tcPr>
          <w:p>
            <w:pPr>
              <w:jc w:val="center"/>
              <w:ind w:left="455"/>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1,268,859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(33,855)</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1,294,001</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823,860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(33,855)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819,036</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444,999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474,965</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331,495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376,458</w:t>
            </w:r>
          </w:p>
        </w:tc>
        <w:tc>
          <w:tcPr>
            <w:tcW w:w="2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12,751</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Gain on lease terminations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85,794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3"/>
              </w:rPr>
              <w:t>Six Months Ended July 31, 2021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5"/>
              </w:rPr>
              <w:t>Wholesale</w:t>
            </w:r>
          </w:p>
        </w:tc>
        <w:tc>
          <w:tcPr>
            <w:tcW w:w="18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Retail</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5"/>
          </w:tcPr>
          <w:p>
            <w:pPr>
              <w:jc w:val="center"/>
              <w:ind w:left="455"/>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(22,240)</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1,002,991</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614,127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(22,240)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614,644</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364,400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388,347</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254,625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288,443</w:t>
            </w:r>
          </w:p>
        </w:tc>
        <w:tc>
          <w:tcPr>
            <w:tcW w:w="2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14,142</w:t>
            </w:r>
          </w:p>
        </w:tc>
        <w:tc>
          <w:tcPr>
            <w:tcW w:w="20" w:type="dxa"/>
            <w:vAlign w:val="bottom"/>
          </w:tcPr>
          <w:p>
            <w:pPr>
              <w:spacing w:after="0"/>
              <w:rPr>
                <w:sz w:val="18"/>
                <w:szCs w:val="18"/>
                <w:color w:val="auto"/>
              </w:rPr>
            </w:pPr>
          </w:p>
        </w:tc>
      </w:tr>
      <w:tr>
        <w:trPr>
          <w:trHeight w:val="209"/>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97,476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bottom w:val="single" w:sz="8" w:color="auto"/>
            </w:tcBorders>
            <w:gridSpan w:val="2"/>
          </w:tcPr>
          <w:p>
            <w:pPr>
              <w:jc w:val="right"/>
              <w:ind w:right="2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85,762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2" w:lineRule="exact"/>
        <w:rPr>
          <w:sz w:val="20"/>
          <w:szCs w:val="20"/>
          <w:color w:val="auto"/>
        </w:rPr>
      </w:pPr>
    </w:p>
    <w:p>
      <w:pPr>
        <w:ind w:left="320" w:hanging="270"/>
        <w:spacing w:after="0"/>
        <w:tabs>
          <w:tab w:leader="none" w:pos="320" w:val="left"/>
        </w:tabs>
        <w:numPr>
          <w:ilvl w:val="0"/>
          <w:numId w:val="5"/>
        </w:numPr>
        <w:rPr>
          <w:rFonts w:ascii="Arial" w:cs="Arial" w:eastAsia="Arial" w:hAnsi="Arial"/>
          <w:sz w:val="24"/>
          <w:szCs w:val="24"/>
          <w:color w:val="auto"/>
          <w:vertAlign w:val="superscript"/>
        </w:rPr>
      </w:pPr>
      <w:r>
        <w:rPr>
          <w:rFonts w:ascii="Arial" w:cs="Arial" w:eastAsia="Arial" w:hAnsi="Arial"/>
          <w:sz w:val="16"/>
          <w:szCs w:val="16"/>
          <w:color w:val="auto"/>
        </w:rPr>
        <w:t>Represents intersegment sales to the Company’s retail operations segment.</w:t>
      </w:r>
    </w:p>
    <w:p>
      <w:pPr>
        <w:spacing w:after="0" w:line="200" w:lineRule="exact"/>
        <w:rPr>
          <w:rFonts w:ascii="Arial" w:cs="Arial" w:eastAsia="Arial" w:hAnsi="Arial"/>
          <w:sz w:val="24"/>
          <w:szCs w:val="24"/>
          <w:color w:val="auto"/>
          <w:vertAlign w:val="superscript"/>
        </w:rPr>
      </w:pPr>
    </w:p>
    <w:p>
      <w:pPr>
        <w:spacing w:after="0" w:line="223" w:lineRule="exact"/>
        <w:rPr>
          <w:rFonts w:ascii="Arial" w:cs="Arial" w:eastAsia="Arial" w:hAnsi="Arial"/>
          <w:sz w:val="24"/>
          <w:szCs w:val="24"/>
          <w:color w:val="auto"/>
          <w:vertAlign w:val="superscript"/>
        </w:rPr>
      </w:pPr>
    </w:p>
    <w:p>
      <w:pPr>
        <w:ind w:left="4420"/>
        <w:spacing w:after="0"/>
        <w:rPr>
          <w:rFonts w:ascii="Arial" w:cs="Arial" w:eastAsia="Arial" w:hAnsi="Arial"/>
          <w:sz w:val="24"/>
          <w:szCs w:val="24"/>
          <w:color w:val="auto"/>
          <w:vertAlign w:val="superscript"/>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total net sales by licensed and proprietary product sales for each of the Company’s reportable segments are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1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July 31, 2022</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July 31, 2021</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July 31, 2022</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0"/>
              </w:rPr>
              <w:t>July 31, 2021</w:t>
            </w:r>
          </w:p>
        </w:tc>
      </w:tr>
      <w:tr>
        <w:trPr>
          <w:trHeight w:val="128"/>
        </w:trPr>
        <w:tc>
          <w:tcPr>
            <w:tcW w:w="4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gridSpan w:val="4"/>
          </w:tcPr>
          <w:p>
            <w:pPr>
              <w:jc w:val="right"/>
              <w:ind w:right="575"/>
              <w:spacing w:after="0" w:line="129"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Licensed brands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652,428</w:t>
            </w:r>
          </w:p>
        </w:tc>
      </w:tr>
      <w:tr>
        <w:trPr>
          <w:trHeight w:val="216"/>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Proprietary brands</w:t>
            </w: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270,874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155,750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535,127</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326,099</w:t>
            </w:r>
          </w:p>
        </w:tc>
      </w:tr>
      <w:tr>
        <w:trPr>
          <w:trHeight w:val="209"/>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Wholesale net sales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587,955</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467,013</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1,268,859</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978,527</w:t>
            </w:r>
          </w:p>
        </w:tc>
      </w:tr>
      <w:tr>
        <w:trPr>
          <w:trHeight w:val="20"/>
        </w:trPr>
        <w:tc>
          <w:tcPr>
            <w:tcW w:w="4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4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Licensed brands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r>
      <w:tr>
        <w:trPr>
          <w:trHeight w:val="216"/>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Proprietary brands</w:t>
            </w: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58,997</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31,524</w:t>
            </w:r>
          </w:p>
        </w:tc>
      </w:tr>
      <w:tr>
        <w:trPr>
          <w:trHeight w:val="21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 net sales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31,112</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27,285</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58,997</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46,704</w:t>
            </w:r>
          </w:p>
        </w:tc>
      </w:tr>
      <w:tr>
        <w:trPr>
          <w:trHeight w:val="20"/>
        </w:trPr>
        <w:tc>
          <w:tcPr>
            <w:tcW w:w="4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total assets for each of the Company’s reportable segments, as well as assets not allocated to a segment, are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31, 2022</w:t>
            </w:r>
          </w:p>
        </w:tc>
        <w:tc>
          <w:tcPr>
            <w:tcW w:w="1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31, 2021</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January 31, 2022</w:t>
            </w:r>
          </w:p>
        </w:tc>
      </w:tr>
      <w:tr>
        <w:trPr>
          <w:trHeight w:val="142"/>
        </w:trPr>
        <w:tc>
          <w:tcPr>
            <w:tcW w:w="4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2,410,042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1,483,087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2,073,834</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118,923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86,577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111,517</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553,389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983,922</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557,177</w:t>
            </w:r>
          </w:p>
        </w:tc>
      </w:tr>
      <w:tr>
        <w:trPr>
          <w:trHeight w:val="210"/>
        </w:trPr>
        <w:tc>
          <w:tcPr>
            <w:tcW w:w="49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3,082,354</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2,553,586</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2,742,528</w:t>
            </w: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12 – Stockholders’ Equity</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For the three months ended July 31, 2022, the Company issued no shares of common stock and utilized 111,583 shares of treasury stock in connection with the vesting of equity awards. For the three months ended July 31, 2021, the Company issued no shares of common stock and utilized 189,313 shares of treasury stock in connection with the vesting of equity awards. For the six months ended July 31, 2022, the Company issued no shares of common stock and utilized 383,119 shares of treasury stock in connection with the vesting of equity awards. For the six months ended July 31, 2021, the Company issued no shares of common stock and utilized 189,471 shares of treasury stock in connection with the vesting of equity awards.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13 – Canadian Customs Duty Examination</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October 2017, the Canada Border Service Agency (“CBSA”) issued a final audit report to G-III Apparel Canada ULC (“G-III Canada”), a wholly-owned subsidiary of the Company. The report challenged the valuation used by G-III Canada for certain goods imported into Canada. The period covered by the examination is February 1, 2014 through October 27, 2017, the date of the final report. The CBSA requested that G-III Canada reassess its customs entries for that period using the price paid or payable by the Canadian retail customers for certain imported goods rather than the price paid by G-III Canada to the vendor. The CBSA also requested that G-III Canada change the valuation method used to pay duties with respect to goods imported in the future.</w:t>
      </w:r>
    </w:p>
    <w:p>
      <w:pPr>
        <w:spacing w:after="0" w:line="19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March 2018, G-III Canada provided a bond to guarantee payment to the CBSA for additional duties payable as a result of the reassessment required by the final audit report. The Company secured a bond in the amount of CAD$26.9 million ($20.9 million) representing customs duty and interest through December 31, 2017 that is claimed to be owed to the CBSA. In March 2018, the Company amended the duties filed for the month of January 2018 based on the new valuation method. This amount was paid to the CBSA. Beginning February 1, 2018, the Company began paying duties based on the new valuation method. There were no amounts paid and deferred for the three and six months ended July 31, 2022 related to the higher dutiable values, however, the Company paid interest in the amount of CAD$1.0 million (US$0.8 million) on the additional duties for the period January 15, 2018 through November 25, 2020, the date of the CBSA’s final decision as discussed below. Cumulative amounts paid and deferred through July 31, 2022, related to the higher dutiable values, were CAD$14.8 million (US$11.6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Effective June 1, 2019, G-III commenced paying based on the dutiable value of G-III Canada’s imports based on the pre-audit levels. G-III continued to defer the additional duty paid through the month of May 2019 pending the final outcome of the appeal.</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CBSA issued its final decision denying the appeal filed by G-III Canada with the President’s Office of the CBSA and G-III Canada filed a Notice of Appeal with the Canadian International Trade Tribunal (the “Tribunal”) further appealing the CBSA decision. A hearing on the appeal was held on December 7, 2021. On August 22, 2022, the Tribunal ruled in favor of G-III Canada and G-III Canada’s appeal has been allowed by the Tribunal. The CBSA has until November 21, 2022 to appeal the decision.</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G-III Canada, based on the advice of counsel, believes it has positions that support its valuations for duty as declared and therefore its ability to receive a refund of amounts claimed to be owed to the CBSA.</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14 – Recent Adopted and Issued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was no accounting guidance adopted during the three months ended July 31, 2022.</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Issued Accounting Guidance Being Evaluated for Adoption</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March 2020, the Financial Accounting Standards Board issued ASU 2020-04, “Facilitation of the Effects of Reference Rate Reform on Financial Reporting” and in January 2021, issued ASU 2021-01, “Reference Rate Reform: Scope”. Both of these updates aim to ease the potential burden in accounting for reference rate reform. These updates provide optional expedients and exceptions, if certain criteria are met, for applying accounting principles generally accepted in the United States to contract modifications, hedging relationships and other transactions affected by the expected market transition from the London Interbank Offered Rate (“LIBOR”) and other interbank offered rates to alternative reference rates, such as the Secured Overnight Financing Rate (“SOFR”). The amendments were effective upon issuance and allow companies to adopt the amendments on a prospective basis through December 31, 2022. The Company has not applied this ASU to any existing contracts in the current year. As of July 31, 2022, the Company had availability of approximately $580 million under its revolving credit facility. The interest rate under this facility is indexed to LIBOR. As such, the revolving credit facility is likely to be impacted when LIBOR quotations cease to be available. The Company is evaluating the impact that the guidance will have on its condensed consolidated financial statements and related disclosures and currently does not expect that any impact would be material.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Unless the context otherwise requires, “G-III,” “us,” “we” and “our” refer to G-III Apparel Group, Ltd. and its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References to fiscal years refer to the year ended or ending on January 31 of that year. For example, our fiscal year ending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January 31, 2023 is referred to as “fiscal 2023.”</w:t>
      </w:r>
    </w:p>
    <w:p>
      <w:pPr>
        <w:spacing w:after="0" w:line="21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Vilebrequin, KLH, Fabco and Sonia Rykiel report results on a calendar year basis rather than on the January 31 fiscal year basis used by G-III. Accordingly, the results of Vilebrequin, KLH, Fabco and Sonia Rykiel are, and will be, included in our financial statements for the quarter ended or ending closest to G-III’s fiscal quarter end. For example, with respect to our results for the six-month period ended July 31, 2022, the results of Vilebrequin, Fabco and Sonia Rykiel are included for the six-month period ended June 30, 2022 and for KLH for the period from the date of acquisition to June 30, 2022. We accounted for our investment in each of KLH and KLNA using the equity method of accounting through May 30, 2022. As of May 31, 2022, KLH is accounted for as our consolidated wholly-owned subsidiary and KLNA is an indirect wholly-owned subsidiary of ours. Our retail operations segment uses a 52/53-week fiscal year. For fiscal 2023 and 2022, the three and six-month period for the retail operations segment were each 13-week and 26-week periods and ended on July 30, 2022 and August 1, 2021, respectively.</w:t>
      </w:r>
    </w:p>
    <w:p>
      <w:pPr>
        <w:spacing w:after="0" w:line="18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181" w:lineRule="exact"/>
        <w:rPr>
          <w:sz w:val="20"/>
          <w:szCs w:val="20"/>
          <w:color w:val="auto"/>
        </w:rPr>
      </w:pPr>
    </w:p>
    <w:p>
      <w:pPr>
        <w:jc w:val="both"/>
        <w:ind w:left="720" w:right="79" w:hanging="319"/>
        <w:spacing w:after="0" w:line="255"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global health crisis caused by the COVID-19 pandemic has had, and the current and uncertain future outlook of the outbreak will likely continue to have, adverse effects on our business, financial condition and results of operations;</w:t>
      </w:r>
    </w:p>
    <w:p>
      <w:pPr>
        <w:spacing w:after="0" w:line="2" w:lineRule="exact"/>
        <w:rPr>
          <w:rFonts w:ascii="Arial" w:cs="Arial" w:eastAsia="Arial" w:hAnsi="Arial"/>
          <w:sz w:val="18"/>
          <w:szCs w:val="18"/>
          <w:color w:val="auto"/>
        </w:rPr>
      </w:pPr>
    </w:p>
    <w:p>
      <w:pPr>
        <w:ind w:left="720" w:right="459" w:hanging="319"/>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failure to maintain our material license agreements could cause us to lose significant revenues and have a material adverse effect on our results of operations;</w:t>
      </w: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9" w:lineRule="exact"/>
        <w:rPr>
          <w:rFonts w:ascii="Arial" w:cs="Arial" w:eastAsia="Arial" w:hAnsi="Arial"/>
          <w:sz w:val="18"/>
          <w:szCs w:val="18"/>
          <w:color w:val="auto"/>
        </w:rPr>
      </w:pPr>
    </w:p>
    <w:p>
      <w:pPr>
        <w:ind w:left="720" w:right="319" w:hanging="319"/>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adverse change in our relationship with PVH and its Calvin Klein or Tommy Hilfiger brands would have a material adverse effect on our results of operations;</w:t>
      </w:r>
    </w:p>
    <w:p>
      <w:pPr>
        <w:jc w:val="both"/>
        <w:ind w:left="720" w:right="519" w:hanging="319"/>
        <w:spacing w:after="0" w:line="28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relating to our wholesale operations including, among others, maintaining the image of our proprietary brands, business practices of our customers that could adversely affect us and retail customer concentration;</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relating to our retail operations segment;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achieve operating enhancements and cost reductions from our retail operations;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9" w:lineRule="exact"/>
        <w:rPr>
          <w:rFonts w:ascii="Arial" w:cs="Arial" w:eastAsia="Arial" w:hAnsi="Arial"/>
          <w:sz w:val="18"/>
          <w:szCs w:val="18"/>
          <w:color w:val="auto"/>
        </w:rPr>
      </w:pPr>
    </w:p>
    <w:p>
      <w:pPr>
        <w:ind w:left="720" w:right="739" w:hanging="319"/>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 including our recent acquisition of the remaining interest in KLH;</w:t>
      </w: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of operating through joint ventures;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nature of our business and effect of unseasonable or extreme weather on our business;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adverse effects from disruptions to the worldwide supply chain;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 that our licensees may not generate expected sales or maintain the value of our brands;</w:t>
      </w:r>
    </w:p>
    <w:p>
      <w:pPr>
        <w:spacing w:after="0" w:line="9" w:lineRule="exact"/>
        <w:rPr>
          <w:rFonts w:ascii="Arial" w:cs="Arial" w:eastAsia="Arial" w:hAnsi="Arial"/>
          <w:sz w:val="18"/>
          <w:szCs w:val="18"/>
          <w:color w:val="auto"/>
        </w:rPr>
      </w:pPr>
    </w:p>
    <w:p>
      <w:pPr>
        <w:ind w:left="720" w:right="259" w:hanging="319"/>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current economic environment on us, our customers, suppliers and vendors, including without limitation, the effects of inflationary cost pressures;</w:t>
      </w:r>
    </w:p>
    <w:p>
      <w:pPr>
        <w:ind w:left="720" w:right="279" w:hanging="319"/>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effects of war, acts of terrorism, natural disasters or public health crises could adversely affect our business and results of operations;</w:t>
      </w: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foreign manufacturers;</w:t>
      </w:r>
    </w:p>
    <w:p>
      <w:pPr>
        <w:sectPr>
          <w:pgSz w:w="11900" w:h="16838" w:orient="portrait"/>
          <w:cols w:equalWidth="0" w:num="1">
            <w:col w:w="9019"/>
          </w:cols>
          <w:pgMar w:left="1440" w:top="517" w:right="1440"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risks of expansion into foreign markets, conducting business internationally and exposures to foreign currencies;</w:t>
      </w:r>
    </w:p>
    <w:p>
      <w:pPr>
        <w:spacing w:after="0" w:line="46" w:lineRule="exact"/>
        <w:rPr>
          <w:rFonts w:ascii="Arial" w:cs="Arial" w:eastAsia="Arial" w:hAnsi="Arial"/>
          <w:sz w:val="16"/>
          <w:szCs w:val="16"/>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the adoption of a national security law in Hong Kong;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9" w:lineRule="exact"/>
        <w:rPr>
          <w:rFonts w:ascii="Arial" w:cs="Arial" w:eastAsia="Arial" w:hAnsi="Arial"/>
          <w:sz w:val="18"/>
          <w:szCs w:val="18"/>
          <w:color w:val="auto"/>
        </w:rPr>
      </w:pPr>
    </w:p>
    <w:p>
      <w:pPr>
        <w:ind w:left="720" w:right="39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exposure to consumer privacy, cybersecurity and fraud concerns, including as a result of the remote working environment;</w:t>
      </w: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possible adverse effects of data security or privacy breaches;</w:t>
      </w:r>
    </w:p>
    <w:p>
      <w:pPr>
        <w:spacing w:after="0" w:line="9" w:lineRule="exact"/>
        <w:rPr>
          <w:rFonts w:ascii="Arial" w:cs="Arial" w:eastAsia="Arial" w:hAnsi="Arial"/>
          <w:sz w:val="18"/>
          <w:szCs w:val="18"/>
          <w:color w:val="auto"/>
        </w:rPr>
      </w:pPr>
    </w:p>
    <w:p>
      <w:pPr>
        <w:ind w:left="720" w:right="9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on our business of the imposition of tariffs by the United States government and the escalation of trade tensions between countries;</w:t>
      </w: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the audit by the Canadian Border Services Agency;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legislation or exposure to additional tax liabilities could impact our business;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focus on corporate responsibility issues by stakeholders;</w:t>
      </w:r>
    </w:p>
    <w:p>
      <w:pPr>
        <w:spacing w:after="0" w:line="9" w:lineRule="exact"/>
        <w:rPr>
          <w:rFonts w:ascii="Arial" w:cs="Arial" w:eastAsia="Arial" w:hAnsi="Arial"/>
          <w:sz w:val="18"/>
          <w:szCs w:val="18"/>
          <w:color w:val="auto"/>
        </w:rPr>
      </w:pPr>
    </w:p>
    <w:p>
      <w:pPr>
        <w:ind w:left="720" w:right="23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effect on the price of our stock if actual results are worse than financial forecasts or if we are unable to provide financial forecasts;</w:t>
      </w: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9" w:lineRule="exact"/>
        <w:rPr>
          <w:rFonts w:ascii="Arial" w:cs="Arial" w:eastAsia="Arial" w:hAnsi="Arial"/>
          <w:sz w:val="18"/>
          <w:szCs w:val="18"/>
          <w:color w:val="auto"/>
        </w:rPr>
      </w:pPr>
    </w:p>
    <w:p>
      <w:pPr>
        <w:ind w:left="720" w:right="31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impairment of our goodwill, trademarks or other intangibles may require us to record charges against earnings; and</w:t>
      </w: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our indebtedness.</w:t>
      </w:r>
    </w:p>
    <w:p>
      <w:pPr>
        <w:spacing w:after="0" w:line="21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2022. We undertake no obligation to publicly update or revise any forward-looking statements, whether as a result of new information, future events or otherwise, except as required by law.</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We are not only licensees, but also brand owners, and we distribute our products through multiple channels.</w:t>
      </w:r>
    </w:p>
    <w:p>
      <w:pPr>
        <w:spacing w:after="0" w:line="16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own proprietary brands include DKNY, Donna Karan, Karl Lagerfeld, Vilebrequin, G.H. Bass, Eliza J, Jessica Howard, Andrew Marc, Marc New York, Wilsons Leather and Sonia Rykiel. We sell products under an extensive portfolio of well-known licensed brands, including Calvin Klein, Tommy Hilfiger, Levi’s, Guess?, Kenneth Cole, Cole Haan, Vince Camuto and Dockers.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products are sold through a cross section of leading retailers such as Macy’s, including its Bloomingdale’s division, Dillard’s, Hudson’s Bay Company, including their Saks Fifth Avenue division, Nordstrom, Kohl’s, TJX Companies, Ross Stores and Burlington. We also sell our products using digital channels through retail partners such as macys.com, nordstrom.com and dillards.com, each of which has a substantial online business. In addition, we sell to leading online retail partners such as Amazon, Fanatics, Zalando and Zappos.</w:t>
      </w:r>
    </w:p>
    <w:p>
      <w:pPr>
        <w:spacing w:after="0" w:line="18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also distribute apparel and other products directly to consumers through our DKNY, Karl Lagerfeld, Karl Lagerfeld Paris and Vilebrequin retail stores, as well as through our digital channels for the DKNY, Donna Karan, Karl Lagerfeld, Karl Lagerfeld Paris, Vilebrequin, G.H. Bass, Andrew Marc, Wilsons Leather and Sonia Rykiel businesses.</w:t>
      </w:r>
    </w:p>
    <w:p>
      <w:pPr>
        <w:spacing w:after="0" w:line="16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We operate in fashion markets that are intensely competitive. Our ability to continuously evaluate and respond to changing consumer demands and tastes, across multiple market segments, distribution channels and geographic areas is critical to</w:t>
      </w:r>
    </w:p>
    <w:p>
      <w:pPr>
        <w:sectPr>
          <w:pgSz w:w="11900" w:h="16838" w:orient="portrait"/>
          <w:cols w:equalWidth="0" w:num="1">
            <w:col w:w="9019"/>
          </w:cols>
          <w:pgMar w:left="1440" w:top="517"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8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We focus our efforts on the sale of products under our five power brands. Effective May 31, 2022, we own three of our power brands (DKNY, Donna Karan and Karl Lagerfeld) and license two of our power brands (Calvin Klein and Tommy Hilfiger). It is our objective to continue to expand our product offerings and we are continually discussing new licensing opportunities with brand owners and seeking to acquire established brands.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April 29, 2022, we entered into a share purchase agreement (the “Purchase Agreement”) with a group of investors pursuant to which we agreed to acquire, on the terms set forth and subject to the conditions set forth in the Purchase Agreement, the remaining 81% in interests in KLH that we did not already own, for an aggregate consideration of €202.0 million ($216.8 million) in cash, subject to certain adjustments. The acquisition closed on May 31, 2022. We funded the purchase price from cash on hand. See Note 6 – Karl Lagerfeld Acquisition in the accompanying Notes to Condensed Consolidated Financial Statements for more information.</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addition of the iconic Karl Lagerfeld fashion brand to the G-III portfolio advances several of our key priorities, including increasing the direct ownership of brands, capitalizing on their licensing opportunities and further diversifying our global presence. This acquisition represents a significant opportunity to expand our international growth by further developing our European-based brands, which already include Vilebrequin and Sonia Rykiel. We also believe that Karl Lagerfeld’s existing digital channel presence could enable us to enhance our omni-channel business and further accelerate our digital priorities. The influential legacy of the Karl Lagerfeld brand embodies a creative expression that aligns with our goal to provide innovative products for our customers.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report based on two segments: wholesale operations and retail operations.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wholesale operations segment includes sales of products to retailers under owned, licensed and private label brands, as well as sales related to the Vilebrequin and Karl Lagerfeld businesses, other than sales of the Karl Lagerfeld Paris brand from retail stores and digital outlets. Wholesale revenues also include royalty revenues from license agreements related to our owned trademarks including DKNY, Donna Karan, Karl Lagerfeld, Vilebrequin, G.H. Bass and Andrew Marc.</w:t>
      </w:r>
    </w:p>
    <w:p>
      <w:pPr>
        <w:spacing w:after="0" w:line="15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Our retail operations segment consists primarily of direct sales to consumers through our company-operated stores and through digital channels. Our company-operated stores consists primarily of DKNY and Karl Lagerfeld Paris stores, as well as the digital channels for DKNY, Donna Karan, Karl Lagerfeld Paris, G.H. Bass, Andrew Marc and Wilsons Leather. Substantially all DKNY and Karl Lagerfeld Paris stores are operated as outlet stores.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 Affecting Our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Industry Trends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w:t>
      </w:r>
    </w:p>
    <w:p>
      <w:pPr>
        <w:spacing w:after="0" w:line="16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sell our products online through retail partners such as macys.com, nordstrom.com and dillards.com, each of which has a substantial online business. As sales of apparel through digital channels continue to increase, we are developing additional digital marketing initiatives on our web sites and through social media. We are investing in digital personnel,</w:t>
      </w:r>
    </w:p>
    <w:p>
      <w:pPr>
        <w:sectPr>
          <w:pgSz w:w="11900" w:h="16838" w:orient="portrait"/>
          <w:cols w:equalWidth="0" w:num="1">
            <w:col w:w="9019"/>
          </w:cols>
          <w:pgMar w:left="1440" w:top="51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marketing, logistics, planning, distribution and other strategic opportunities to expand our digital footprint. Our digital business consists of our own web platforms at www.dkny.com, www.donnakaran.com, www.ghbass.com, www.vilebrequin.com, www.andrewmarc.com, www.wilsonsleather.com and www.soniarykiel.com. We also sell Karl Lagerfeld Paris products on our www.karllagerfeldparis.com website and Karl Lagerfeld products on our www.karl.com website. In addition, we sell to leading online retail partners such as Amazon, Fanatics, Zalando and Zappos and have made minority investments in two different e-commerce retailers.</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 number of retailers have experienced financial difficulties, which in some cases have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spacing w:after="0" w:line="18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have attempted to respond to general trends in our industry by continuing to focus on selling products with recognized brand equity, by attention to design, quality and value and by improving our sourcing capabilities. We have also responded with the strategic acquisitions made by us, such as our recent purchase of the interests not owned by us that resulted in Karl Lagerfeld becoming a wholly-owned subsidiary,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Inflation</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 xml:space="preserve">Inflationary pressures have impacted the entire economy, including our industry. We are experiencing increased costs in many aspects of our business, including our freight costs as discussed below under </w:t>
      </w:r>
      <w:r>
        <w:rPr>
          <w:rFonts w:ascii="Arial" w:cs="Arial" w:eastAsia="Arial" w:hAnsi="Arial"/>
          <w:sz w:val="17"/>
          <w:szCs w:val="17"/>
          <w:i w:val="1"/>
          <w:iCs w:val="1"/>
          <w:color w:val="auto"/>
        </w:rPr>
        <w:t>“Supply Chain”</w:t>
      </w:r>
      <w:r>
        <w:rPr>
          <w:rFonts w:ascii="Arial" w:cs="Arial" w:eastAsia="Arial" w:hAnsi="Arial"/>
          <w:sz w:val="17"/>
          <w:szCs w:val="17"/>
          <w:color w:val="auto"/>
        </w:rPr>
        <w:t>. We expect inflationary pressures to continue to impact our business throughout fiscal 2023. We have implemented price increases on many of our products. Our price increases are an effort to mitigate the effect of higher costs, although, the impact of price increases on consumer demand and on our business and results of operations is uncertain.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fluctuation</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consolidated operations are impacted by the relationships between our reporting currency, the U.S. Dollar, and those of our non-United States subsidiaries whose functional/local currency is other than the U.S. Dollar, primarily the Euro. We continue to expect volatility in the global foreign currency exchange rates, which may have a negative impact on the reported results of certain of our non-United States subsidiaries in the future, when translated to the U.S. Dollar.</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Supply Chain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Numerous factors disrupting the shipping industry have negatively affected transit times from our overseas suppliers, as well as our ability to ensure that we are able to import our product in a manner that allows for timely delivery to our customers. Congestion at ports of origin and ports of entry have caused significant changes to the itineraries of our steamship carriers. Truck driver shortages, shortages of truck equipment such as the chassis that the containers are transported on, and the inability of ports to provide reliable pick uptimes, have also negatively impacted our ability to timely receive goods.</w:t>
      </w:r>
    </w:p>
    <w:p>
      <w:pPr>
        <w:spacing w:after="0" w:line="192"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Our shipping costs have increased as a result of higher contractual shipping rates resulting from increased demand for container space and the need to purchase additional container space on the secondary market at spot rates. While increased spot rates have moderated, they are still higher than pre-pandemic levels. Our ability to secure container space has</w:t>
      </w:r>
    </w:p>
    <w:p>
      <w:pPr>
        <w:sectPr>
          <w:pgSz w:w="11900" w:h="16838" w:orient="portrait"/>
          <w:cols w:equalWidth="0" w:num="1">
            <w:col w:w="9019"/>
          </w:cols>
          <w:pgMar w:left="1440" w:top="51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improved. However, even when we are able to secure space, ports around the world are experiencing congestion, slowing transit times of product through ports of origin and ports of entry which negatively affects our ability to timely receive and deliver product to our retail partners and customers.</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a result of these supply chain disruptions, we have accelerated production schedules to allow for more lead time and accommodate the anticipated extended transit times from our overseas suppliers in an effort to import our product in a manner that allows for timely delivery to our customers. Product has been received earlier than anticipated due to the accelerated production schedules and transit times that were not delayed as much as planned. As a result, our inventory levels are higher than expected.</w:t>
      </w:r>
    </w:p>
    <w:p>
      <w:pPr>
        <w:spacing w:after="0" w:line="18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elevated inventory levels are resulting in storage and process capacity pressures within our distribution centers. We expect these issues to continue into the first half of calendar 2023. As a result of these expected pressures, our operations may be less efficient, and as a result, we expect to incur additional labor, outside storage and other costs.</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recently executed new contracts with two of our long-term steamship carrier partners and are continuing to pursue new carrier relationships for additional capacity. We expect that our existing carriers will manage the demand in a more efficient manner in fiscal 2023 and, as a result, our reliance on the secondary market will be reduced. We are actively managing shipments based on delivery dates to better utilize contracted cargo space and attempt to reduce our reliance on the secondary market.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continued impact of the COVID-19 pandemic on our business operations remains uncertain and cannot be predicted. The extent to which COVID-19 impacts our results will depend on continued developments in the United States and around the world in the public and private responses to the pandemic. New information may emerge concerning the severity of the outbreak and the spread of variants, including the Delta, Omicron or other variants, of the COVID-19 virus in locations that are important to our business. Actions taken to contain COVID-19 or treat its impact may change or become more restrictive if additional waves of infections occur.</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 in Ukraine</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current war in Ukraine and the continued threat of terrorism, heightened security measures and military action in response to acts of terrorism or civil unrest has, at times, disrupted commerce and intensified concerns regarding the United States and world economies. Less than 1% of our revenue in fiscal 2022 was generated in Russia and Ukraine. As such, we do not expect that the war in Ukraine will have a direct material negative impact on our results of operations in fiscal 2023. However, the war has also led to, and may lead to further, broader unfavorable macroeconomic implications, including unfavorable foreign exchange rates, increases in fuel prices, food shortages, a weakening of the European economy and volatility in financial markets. These implications of the war in Ukraine could have a material adverse effect on our business and our results of operations.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July 31, 2022 compared to three months ended July 31, 2021</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Net sales for the three months ended July 31, 2022 increased to $605.2 million from $483.1 million in the same period last year. Net sales of our segments are reported before intercompany eliminations.</w:t>
      </w:r>
    </w:p>
    <w:p>
      <w:pPr>
        <w:spacing w:after="0" w:line="170"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Net sales of our wholesale operations segment increased to $588 million for the three months ended July 31, 2022 from $467 million in the comparable period last year. This increase is primarily the result of a $32.3 million increase in net sales of our DKNY and Donna Karan products, a $23.1 million increase in net sales of Calvin Klein licensed products, a $9.9 million increase in net sales of Karl Lagerfeld Paris products and a $3.6 million increase in net sales of Tommy Hilfiger licensed products. The increase in sales of DKNY/Donna Karan products was primarily related to dresses, handbags and jeanswear. The increase in sales of Calvin Klein products was primarily related to dresses, women’s suits and handbags. The increase in sales of Karl Lagerfeld Paris products was primarily related to handbags, men’s outerwear and sportswear. The increase in sales of Tommy Hilfiger products was primarily related to suits, jeanswear and women’s outerwear.</w:t>
      </w:r>
    </w:p>
    <w:p>
      <w:pPr>
        <w:sectPr>
          <w:pgSz w:w="11900" w:h="16838" w:orient="portrait"/>
          <w:cols w:equalWidth="0" w:num="1">
            <w:col w:w="9019"/>
          </w:cols>
          <w:pgMar w:left="1440" w:top="517"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Additionally, the inclusion of the results of KLH for one month in the period increased net sales of our wholesale operations segment by $17.3 million.</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Net sales of our retail operations segment increased to $31.1 million for the three months ended July 31, 2022 from $27.3 million in the same period last year. This increase is primarily due to an increase in our store count in the current year. The number of retail stores operated by us increased from 50 at July 31, 2021 to 59 at July 31, 2022. In addition, the continued recovery from the COVID-19 pandemic resulted in increased store traffic and comparable store sales increases during the three months ended July 31, 2022 compared to the same period last year.</w:t>
      </w:r>
    </w:p>
    <w:p>
      <w:pPr>
        <w:spacing w:after="0" w:line="1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Gross profit was $228.9 million, or 37.8% of net sales, for the three months ended July 31, 2022, compared to $192.9 million, or 39.9% of net sales, in the same period last year. The gross profit percentage in our wholesale operations segment was 36.2% in the three months ended July 31, 2022 compared to 38.3% in the same period last year. The gross profit percentage in the current year period was negatively impacted by inflationary pressure on product costs and increased freight costs, partially offset by benefits from less promotional activity and the implementation of price increases by us. The gross profit percentage in our retail operations segment was 51.6% for the three months ended July 31, 2022 compared to 51.9% for the same period last year.</w:t>
      </w:r>
    </w:p>
    <w:p>
      <w:pPr>
        <w:spacing w:after="0" w:line="19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Selling, general and administrative expenses increased to $191.0 million in the three months ended July 31, 2022 from $146.8 million in the same period last year. The increase in expenses was primarily due to an increase of $15.8 million in compensation expense, primarily from increased salary and bonus expense accruals. The increase in expenses was also due to a $13.5 million increase in third-party warehouse and facility expenses primarily related to higher inventory levels and increased shipping volume and a $7.5 million increase in advertising related to increased sales. Additionally, the inclusion of the results of KLH for one month in the period increased selling, general and administrative expenses by $10.4 million which included $5.0 million of compensation expense, primarily related to bonus accruals, and $1.0 million of acquisition related expenses.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Depreciation and amortization was $6.7 million for the three months ended July 31, 2022 compared to $7.1 million in the same period last year. This decrease primarily relates to a reduction in capital expenditures during the COVID-19 pandemic.</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Other income was $30.3 million in the three months ended July 31, 2022 compared to other income of $2.0 million for the same period last year. Other income in the current period consisted of a gain of $30.9 million during the three months ended July 31, 2022 as a result of the remeasurement of our previously held 19% investment in KLH and 49% investment in KLNA as of the effective date of the acquisition. We recorded $2.0 million of foreign currency losses during the three months ended July 31, 2022 compared to foreign currency losses of $0.4 million during the same period last year. We recorded $0.3 million in income from unconsolidated affiliates during the three months ended July 31, 2022 compared to $1.8 million in income from unconsolidated affiliates in the same period last year. In addition, we recorded $1.0 million in income from net gains on investments in equity securities. Additionally, we recorded other income of $0.6 million from non-refundable European government-backed grants received by Vilebrequin for COVID-19 relief during the three months ended July 31, 2022.</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and financing charges, net, were $12.6 million for both the three months ended July 31, 2022 and 2021.</w:t>
      </w:r>
    </w:p>
    <w:p>
      <w:pPr>
        <w:spacing w:after="0" w:line="225"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Income tax expense was $13.0 million for the three months ended July 31, 2022 compared to $9.2 million for the same period last year. Our effective tax rate decreased to 26.4% in the current year’s quarter from 32.6% in last year’s comparable quarter. This decrease is primarily due to an increase in forecasted foreign pretax income, which is taxed at a lower tax rate compared to the tax rates associated with income based in the United States.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Six months ended July 31, 2022 compared to six months ended July 31,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sales for the six months ended July 31, 2022 increased to $1.29 billion from $1.0 billion in the same period last year.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sales of our segments are reported before intercompany eliminations.</w:t>
      </w:r>
    </w:p>
    <w:p>
      <w:pPr>
        <w:spacing w:after="0" w:line="211"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Net sales of our wholesale operations segment increased to $1.27 billion for the six months ended July 31, 2022 from $978.5 million in the comparable period last year. This increase is primarily the result of a $90.1 million increase in net</w:t>
      </w:r>
    </w:p>
    <w:p>
      <w:pPr>
        <w:sectPr>
          <w:pgSz w:w="11900" w:h="16838" w:orient="portrait"/>
          <w:cols w:equalWidth="0" w:num="1">
            <w:col w:w="9019"/>
          </w:cols>
          <w:pgMar w:left="1440" w:top="51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sales of Calvin Klein licensed products, a $60.2 million increase in net sales of our DKNY and Donna Karan products, a $30.8 million increase in net sales of Karl Lagerfeld Paris products and a $18.4 million increase in net sales of Tommy Hilfiger licensed products. The increase in sales of Calvin Klein products was primarily related to dresses, women’s suits and handbags. The increase in sales of DKNY/Donna Karan products was primarily related to dresses, handbags and swimwear. The increase in sales of Karl Lagerfeld Paris products was primarily related to handbags, men’s outerwear and sportswear. The increase in sales of Tommy Hilfiger products was primarily related to suits, jeanswear and dresses. Additionally, the inclusion of the results of KLH for one month in the period increased net sales of our wholesale operations segment by $17.3 million.</w:t>
      </w:r>
    </w:p>
    <w:p>
      <w:pPr>
        <w:spacing w:after="0" w:line="192"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Net sales of our retail operations segment increased to $59.0 million for the six months ended July 31, 2022 from $46.7 million in the same period last year. This increase is primarily due to an increase in our store count in the current year. The number of retail stores operated by us increased from 50 at July 31, 2021 to 59 at July 31, 2022. In addition, the continued recovery from the COVID-19 pandemic resulted in increased store traffic and comparable store sales increases during the three months ended July 31, 2022 compared to the same period last year.</w:t>
      </w:r>
    </w:p>
    <w:p>
      <w:pPr>
        <w:spacing w:after="0" w:line="1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Gross profit was $475.0 million, or 36.7% of net sales, for the six months ended July 31, 2022, compared to $388.3 million, or 36.7% of net sales, in the same period last year. The gross profit percentage in our wholesale operations segment was 35.1% in the six months ended July 31, 2022 compared to 37.2% in the same period last year. The gross profit percentage in the current year period was negatively impacted by inflationary pressure on product costs and increased freight costs, partially offset by benefits from less promotional activity and the implementation of price increases by us. The gross profit percentage in our retail operations segment was 50.8% for the six months ended July 31, 2022 compared to 51.3% for the same period last year.</w:t>
      </w:r>
    </w:p>
    <w:p>
      <w:pPr>
        <w:spacing w:after="0" w:line="19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Selling, general and administrative expenses increased to $376.5 million in the six months ended July 31, 2022 from $288.4 million in the same period last year. The increase in expenses was primarily due to an increase of $31.3 million in compensation expense, primarily from increased salary and bonus expense accruals. The increase in expenses was also due to a $20.6 million increase in third-party warehouse and facility expenses and a $15.5 million increase in advertising primarily related to increased sales and inventory levels resulting from our accelerated production schedules. In addition, professional fees increased $3.8 million primarily due to expenses associated with the acquisition of the Karl Lagerfeld business. The inclusion of the results of KLH for one month in the period increased selling, general and administrative expenses by $10.4 million which included $5.0 million of compensation expense, primarily related to bonus accruals, and $1.0 million of acquisition related expenses.</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Depreciation and amortization was $12.8 million for the six months ended July 31, 2022 compared to $14.1 million in the same period last year. This decrease primarily relates to a reduction in capital expenditures during the COVID-19 pandemic.</w:t>
      </w:r>
    </w:p>
    <w:p>
      <w:pPr>
        <w:spacing w:after="0" w:line="184"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Other income was $27.6 million in the six months ended July 31, 2022 compared to $3.8 million for the same period last year. Other income in the current period consisted of a gain of $30.9 million during the six months ended July 31, 2022 as a result of the remeasurement of our previously held 19% investment in KLH and 49% interest in KLNA as of the effective date of the acquisition. We recorded $5.4 million of foreign currency losses during the six months ended July 31, 2022 compared to foreign currency losses of $0.6 million during the same period last year. We recorded $1.0 million in income from unconsolidated affiliates during the six months ended July 31, 2022 compared to $2.3 million in income from unconsolidated affiliates in the same period last year. We recorded other income of $1.2 million from non-refundable European government-backed grants received by Vilebrequin for COVID-19 during the six months ended July 31, 2022 compared to $2.1 million during the same period last year.</w:t>
      </w:r>
    </w:p>
    <w:p>
      <w:pPr>
        <w:spacing w:after="0" w:line="1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Interest and financing charges, net, for the six months ended July 31, 2022 were $24.8 million compared to $24.6 million for the same period last year.</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Income tax expense was $22.0 million for the six months ended July 31, 2022 compared to $19.5 million for the same period last year. Our effective tax rate decreased to 24.8% in the current year’s period from 30.0% in last year’s comparable period. This decrease is primarily due to an increase in forecasted foreign pretax income, which is taxed at a lower tax rate compared to the tax rates associated with income based in the United States. In addition, a $1.3 million tax benefit related to the foreign tax credit was recorded in the first quarter of this year.</w:t>
      </w:r>
    </w:p>
    <w:p>
      <w:pPr>
        <w:sectPr>
          <w:pgSz w:w="11900" w:h="16838" w:orient="portrait"/>
          <w:cols w:equalWidth="0" w:num="1">
            <w:col w:w="9019"/>
          </w:cols>
          <w:pgMar w:left="1440" w:top="517" w:right="1440"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Availability</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rely on our cash flows generated from operations in most periods, cash and cash equivalents and the borrowing capacity under our revolving credit facility to meet the cash requirements of our business. The cash requirements of our business are primarily related to the seasonal buildup in inventories, compensation paid to employees, payments to vendors in the normal course of business, capital expenditures, interest payments on debt obligations and income tax payments. We have also used cash to make minority investments in private companies and to acquire the remaining portion of the Karl Lagerfeld business.</w:t>
      </w:r>
    </w:p>
    <w:p>
      <w:pPr>
        <w:spacing w:after="0" w:line="19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As of July 31, 2022, we had cash and cash equivalents of $151.0 million and availability under our revolving credit facility of approximately $580 million. As of July 31, 2022, we were in compliance with all covenants under our debt agreements.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Notes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August 2020, we completed a private debt offering of $400 million aggregate principal amount of our 7.875% Senior Secured Notes due 2025 (the “Notes). The terms of the Notes are governed by an indenture, dated as of August 7, 2020 (the “Indenture”), among us, the guarantors party thereto and U.S. Bank, National Association, as trustee and collateral agent (the “Collateral Agent”). The net proceeds of the Notes have been used (i) to repay the $300 million that was outstanding under our prior term loan facility due 2022 (the “Term Loan”), (ii) to pay related fees and expenses and (iii) for general corporate purposes.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Notes bear interest at a rate of 7.875% per year payable semi-annually in arrears on February 15 and August 15 of each year.</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Notes are unconditionally guaranteed on a senior-priority secured basis by our current and future wholly-owned domestic subsidiaries that guarantee any of our credit facilities, including our ABL facility (the “ABL Facility”) pursuant to the ABL Credit Agreement, or certain future capital markets indebtedness of ours or the guarantors.</w:t>
      </w:r>
    </w:p>
    <w:p>
      <w:pPr>
        <w:spacing w:after="0" w:line="9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Notes and the related guarantees are secured by (i) first priority liens on our Cash Flow Priority Collateral (as defined in the Indenture), and (ii) a second-priority lien on our ABL Priority Collateral (as defined in the Indenture), in each case subject to permitted liens described in the Indenture.</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In connection with the issuance of the Notes and execution of the Indenture, we and the Guarantors entered into a pledge and security agreement (the “Pledge and Security Agreement”), among us, the Guarantors and the Collateral Agent.</w:t>
      </w:r>
    </w:p>
    <w:p>
      <w:pPr>
        <w:spacing w:after="0" w:line="12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LVMH Note subordination agreement which governs the relative rights of the secured parties in respect of the LVMH Note, the ABL Facility and the Notes.</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may redeem some or all of the Notes at any time and from time to time at the redemption prices set forth in the Indenture, plus accrued and unpaid interest, if any, to, but excluding, the applicable redemption date.</w:t>
      </w:r>
    </w:p>
    <w:p>
      <w:pPr>
        <w:spacing w:after="0" w:line="170"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If we experience a Change of Control (as defined in the Indenture), we are required to offer to repurchase the Notes at 101% of the principal amount of such Notes plus accrued and unpaid interest, if any, to, but excluding, the date of repurchase.</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Indenture contains covenants that, among other things, limit our ability and the ability of our restricted subsidiaries to incur or guarantee additional indebtedness, pay dividends or make other restricted payments, make certain investments, incur restrictions on the ability of our restricted subsidiaries that are not guarantors to pay dividends or make certain other payments, create or incur certain liens, sell assets and subsidiary stock, impair the security interests, transfer all or substantially all of our assets or enter into merger or consolidation transactions, and enter into transactions with affiliates. The Indenture provides for customary events of default which include (subject in certain cases to customary grace and</w:t>
      </w:r>
    </w:p>
    <w:p>
      <w:pPr>
        <w:sectPr>
          <w:pgSz w:w="11900" w:h="16838" w:orient="portrait"/>
          <w:cols w:equalWidth="0" w:num="1">
            <w:col w:w="9019"/>
          </w:cols>
          <w:pgMar w:left="1440" w:top="517"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65"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We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 In addition, we had unamortized debt issuance costs of $6.1 million associated with the Term Loan. Upon repayment of the Term Loan, these debt issuance costs were fully extinguished and charged to interest expense in our results of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Second Amended and Restated ABL Credit Agreement</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August 2020, our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We and our subsidiaries, G-III Apparel Canada ULC, Gabrielle Studio, Inc., Donna Karan International Inc. and Donna Karan Studio LLC (the “Guarantors”), are Loan Guarantors under the ABL Credit Agreement.</w:t>
      </w:r>
    </w:p>
    <w:p>
      <w:pPr>
        <w:spacing w:after="0" w:line="19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ABL Credit Agreement refinanced, amended and restated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The ABL Credit Agreement extended the maturity date of this facility from December 2021 to August 2025, subject to a springing maturity date if, subject to certain conditions, the LVMH Note is not refinanced or repaid prior to the date that is 91 days prior to the date of any relevant payment thereunder.</w:t>
      </w:r>
    </w:p>
    <w:p>
      <w:pPr>
        <w:spacing w:after="0" w:line="19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 In addition to paying interest on any outstanding borrowings under the ABL Credit Agreement, we are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 As of July 31, 2022, interest under the ABL Credit Agreement was being paid at an average rate of 6.05% per annum.</w:t>
      </w:r>
    </w:p>
    <w:p>
      <w:pPr>
        <w:spacing w:after="0" w:line="18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revolving credit facility contains covenants that, among other things, restrict our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of the Company. As of July 31, 2022, the Company was in compliance with these covenants.</w:t>
      </w:r>
    </w:p>
    <w:p>
      <w:pPr>
        <w:spacing w:after="0" w:line="178"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As of July 31, 2022, we had $51.6 million of borrowings outstanding under the ABL Credit Agreement, all of which are classified as long-term liabilities. The ABL Credit Agreement also includes amounts available for letters of credit. As of</w:t>
      </w:r>
    </w:p>
    <w:p>
      <w:pPr>
        <w:sectPr>
          <w:pgSz w:w="11900" w:h="16838" w:orient="portrait"/>
          <w:cols w:equalWidth="0" w:num="1">
            <w:col w:w="9019"/>
          </w:cols>
          <w:pgMar w:left="1440" w:top="51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July 31, 2022, there were outstanding trade and standby letters of credit amounting to $7.9 million and $3.4 million, respectively.</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At the date of the refinancing of the Prior Credit Agreement, we had $3.3 million of unamortized debt issuance costs remaining from the Prior Credit Agreement. We extinguished and charged to interest expense $0.4 million of the prior debt issuance costs and incurred new debt issuance costs totaling $5.1 million related to the ABL Credit Agreement. We have a total of $8.0 million debt issuance costs related to our ABL Credit Agreement. As permitted under ASC 835, the debt issuance costs have been deferred and are presented as an asset which is amortized ratably over the term of the ABL Credit Agreement.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Reference Rate Reform</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interest rate of our revolving credit facility is indexed to LIBOR. LIBOR quotations could cease as of December 31, 2022. We have discussed alternatives to LIBOR with the administrative agent under our ABL Credit Agreement and we expect that if LIBOR can no longer be used as the reference rate, we will be able to use an alternative such as the Secured Overnight Financing Rate, known as SOFR. We do not expect a material change to our interest expense or results of operations if LIBOR is no longer available as a reference rate under our ABL Credit Agreement.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issued to LVMH, as a portion of the consideration for the acquisition of DKI, a junior lien secured promissory note in favor of LVMH in the principal amount of $125 million (the “LVMH Note”) that bears interest at the rate of 2% per year. $75 million of the principal amount of the LVMH Note is due and payable on June 1, 2023 and therefore has been recorded within current portion of notes payable on the condensed consolidated balance sheets and $50 million of such principal amount is due and payable on December 1, 2023.</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Based on an independent valuation, it was determined that the LVMH Note should be treated as having been issued at a discount of   $40 million in accordance with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discount is being amortized as interest expense using the effective interest method over the term of the LVMH Note.</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connection with the issuance of the LVMH Note, LVMH entered into (i) a subordination agreement providing that our obligations under the LVMH Note are subordinate and junior to our obligations under the revolving credit facility and Term Loan and (ii) a pledge and security agreement with us and our subsidiary,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Term Loan.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Unsecured Loans</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During fiscal 2020 and fiscal 2021, T.R.B International SA (“TRB”), a subsidiary of Vilebrequin, borrowed funds under several unsecured loans. A portion of the unsecured loans was to provide funding for operations in the normal course of business, while other unsecured loans were various European state backed loans as part of COVID-19 relief programs. Additionally, Sonia Rykiel and KLH borrowed funds under European state backed loans that were part of COVID-19 relief programs. In the aggregate, the Company is currently required to make quarterly installment payments of principal in the amount of €0.2 million. Interest on the outstanding principal amount of the unsecured loans accrues at a fixed rate equal to 0% to 3.0% per annum, payable on either a quarterly or monthly basis. As of July 31, 2022, the Company had an aggregate outstanding balance of €7.6 million ($8.0 million) under these unsecured loans.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Overdraft Facilities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During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fixed rate equal to the Euro Interbank Offered Rate plus a margin of 1.75% per annum, payable quarterly. The facility may be cancelled at any time by TRB or HSBC Bank. As part of a COVID-19 relief program, TRB and its subsidiaries have also entered into several state backed</w:t>
      </w:r>
    </w:p>
    <w:p>
      <w:pPr>
        <w:sectPr>
          <w:pgSz w:w="11900" w:h="16838" w:orient="portrait"/>
          <w:cols w:equalWidth="0" w:num="1">
            <w:col w:w="9019"/>
          </w:cols>
          <w:pgMar w:left="1440" w:top="517"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overdraft facilities with UBS Bank in Switzerland for an aggregate of CHF 4.7 million at varying interest rates of 0% to 0.5%. As of July 31, 2022, TRB had an aggregate €3.1 million ($3.2 million) drawn under these facilities.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Credit Facility</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KLH has a credit agreement with ABN AMRO Bank N.V. with a credit limit of €15.0 million which is secured by specified assets of KLH. Borrowings bear interest at the Euro Interbank Offered Rate (“EURIBOR”) plus a margin of 1.7%. As of July 31, 2022, KLH had €0.4 million ($0.4 million) of borrowings outstanding under this credit facility.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Outstanding Borrowings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w:t>
      </w:r>
    </w:p>
    <w:p>
      <w:pPr>
        <w:spacing w:after="0" w:line="15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We had no borrowings outstanding under our revolving credit facility at July 31, 2022 and 2021. We had $400 million in borrowings outstanding under the Notes at July 31, 2022 and July 31, 2021, respectively. Our contingent liability under open letters of credit was approximately $11.3 million and $13.2 million at July 31, 2022 and 2021, respectively. In addition to the amounts outstanding under these two loan agreements, at July 31, 2022 and 2021, we had $125 million of face value principal amount outstanding under the LVMH Note. As of July 31, 2022 and 2021, we had an aggregate of €7.6 million ($8.0 million) and €7.5 million ($8.9 million) outstanding under the Company’s various unsecured loans. As of July 31, 2022 and 2021, we had €3.1 million ($3.2 million) and €3.8 million ($4.5 million) outstanding under Vilebrequin’s overdraft facilities. As of July 31, 2022, we had €0.4 million ($0.4 million) outstanding under KLH’s foreign credit facility.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March 2022, our Board of Directors authorized an increase in the number of shares covered by our share repurchase program to an aggregate amount of 10,000,000 shares. Pursuant to this program, during the three months ended July 31, 2022, we acquired 811,874 of our shares of common stock for an aggregate purchase price of $16.6 million.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As of September 6, 2022, we had 9,188,126 authorized shares remaining under this program and 47,486,633 shares of common stock outstanding.</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Operating Activities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used $109.9 million in cash from operating activities during the six months ended July 31, 2022, primarily as a result of an increase of $496.4 million in inventories, a decrease of $30.4 million in customer refund liabilities and a non-cash $30.9 million gain on our 19% investment in KLH and 49% investment in KLNA. These items were offset, in part, by our net income of $67.0 million and non-cash charges consisting primarily of $25.2 million relating to share-based compensation and depreciation and amortization of $12.8 million, as well as an increase of $182.5 million in accounts payable and accrued expenses and a decrease of $145.1 in accounts receivable.</w:t>
      </w:r>
    </w:p>
    <w:p>
      <w:pPr>
        <w:spacing w:after="0" w:line="17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changes in operating cash flow items varied to some extent from seasonal patterns in prior years. While inventories normally increase in the first half of our fiscal year, they increased more than normal due an acceleration in our production schedule in an attempt to mitigate the potential effects of supply chain disruptions and to accommodate the anticipated extended transit times from our overseas suppliers. Accounts payable increased primarily due to the acceleration of inventory purchases. Accounts receivable and customer refund liabilities decreased because we experience lower sales levels in our first and second quarters than in our third and fourth quarters.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Investing Activities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used $224.6 million of cash in investing activities during the six months ended July 31, 2022, primarily as a result of cash paid, net of cash acquired, of $168.6 million for the acquisition to KLH. We also used cash for a $25.0 million minority investment in an e-commerce retailer and a $22.4 million investment in equity securities. In addition, we had $8.5 million in capital expenditures primarily related to infrastructure and information technology expenditures and additional fixturing costs at department stores.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Financing Activities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cash provided by financing activities was $22.9 million during six months ended July 31, 2022 primarily as a result of borrowings of $57.9 million under our ABL Credit Agreement, partially offset by repayments of $8.6 million. This borrowing was also offset, in part, by $16.6 million of cash used to repurchase 811,874 shares of our common stock under our share repurchase program and $9.8 million for taxes paid in connection with net share settlements of stock grants that vested.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7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accounting policies and related estimates described in our Annual Report on Form 10-K for the year ended January 31, 2022 are those that depend most heavily on these judgments and estimates. As of July 31, 2022, there have been no material changes to our critical accounting policies.</w:t>
      </w:r>
    </w:p>
    <w:p>
      <w:pPr>
        <w:spacing w:after="0" w:line="180"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There are no material changes to the disclosure made with respect to these matters in our Annual Report on Form 10-K for the year ended January 31, 2022.</w:t>
      </w:r>
    </w:p>
    <w:p>
      <w:pPr>
        <w:spacing w:after="0" w:line="166"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There were no changes in our internal controls over financial reporting during the period covered by the Quarterly Report that have materially affected, or are reasonably likely to materially affect, these internal controls.</w:t>
      </w:r>
    </w:p>
    <w:p>
      <w:pPr>
        <w:spacing w:after="0" w:line="14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May 31, 2022, we acquired KLH. See Note 6 – Karl Lagerfeld Acquisition in the accompanying Notes to our Condensed Consolidated Financial Statements in this Quarterly Report for further information on our acquisition of KLH. We are currently in the process of integrating the internal controls and procedures of KLH into our internal controls over financial reporting. As provided under the Sarbanes-Oxley Act of 2002 and the applicable rules and regulations of the</w:t>
      </w:r>
    </w:p>
    <w:p>
      <w:pPr>
        <w:sectPr>
          <w:pgSz w:w="11900" w:h="16838" w:orient="portrait"/>
          <w:cols w:equalWidth="0" w:num="1">
            <w:col w:w="9019"/>
          </w:cols>
          <w:pgMar w:left="1440" w:top="517"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SEC, we will include the internal controls and procedures of KLH in our annual assessment of the effectiveness of our internal controls over financial reporting for our 2024 fiscal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contained in “Item 1A.-Risk Factors” in our Annual Report on Form 10-K for the year ended January 31, 2022 (the “Annual Report”), which could materially affect our business, financial condition and/or future results. As of July 31, 2022, there have been no material changes in our risk factors from those set forth in the Annual Report. The risks described in the Annual Report are not the only risks facing our company. Additional risks and uncertainties not currently known to us or that we currently deem to be immaterial also may materially adversely affect our business, financial condition and/or future results.</w:t>
      </w:r>
    </w:p>
    <w:p>
      <w:pPr>
        <w:spacing w:after="0" w:line="191"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table provides information with respect to the Company’s common stock that the Company repurchased during the three months ended July 31, 2022. Included in this table are shares withheld during May, June and July 2022 to satisfy tax withholding requirements in connection with stock awards.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w:t>
            </w:r>
          </w:p>
        </w:tc>
        <w:tc>
          <w:tcPr>
            <w:tcW w:w="20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Total Number of</w:t>
            </w:r>
          </w:p>
        </w:tc>
        <w:tc>
          <w:tcPr>
            <w:tcW w:w="17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5"/>
              </w:rPr>
              <w:t>Average Price Paid Per</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0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4"/>
        </w:trPr>
        <w:tc>
          <w:tcPr>
            <w:tcW w:w="2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 Purchased</w:t>
            </w:r>
          </w:p>
        </w:tc>
        <w:tc>
          <w:tcPr>
            <w:tcW w:w="1620" w:type="dxa"/>
            <w:vAlign w:val="bottom"/>
            <w:gridSpan w:val="2"/>
            <w:vMerge w:val="continue"/>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Publicly Announced</w:t>
            </w:r>
          </w:p>
        </w:tc>
        <w:tc>
          <w:tcPr>
            <w:tcW w:w="200" w:type="dxa"/>
            <w:vAlign w:val="bottom"/>
          </w:tcPr>
          <w:p>
            <w:pPr>
              <w:spacing w:after="0"/>
              <w:rPr>
                <w:sz w:val="12"/>
                <w:szCs w:val="12"/>
                <w:color w:val="auto"/>
              </w:rPr>
            </w:pPr>
          </w:p>
        </w:tc>
        <w:tc>
          <w:tcPr>
            <w:tcW w:w="15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5"/>
        </w:trPr>
        <w:tc>
          <w:tcPr>
            <w:tcW w:w="2380" w:type="dxa"/>
            <w:vAlign w:val="bottom"/>
            <w:gridSpan w:val="2"/>
            <w:vMerge w:val="continue"/>
          </w:tcPr>
          <w:p>
            <w:pPr>
              <w:spacing w:after="0"/>
              <w:rPr>
                <w:sz w:val="15"/>
                <w:szCs w:val="15"/>
                <w:color w:val="auto"/>
              </w:rPr>
            </w:pPr>
          </w:p>
        </w:tc>
        <w:tc>
          <w:tcPr>
            <w:tcW w:w="1620" w:type="dxa"/>
            <w:vAlign w:val="bottom"/>
            <w:gridSpan w:val="2"/>
          </w:tcPr>
          <w:p>
            <w:pPr>
              <w:jc w:val="center"/>
              <w:ind w:right="200"/>
              <w:spacing w:after="0" w:line="176" w:lineRule="exact"/>
              <w:rPr>
                <w:sz w:val="20"/>
                <w:szCs w:val="20"/>
                <w:color w:val="auto"/>
              </w:rPr>
            </w:pPr>
            <w:r>
              <w:rPr>
                <w:rFonts w:ascii="Arial" w:cs="Arial" w:eastAsia="Arial" w:hAnsi="Arial"/>
                <w:sz w:val="14"/>
                <w:szCs w:val="14"/>
                <w:b w:val="1"/>
                <w:bCs w:val="1"/>
                <w:color w:val="auto"/>
                <w:w w:val="88"/>
              </w:rPr>
              <w:t xml:space="preserve">Shares Purchased </w:t>
            </w:r>
            <w:r>
              <w:rPr>
                <w:rFonts w:ascii="Arial" w:cs="Arial" w:eastAsia="Arial" w:hAnsi="Arial"/>
                <w:sz w:val="20"/>
                <w:szCs w:val="20"/>
                <w:b w:val="1"/>
                <w:bCs w:val="1"/>
                <w:color w:val="auto"/>
                <w:w w:val="88"/>
                <w:vertAlign w:val="superscript"/>
              </w:rPr>
              <w:t>(1)</w:t>
            </w:r>
          </w:p>
        </w:tc>
        <w:tc>
          <w:tcPr>
            <w:tcW w:w="300" w:type="dxa"/>
            <w:vAlign w:val="bottom"/>
          </w:tcPr>
          <w:p>
            <w:pPr>
              <w:spacing w:after="0"/>
              <w:rPr>
                <w:sz w:val="15"/>
                <w:szCs w:val="15"/>
                <w:color w:val="auto"/>
              </w:rPr>
            </w:pPr>
          </w:p>
        </w:tc>
        <w:tc>
          <w:tcPr>
            <w:tcW w:w="1440" w:type="dxa"/>
            <w:vAlign w:val="bottom"/>
            <w:gridSpan w:val="2"/>
          </w:tcPr>
          <w:p>
            <w:pPr>
              <w:ind w:left="220"/>
              <w:spacing w:after="0" w:line="176" w:lineRule="exact"/>
              <w:rPr>
                <w:sz w:val="20"/>
                <w:szCs w:val="20"/>
                <w:color w:val="auto"/>
              </w:rPr>
            </w:pPr>
            <w:r>
              <w:rPr>
                <w:rFonts w:ascii="Arial" w:cs="Arial" w:eastAsia="Arial" w:hAnsi="Arial"/>
                <w:sz w:val="14"/>
                <w:szCs w:val="14"/>
                <w:b w:val="1"/>
                <w:bCs w:val="1"/>
                <w:color w:val="auto"/>
              </w:rPr>
              <w:t xml:space="preserve">Share </w:t>
            </w:r>
            <w:r>
              <w:rPr>
                <w:rFonts w:ascii="Arial" w:cs="Arial" w:eastAsia="Arial" w:hAnsi="Arial"/>
                <w:sz w:val="20"/>
                <w:szCs w:val="20"/>
                <w:b w:val="1"/>
                <w:bCs w:val="1"/>
                <w:color w:val="auto"/>
                <w:vertAlign w:val="superscript"/>
              </w:rPr>
              <w:t>(1)</w:t>
            </w:r>
          </w:p>
        </w:tc>
        <w:tc>
          <w:tcPr>
            <w:tcW w:w="142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2"/>
              </w:rPr>
              <w:t xml:space="preserve">Program </w:t>
            </w:r>
            <w:r>
              <w:rPr>
                <w:rFonts w:ascii="Arial" w:cs="Arial" w:eastAsia="Arial" w:hAnsi="Arial"/>
                <w:sz w:val="20"/>
                <w:szCs w:val="20"/>
                <w:b w:val="1"/>
                <w:bCs w:val="1"/>
                <w:color w:val="auto"/>
                <w:w w:val="92"/>
                <w:vertAlign w:val="superscript"/>
              </w:rPr>
              <w:t>(2)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ind w:right="21"/>
              <w:spacing w:after="0" w:line="176" w:lineRule="exact"/>
              <w:rPr>
                <w:sz w:val="20"/>
                <w:szCs w:val="20"/>
                <w:color w:val="auto"/>
              </w:rPr>
            </w:pPr>
            <w:r>
              <w:rPr>
                <w:rFonts w:ascii="Arial" w:cs="Arial" w:eastAsia="Arial" w:hAnsi="Arial"/>
                <w:sz w:val="14"/>
                <w:szCs w:val="14"/>
                <w:b w:val="1"/>
                <w:bCs w:val="1"/>
                <w:color w:val="auto"/>
                <w:w w:val="92"/>
              </w:rPr>
              <w:t xml:space="preserve">Program </w:t>
            </w:r>
            <w:r>
              <w:rPr>
                <w:rFonts w:ascii="Arial" w:cs="Arial" w:eastAsia="Arial" w:hAnsi="Arial"/>
                <w:sz w:val="20"/>
                <w:szCs w:val="20"/>
                <w:b w:val="1"/>
                <w:bCs w:val="1"/>
                <w:color w:val="auto"/>
                <w:w w:val="92"/>
                <w:vertAlign w:val="superscript"/>
              </w:rPr>
              <w:t>(2)</w:t>
            </w: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1 - May 31, 2022</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June 1 - June 30, 2022</w:t>
            </w:r>
          </w:p>
        </w:tc>
        <w:tc>
          <w:tcPr>
            <w:tcW w:w="1420" w:type="dxa"/>
            <w:vAlign w:val="bottom"/>
          </w:tcPr>
          <w:p>
            <w:pPr>
              <w:jc w:val="right"/>
              <w:spacing w:after="0"/>
              <w:rPr>
                <w:sz w:val="20"/>
                <w:szCs w:val="20"/>
                <w:color w:val="auto"/>
              </w:rPr>
            </w:pPr>
            <w:r>
              <w:rPr>
                <w:rFonts w:ascii="Arial" w:cs="Arial" w:eastAsia="Arial" w:hAnsi="Arial"/>
                <w:sz w:val="18"/>
                <w:szCs w:val="18"/>
                <w:color w:val="auto"/>
              </w:rPr>
              <w:t>364,870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21.13</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316,192</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9,683,808</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 July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496,584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495,682</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9,188,126</w:t>
            </w:r>
          </w:p>
        </w:tc>
        <w:tc>
          <w:tcPr>
            <w:tcW w:w="0" w:type="dxa"/>
            <w:vAlign w:val="bottom"/>
          </w:tcPr>
          <w:p>
            <w:pPr>
              <w:spacing w:after="0"/>
              <w:rPr>
                <w:sz w:val="1"/>
                <w:szCs w:val="1"/>
                <w:color w:val="auto"/>
              </w:rPr>
            </w:pPr>
          </w:p>
        </w:tc>
      </w:tr>
      <w:tr>
        <w:trPr>
          <w:trHeight w:val="209"/>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862,190</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2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811,874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9,188,126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480" w:right="179" w:hanging="328"/>
        <w:spacing w:after="0" w:line="190" w:lineRule="auto"/>
        <w:tabs>
          <w:tab w:leader="none" w:pos="48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Included in this table are 736 shares, 48,678 shares and 902 shares withheld during May 2022, June 2022 and July 2022, respectively, to satisfy tax withholding requirements in connection with stock awards. Our 2015 Long-Term Incentive Plan provides that shares withheld are valued at the closing price per share on the date withheld.</w:t>
      </w:r>
    </w:p>
    <w:p>
      <w:pPr>
        <w:spacing w:after="0" w:line="2" w:lineRule="exact"/>
        <w:rPr>
          <w:rFonts w:ascii="Arial" w:cs="Arial" w:eastAsia="Arial" w:hAnsi="Arial"/>
          <w:sz w:val="22"/>
          <w:szCs w:val="22"/>
          <w:color w:val="auto"/>
          <w:vertAlign w:val="superscript"/>
        </w:rPr>
      </w:pPr>
    </w:p>
    <w:p>
      <w:pPr>
        <w:jc w:val="both"/>
        <w:ind w:left="480" w:right="179" w:hanging="328"/>
        <w:spacing w:after="0" w:line="200" w:lineRule="auto"/>
        <w:tabs>
          <w:tab w:leader="none" w:pos="48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In March 2022, our Board of Directors reapproved a previously authorized share repurchase program and increased the number of shares remaining under that program from 2,293,149 shares to 10,000,000 shares. This program has no expiration date. Repurchases under the program may be made from time to time through open market purchases, accelerated share repurchase programs, privately negotiated transactions or other methods, as we deem appropriate.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100" w:type="dxa"/>
            <w:vAlign w:val="bottom"/>
            <w:gridSpan w:val="7"/>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31"/>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8100" w:type="dxa"/>
            <w:vAlign w:val="bottom"/>
            <w:gridSpan w:val="7"/>
          </w:tcPr>
          <w:p>
            <w:pPr>
              <w:spacing w:after="0"/>
              <w:rPr>
                <w:sz w:val="20"/>
                <w:szCs w:val="20"/>
                <w:color w:val="auto"/>
              </w:rPr>
            </w:pPr>
            <w:r>
              <w:rPr>
                <w:rFonts w:ascii="Arial" w:cs="Arial" w:eastAsia="Arial" w:hAnsi="Arial"/>
                <w:sz w:val="18"/>
                <w:szCs w:val="18"/>
                <w:color w:val="auto"/>
                <w:w w:val="92"/>
              </w:rPr>
              <w:t>Certificate of Incorporation (incorporated by reference to Exhibit 3.1 to the Company’s Form 8-K, dated July 2,</w:t>
            </w:r>
          </w:p>
        </w:tc>
      </w:tr>
      <w:tr>
        <w:trPr>
          <w:trHeight w:val="216"/>
        </w:trPr>
        <w:tc>
          <w:tcPr>
            <w:tcW w:w="8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2008).</w:t>
            </w:r>
          </w:p>
        </w:tc>
        <w:tc>
          <w:tcPr>
            <w:tcW w:w="3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3.1(a)</w:t>
            </w:r>
          </w:p>
        </w:tc>
        <w:tc>
          <w:tcPr>
            <w:tcW w:w="8100" w:type="dxa"/>
            <w:vAlign w:val="bottom"/>
            <w:gridSpan w:val="7"/>
          </w:tcPr>
          <w:p>
            <w:pPr>
              <w:spacing w:after="0" w:line="190" w:lineRule="exact"/>
              <w:rPr>
                <w:rFonts w:ascii="Arial" w:cs="Arial" w:eastAsia="Arial" w:hAnsi="Arial"/>
                <w:sz w:val="18"/>
                <w:szCs w:val="18"/>
                <w:color w:val="0000EE"/>
                <w:w w:val="96"/>
              </w:rPr>
            </w:pPr>
            <w:hyperlink r:id="rId57">
              <w:r>
                <w:rPr>
                  <w:rFonts w:ascii="Arial" w:cs="Arial" w:eastAsia="Arial" w:hAnsi="Arial"/>
                  <w:sz w:val="18"/>
                  <w:szCs w:val="18"/>
                  <w:color w:val="0000EE"/>
                  <w:w w:val="96"/>
                </w:rPr>
                <w:t>Certificate of Amendment of Certificate of Incorporation, dated June 8, 2006 (incorporated by reference to</w:t>
              </w:r>
            </w:hyperlink>
          </w:p>
        </w:tc>
      </w:tr>
      <w:tr>
        <w:trPr>
          <w:trHeight w:val="196"/>
        </w:trPr>
        <w:tc>
          <w:tcPr>
            <w:tcW w:w="800" w:type="dxa"/>
            <w:vAlign w:val="bottom"/>
          </w:tcPr>
          <w:p>
            <w:pPr>
              <w:spacing w:after="0"/>
              <w:rPr>
                <w:sz w:val="17"/>
                <w:szCs w:val="17"/>
                <w:color w:val="auto"/>
              </w:rPr>
            </w:pPr>
          </w:p>
        </w:tc>
        <w:tc>
          <w:tcPr>
            <w:tcW w:w="80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Exhibit 3.1 to the Company’s Form 10-Q, dated September 13, 2006).</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3.1(b)</w:t>
            </w:r>
          </w:p>
        </w:tc>
        <w:tc>
          <w:tcPr>
            <w:tcW w:w="810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r:id="rId58">
              <w:r>
                <w:rPr>
                  <w:rFonts w:ascii="Arial" w:cs="Arial" w:eastAsia="Arial" w:hAnsi="Arial"/>
                  <w:sz w:val="18"/>
                  <w:szCs w:val="18"/>
                  <w:color w:val="0000EE"/>
                  <w:w w:val="96"/>
                </w:rPr>
                <w:t>Certificate of Amendment of Certificate of Incorporation, dated June 7, 2011 (incorporated by reference to</w:t>
              </w:r>
            </w:hyperlink>
          </w:p>
        </w:tc>
      </w:tr>
      <w:tr>
        <w:trPr>
          <w:trHeight w:val="196"/>
        </w:trPr>
        <w:tc>
          <w:tcPr>
            <w:tcW w:w="800" w:type="dxa"/>
            <w:vAlign w:val="bottom"/>
          </w:tcPr>
          <w:p>
            <w:pPr>
              <w:spacing w:after="0"/>
              <w:rPr>
                <w:sz w:val="17"/>
                <w:szCs w:val="17"/>
                <w:color w:val="auto"/>
              </w:rPr>
            </w:pPr>
          </w:p>
        </w:tc>
        <w:tc>
          <w:tcPr>
            <w:tcW w:w="8100" w:type="dxa"/>
            <w:vAlign w:val="bottom"/>
            <w:gridSpan w:val="7"/>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Exhibit 3.1 to the Company’s Form 8-K, dated June 9, 2011).</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3.1(c)</w:t>
            </w:r>
          </w:p>
        </w:tc>
        <w:tc>
          <w:tcPr>
            <w:tcW w:w="810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r:id="rId59">
              <w:r>
                <w:rPr>
                  <w:rFonts w:ascii="Arial" w:cs="Arial" w:eastAsia="Arial" w:hAnsi="Arial"/>
                  <w:sz w:val="18"/>
                  <w:szCs w:val="18"/>
                  <w:color w:val="0000EE"/>
                  <w:w w:val="95"/>
                </w:rPr>
                <w:t>Certificate of Amendment of Certificate of Incorporation, dated June 30, 2015 (incorporated by reference to</w:t>
              </w:r>
            </w:hyperlink>
          </w:p>
        </w:tc>
      </w:tr>
      <w:tr>
        <w:trPr>
          <w:trHeight w:val="196"/>
        </w:trPr>
        <w:tc>
          <w:tcPr>
            <w:tcW w:w="800" w:type="dxa"/>
            <w:vAlign w:val="bottom"/>
          </w:tcPr>
          <w:p>
            <w:pPr>
              <w:spacing w:after="0"/>
              <w:rPr>
                <w:sz w:val="17"/>
                <w:szCs w:val="17"/>
                <w:color w:val="auto"/>
              </w:rPr>
            </w:pPr>
          </w:p>
        </w:tc>
        <w:tc>
          <w:tcPr>
            <w:tcW w:w="8100" w:type="dxa"/>
            <w:vAlign w:val="bottom"/>
            <w:gridSpan w:val="7"/>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Exhibit 3.1 to the Company’s Form 8-K, dated July 1, 2015).</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810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r:id="rId60">
              <w:r>
                <w:rPr>
                  <w:rFonts w:ascii="Arial" w:cs="Arial" w:eastAsia="Arial" w:hAnsi="Arial"/>
                  <w:sz w:val="18"/>
                  <w:szCs w:val="18"/>
                  <w:color w:val="0000EE"/>
                  <w:w w:val="95"/>
                </w:rPr>
                <w:t>By-Laws, as amended, of G-III (incorporated by reference to Exhibit 3.1 to the Company’s Form 8-K, dated</w:t>
              </w:r>
            </w:hyperlink>
          </w:p>
        </w:tc>
      </w:tr>
      <w:tr>
        <w:trPr>
          <w:trHeight w:val="196"/>
        </w:trPr>
        <w:tc>
          <w:tcPr>
            <w:tcW w:w="800" w:type="dxa"/>
            <w:vAlign w:val="bottom"/>
          </w:tcPr>
          <w:p>
            <w:pPr>
              <w:spacing w:after="0"/>
              <w:rPr>
                <w:sz w:val="17"/>
                <w:szCs w:val="17"/>
                <w:color w:val="auto"/>
              </w:rPr>
            </w:pPr>
          </w:p>
        </w:tc>
        <w:tc>
          <w:tcPr>
            <w:tcW w:w="8100" w:type="dxa"/>
            <w:vAlign w:val="bottom"/>
            <w:gridSpan w:val="7"/>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March 15, 2013).</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81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4"/>
              </w:rPr>
              <w:t>Certification by Morris Goldfarb, Chief Executive Officer of G-III Apparel Group, Ltd., pursuant to Rule 13a -</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14(a) or Rule 15d - 14(a) of the Securities Exchange Act of 1934, as amended, in connection with G-III Apparel</w:t>
            </w:r>
          </w:p>
        </w:tc>
      </w:tr>
      <w:tr>
        <w:trPr>
          <w:trHeight w:val="196"/>
        </w:trPr>
        <w:tc>
          <w:tcPr>
            <w:tcW w:w="800" w:type="dxa"/>
            <w:vAlign w:val="bottom"/>
          </w:tcPr>
          <w:p>
            <w:pPr>
              <w:spacing w:after="0"/>
              <w:rPr>
                <w:sz w:val="17"/>
                <w:szCs w:val="17"/>
                <w:color w:val="auto"/>
              </w:rPr>
            </w:pPr>
          </w:p>
        </w:tc>
        <w:tc>
          <w:tcPr>
            <w:tcW w:w="8100" w:type="dxa"/>
            <w:vAlign w:val="bottom"/>
            <w:gridSpan w:val="7"/>
          </w:tcPr>
          <w:p>
            <w:pPr>
              <w:spacing w:after="0" w:line="196" w:lineRule="exact"/>
              <w:rPr>
                <w:sz w:val="20"/>
                <w:szCs w:val="20"/>
                <w:color w:val="auto"/>
              </w:rPr>
            </w:pPr>
            <w:r>
              <w:rPr>
                <w:rFonts w:ascii="Arial" w:cs="Arial" w:eastAsia="Arial" w:hAnsi="Arial"/>
                <w:sz w:val="18"/>
                <w:szCs w:val="18"/>
                <w:color w:val="0000EE"/>
              </w:rPr>
              <w:t>Group, Ltd.’s Quarterly Report on Form 10-Q for the fiscal quarter ended July 31, 2022.</w:t>
            </w:r>
          </w:p>
        </w:tc>
      </w:tr>
      <w:tr>
        <w:trPr>
          <w:trHeight w:val="20"/>
        </w:trPr>
        <w:tc>
          <w:tcPr>
            <w:tcW w:w="800" w:type="dxa"/>
            <w:vAlign w:val="bottom"/>
          </w:tcPr>
          <w:p>
            <w:pPr>
              <w:spacing w:after="0" w:line="20" w:lineRule="exact"/>
              <w:rPr>
                <w:sz w:val="1"/>
                <w:szCs w:val="1"/>
                <w:color w:val="auto"/>
              </w:rPr>
            </w:pPr>
          </w:p>
        </w:tc>
        <w:tc>
          <w:tcPr>
            <w:tcW w:w="634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100" w:type="dxa"/>
            <w:vAlign w:val="bottom"/>
            <w:gridSpan w:val="7"/>
          </w:tcPr>
          <w:p>
            <w:pPr>
              <w:spacing w:after="0" w:line="196" w:lineRule="exact"/>
              <w:rPr>
                <w:sz w:val="20"/>
                <w:szCs w:val="20"/>
                <w:color w:val="auto"/>
              </w:rPr>
            </w:pPr>
            <w:r>
              <w:rPr>
                <w:rFonts w:ascii="Arial" w:cs="Arial" w:eastAsia="Arial" w:hAnsi="Arial"/>
                <w:sz w:val="18"/>
                <w:szCs w:val="18"/>
                <w:color w:val="0000EE"/>
                <w:w w:val="93"/>
              </w:rPr>
              <w:t>Certification by Neal S. Nackman, Chief Financial Officer of G-III Apparel Group, Ltd., pursuant to Rule 13a -</w:t>
            </w:r>
          </w:p>
        </w:tc>
      </w:tr>
      <w:tr>
        <w:trPr>
          <w:trHeight w:val="20"/>
        </w:trPr>
        <w:tc>
          <w:tcPr>
            <w:tcW w:w="800" w:type="dxa"/>
            <w:vAlign w:val="bottom"/>
          </w:tcPr>
          <w:p>
            <w:pPr>
              <w:spacing w:after="0" w:line="20" w:lineRule="exact"/>
              <w:rPr>
                <w:sz w:val="1"/>
                <w:szCs w:val="1"/>
                <w:color w:val="auto"/>
              </w:rPr>
            </w:pPr>
          </w:p>
        </w:tc>
        <w:tc>
          <w:tcPr>
            <w:tcW w:w="6980" w:type="dxa"/>
            <w:vAlign w:val="bottom"/>
            <w:gridSpan w:val="5"/>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14(a) or Rule 15d - 14(a) of the Securities Exchange Act of 1934, as amended, in connection with G-III Apparel</w:t>
            </w:r>
          </w:p>
        </w:tc>
      </w:tr>
      <w:tr>
        <w:trPr>
          <w:trHeight w:val="196"/>
        </w:trPr>
        <w:tc>
          <w:tcPr>
            <w:tcW w:w="800" w:type="dxa"/>
            <w:vAlign w:val="bottom"/>
          </w:tcPr>
          <w:p>
            <w:pPr>
              <w:spacing w:after="0"/>
              <w:rPr>
                <w:sz w:val="17"/>
                <w:szCs w:val="17"/>
                <w:color w:val="auto"/>
              </w:rPr>
            </w:pPr>
          </w:p>
        </w:tc>
        <w:tc>
          <w:tcPr>
            <w:tcW w:w="8100" w:type="dxa"/>
            <w:vAlign w:val="bottom"/>
            <w:gridSpan w:val="7"/>
          </w:tcPr>
          <w:p>
            <w:pPr>
              <w:spacing w:after="0" w:line="196" w:lineRule="exact"/>
              <w:rPr>
                <w:sz w:val="20"/>
                <w:szCs w:val="20"/>
                <w:color w:val="auto"/>
              </w:rPr>
            </w:pPr>
            <w:r>
              <w:rPr>
                <w:rFonts w:ascii="Arial" w:cs="Arial" w:eastAsia="Arial" w:hAnsi="Arial"/>
                <w:sz w:val="18"/>
                <w:szCs w:val="18"/>
                <w:color w:val="0000EE"/>
              </w:rPr>
              <w:t>Group, Ltd.’s Quarterly Report on Form 10-Q for the fiscal quarter ended July 31, 2022.</w:t>
            </w:r>
          </w:p>
        </w:tc>
      </w:tr>
      <w:tr>
        <w:trPr>
          <w:trHeight w:val="20"/>
        </w:trPr>
        <w:tc>
          <w:tcPr>
            <w:tcW w:w="800" w:type="dxa"/>
            <w:vAlign w:val="bottom"/>
          </w:tcPr>
          <w:p>
            <w:pPr>
              <w:spacing w:after="0" w:line="20" w:lineRule="exact"/>
              <w:rPr>
                <w:sz w:val="1"/>
                <w:szCs w:val="1"/>
                <w:color w:val="auto"/>
              </w:rPr>
            </w:pPr>
          </w:p>
        </w:tc>
        <w:tc>
          <w:tcPr>
            <w:tcW w:w="634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1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5"/>
              </w:rPr>
              <w:t>Certification by Morris Goldfarb, Chief Executive Officer of G-III Apparel Group, Ltd., pursuant to 18 U.S.C.</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Section 1350, as adopted pursuant to Section 906 of the Sarbanes-Oxley Act of 2002, in connection with G-III</w:t>
            </w:r>
          </w:p>
        </w:tc>
      </w:tr>
      <w:tr>
        <w:trPr>
          <w:trHeight w:val="196"/>
        </w:trPr>
        <w:tc>
          <w:tcPr>
            <w:tcW w:w="800" w:type="dxa"/>
            <w:vAlign w:val="bottom"/>
          </w:tcPr>
          <w:p>
            <w:pPr>
              <w:spacing w:after="0"/>
              <w:rPr>
                <w:sz w:val="17"/>
                <w:szCs w:val="17"/>
                <w:color w:val="auto"/>
              </w:rPr>
            </w:pPr>
          </w:p>
        </w:tc>
        <w:tc>
          <w:tcPr>
            <w:tcW w:w="69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Apparel Group, Ltd.’s Quarterly Report on Form 10-Q for the fiscal quarter ended July 31, 2022.</w:t>
            </w:r>
          </w:p>
        </w:tc>
        <w:tc>
          <w:tcPr>
            <w:tcW w:w="1120" w:type="dxa"/>
            <w:vAlign w:val="bottom"/>
            <w:gridSpan w:val="2"/>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8100" w:type="dxa"/>
            <w:vAlign w:val="bottom"/>
            <w:gridSpan w:val="7"/>
          </w:tcPr>
          <w:p>
            <w:pPr>
              <w:spacing w:after="0" w:line="196" w:lineRule="exact"/>
              <w:rPr>
                <w:sz w:val="20"/>
                <w:szCs w:val="20"/>
                <w:color w:val="auto"/>
              </w:rPr>
            </w:pPr>
            <w:r>
              <w:rPr>
                <w:rFonts w:ascii="Arial" w:cs="Arial" w:eastAsia="Arial" w:hAnsi="Arial"/>
                <w:sz w:val="18"/>
                <w:szCs w:val="18"/>
                <w:color w:val="0000EE"/>
                <w:w w:val="94"/>
              </w:rPr>
              <w:t>Certification by Neal S. Nackman, Chief Financial Officer of G-III Apparel Group, Ltd., pursuant to 18 U.S.C.</w:t>
            </w:r>
          </w:p>
        </w:tc>
      </w:tr>
      <w:tr>
        <w:trPr>
          <w:trHeight w:val="20"/>
        </w:trPr>
        <w:tc>
          <w:tcPr>
            <w:tcW w:w="800" w:type="dxa"/>
            <w:vAlign w:val="bottom"/>
          </w:tcPr>
          <w:p>
            <w:pPr>
              <w:spacing w:after="0" w:line="20" w:lineRule="exact"/>
              <w:rPr>
                <w:sz w:val="1"/>
                <w:szCs w:val="1"/>
                <w:color w:val="auto"/>
              </w:rPr>
            </w:pPr>
          </w:p>
        </w:tc>
        <w:tc>
          <w:tcPr>
            <w:tcW w:w="808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Section 1350, as adopted pursuant to Section 906 of the Sarbanes-Oxley Act of 2002, in connection with G-III</w:t>
            </w:r>
          </w:p>
        </w:tc>
      </w:tr>
      <w:tr>
        <w:trPr>
          <w:trHeight w:val="196"/>
        </w:trPr>
        <w:tc>
          <w:tcPr>
            <w:tcW w:w="800" w:type="dxa"/>
            <w:vAlign w:val="bottom"/>
          </w:tcPr>
          <w:p>
            <w:pPr>
              <w:spacing w:after="0"/>
              <w:rPr>
                <w:sz w:val="17"/>
                <w:szCs w:val="17"/>
                <w:color w:val="auto"/>
              </w:rPr>
            </w:pPr>
          </w:p>
        </w:tc>
        <w:tc>
          <w:tcPr>
            <w:tcW w:w="69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Apparel Group, Ltd.’s Quarterly Report on Form 10-Q for the fiscal quarter ended July 31, 2022.</w:t>
            </w:r>
          </w:p>
        </w:tc>
        <w:tc>
          <w:tcPr>
            <w:tcW w:w="1120" w:type="dxa"/>
            <w:vAlign w:val="bottom"/>
            <w:gridSpan w:val="2"/>
          </w:tcPr>
          <w:p>
            <w:pPr>
              <w:spacing w:after="0"/>
              <w:rPr>
                <w:sz w:val="17"/>
                <w:szCs w:val="17"/>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8100" w:type="dxa"/>
            <w:vAlign w:val="bottom"/>
            <w:gridSpan w:val="7"/>
          </w:tcPr>
          <w:p>
            <w:pPr>
              <w:spacing w:after="0"/>
              <w:rPr>
                <w:sz w:val="20"/>
                <w:szCs w:val="20"/>
                <w:color w:val="auto"/>
              </w:rPr>
            </w:pPr>
            <w:r>
              <w:rPr>
                <w:rFonts w:ascii="Arial" w:cs="Arial" w:eastAsia="Arial" w:hAnsi="Arial"/>
                <w:sz w:val="18"/>
                <w:szCs w:val="18"/>
                <w:color w:val="auto"/>
              </w:rPr>
              <w:t>iXBRL Instance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8100" w:type="dxa"/>
            <w:vAlign w:val="bottom"/>
            <w:gridSpan w:val="7"/>
          </w:tcPr>
          <w:p>
            <w:pPr>
              <w:spacing w:after="0"/>
              <w:rPr>
                <w:sz w:val="20"/>
                <w:szCs w:val="20"/>
                <w:color w:val="auto"/>
              </w:rPr>
            </w:pPr>
            <w:r>
              <w:rPr>
                <w:rFonts w:ascii="Arial" w:cs="Arial" w:eastAsia="Arial" w:hAnsi="Arial"/>
                <w:sz w:val="18"/>
                <w:szCs w:val="18"/>
                <w:color w:val="auto"/>
              </w:rPr>
              <w:t>iXBRL Schema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8100" w:type="dxa"/>
            <w:vAlign w:val="bottom"/>
            <w:gridSpan w:val="7"/>
          </w:tcPr>
          <w:p>
            <w:pPr>
              <w:spacing w:after="0"/>
              <w:rPr>
                <w:sz w:val="20"/>
                <w:szCs w:val="20"/>
                <w:color w:val="auto"/>
              </w:rPr>
            </w:pPr>
            <w:r>
              <w:rPr>
                <w:rFonts w:ascii="Arial" w:cs="Arial" w:eastAsia="Arial" w:hAnsi="Arial"/>
                <w:sz w:val="18"/>
                <w:szCs w:val="18"/>
                <w:color w:val="auto"/>
              </w:rPr>
              <w:t>iXBRL Calculation Linkbase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8100" w:type="dxa"/>
            <w:vAlign w:val="bottom"/>
            <w:gridSpan w:val="7"/>
          </w:tcPr>
          <w:p>
            <w:pPr>
              <w:spacing w:after="0"/>
              <w:rPr>
                <w:sz w:val="20"/>
                <w:szCs w:val="20"/>
                <w:color w:val="auto"/>
              </w:rPr>
            </w:pPr>
            <w:r>
              <w:rPr>
                <w:rFonts w:ascii="Arial" w:cs="Arial" w:eastAsia="Arial" w:hAnsi="Arial"/>
                <w:sz w:val="18"/>
                <w:szCs w:val="18"/>
                <w:color w:val="auto"/>
              </w:rPr>
              <w:t>iXBRL Extension Definition.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8100" w:type="dxa"/>
            <w:vAlign w:val="bottom"/>
            <w:gridSpan w:val="7"/>
          </w:tcPr>
          <w:p>
            <w:pPr>
              <w:spacing w:after="0"/>
              <w:rPr>
                <w:sz w:val="20"/>
                <w:szCs w:val="20"/>
                <w:color w:val="auto"/>
              </w:rPr>
            </w:pPr>
            <w:r>
              <w:rPr>
                <w:rFonts w:ascii="Arial" w:cs="Arial" w:eastAsia="Arial" w:hAnsi="Arial"/>
                <w:sz w:val="18"/>
                <w:szCs w:val="18"/>
                <w:color w:val="auto"/>
              </w:rPr>
              <w:t>iXBRL Label Linkbase Document.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8100" w:type="dxa"/>
            <w:vAlign w:val="bottom"/>
            <w:gridSpan w:val="7"/>
          </w:tcPr>
          <w:p>
            <w:pPr>
              <w:spacing w:after="0"/>
              <w:rPr>
                <w:sz w:val="20"/>
                <w:szCs w:val="20"/>
                <w:color w:val="auto"/>
              </w:rPr>
            </w:pPr>
            <w:r>
              <w:rPr>
                <w:rFonts w:ascii="Arial" w:cs="Arial" w:eastAsia="Arial" w:hAnsi="Arial"/>
                <w:sz w:val="18"/>
                <w:szCs w:val="18"/>
                <w:color w:val="auto"/>
              </w:rPr>
              <w:t>iXBRL Presentation Linkbase Document.</w:t>
            </w:r>
          </w:p>
        </w:tc>
      </w:tr>
    </w:tbl>
    <w:p>
      <w:pPr>
        <w:ind w:left="60"/>
        <w:spacing w:after="0"/>
        <w:rPr>
          <w:sz w:val="20"/>
          <w:szCs w:val="20"/>
          <w:color w:val="auto"/>
        </w:rPr>
      </w:pPr>
      <w:r>
        <w:rPr>
          <w:rFonts w:ascii="Arial" w:cs="Arial" w:eastAsia="Arial" w:hAnsi="Arial"/>
          <w:sz w:val="18"/>
          <w:szCs w:val="18"/>
          <w:color w:val="auto"/>
        </w:rPr>
        <w:t>104</w:t>
      </w:r>
      <w:r>
        <w:rPr>
          <w:rFonts w:ascii="Arial" w:cs="Arial" w:eastAsia="Arial" w:hAnsi="Arial"/>
          <w:sz w:val="16"/>
          <w:szCs w:val="16"/>
          <w:color w:val="auto"/>
        </w:rPr>
        <w:t>Cover Page Interactive Data File (embedded within the Inline XBRL document)</w:t>
      </w:r>
    </w:p>
    <w:p>
      <w:pPr>
        <w:spacing w:after="0" w:line="210"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 This certification is deemed furnished, and not filed, for purposes of section 18 of the Securities Exchange Act of 1934, as amended, or otherwise subject to the liability of that section, nor shall it be deemed incorporated by reference into any filing under the Securities Act of 1933, as amended, or the Exchange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5840" w:type="dxa"/>
            <w:vAlign w:val="bottom"/>
            <w:gridSpan w:val="2"/>
          </w:tcPr>
          <w:p>
            <w:pPr>
              <w:ind w:left="1400"/>
              <w:spacing w:after="0"/>
              <w:rPr>
                <w:sz w:val="20"/>
                <w:szCs w:val="20"/>
                <w:color w:val="auto"/>
              </w:rPr>
            </w:pPr>
            <w:r>
              <w:rPr>
                <w:rFonts w:ascii="Arial" w:cs="Arial" w:eastAsia="Arial" w:hAnsi="Arial"/>
                <w:sz w:val="18"/>
                <w:szCs w:val="18"/>
                <w:color w:val="auto"/>
              </w:rPr>
              <w:t>G-III APPAREL GROUP, LTD.</w:t>
            </w:r>
          </w:p>
        </w:tc>
      </w:tr>
      <w:tr>
        <w:trPr>
          <w:trHeight w:val="230"/>
        </w:trPr>
        <w:tc>
          <w:tcPr>
            <w:tcW w:w="3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(Registrant)</w:t>
            </w:r>
          </w:p>
        </w:tc>
      </w:tr>
      <w:tr>
        <w:trPr>
          <w:trHeight w:val="432"/>
        </w:trPr>
        <w:tc>
          <w:tcPr>
            <w:tcW w:w="3080" w:type="dxa"/>
            <w:vAlign w:val="bottom"/>
          </w:tcPr>
          <w:p>
            <w:pPr>
              <w:ind w:left="20"/>
              <w:spacing w:after="0"/>
              <w:rPr>
                <w:sz w:val="20"/>
                <w:szCs w:val="20"/>
                <w:color w:val="auto"/>
              </w:rPr>
            </w:pPr>
            <w:r>
              <w:rPr>
                <w:rFonts w:ascii="Arial" w:cs="Arial" w:eastAsia="Arial" w:hAnsi="Arial"/>
                <w:sz w:val="18"/>
                <w:szCs w:val="18"/>
                <w:color w:val="auto"/>
              </w:rPr>
              <w:t>Date: September 9, 2022</w:t>
            </w:r>
          </w:p>
        </w:tc>
        <w:tc>
          <w:tcPr>
            <w:tcW w:w="5840" w:type="dxa"/>
            <w:vAlign w:val="bottom"/>
            <w:gridSpan w:val="2"/>
          </w:tcPr>
          <w:p>
            <w:pPr>
              <w:ind w:left="1400"/>
              <w:spacing w:after="0"/>
              <w:rPr>
                <w:sz w:val="20"/>
                <w:szCs w:val="20"/>
                <w:color w:val="auto"/>
              </w:rPr>
            </w:pPr>
            <w:r>
              <w:rPr>
                <w:rFonts w:ascii="Arial" w:cs="Arial" w:eastAsia="Arial" w:hAnsi="Arial"/>
                <w:sz w:val="18"/>
                <w:szCs w:val="18"/>
                <w:color w:val="auto"/>
              </w:rPr>
              <w:t>By: /s/ Morris Goldfarb</w:t>
            </w:r>
          </w:p>
        </w:tc>
      </w:tr>
      <w:tr>
        <w:trPr>
          <w:trHeight w:val="195"/>
        </w:trPr>
        <w:tc>
          <w:tcPr>
            <w:tcW w:w="30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Morris Goldfarb</w:t>
            </w:r>
          </w:p>
        </w:tc>
      </w:tr>
      <w:tr>
        <w:trPr>
          <w:trHeight w:val="230"/>
        </w:trPr>
        <w:tc>
          <w:tcPr>
            <w:tcW w:w="3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080" w:type="dxa"/>
            <w:vAlign w:val="bottom"/>
          </w:tcPr>
          <w:p>
            <w:pPr>
              <w:ind w:left="20"/>
              <w:spacing w:after="0"/>
              <w:rPr>
                <w:sz w:val="20"/>
                <w:szCs w:val="20"/>
                <w:color w:val="auto"/>
              </w:rPr>
            </w:pPr>
            <w:r>
              <w:rPr>
                <w:rFonts w:ascii="Arial" w:cs="Arial" w:eastAsia="Arial" w:hAnsi="Arial"/>
                <w:sz w:val="18"/>
                <w:szCs w:val="18"/>
                <w:color w:val="auto"/>
              </w:rPr>
              <w:t>Date: September 9, 2022</w:t>
            </w:r>
          </w:p>
        </w:tc>
        <w:tc>
          <w:tcPr>
            <w:tcW w:w="5840" w:type="dxa"/>
            <w:vAlign w:val="bottom"/>
            <w:gridSpan w:val="2"/>
          </w:tcPr>
          <w:p>
            <w:pPr>
              <w:ind w:left="1400"/>
              <w:spacing w:after="0"/>
              <w:rPr>
                <w:sz w:val="20"/>
                <w:szCs w:val="20"/>
                <w:color w:val="auto"/>
              </w:rPr>
            </w:pPr>
            <w:r>
              <w:rPr>
                <w:rFonts w:ascii="Arial" w:cs="Arial" w:eastAsia="Arial" w:hAnsi="Arial"/>
                <w:sz w:val="18"/>
                <w:szCs w:val="18"/>
                <w:color w:val="auto"/>
              </w:rPr>
              <w:t>By: /s/ Neal S. Nackman</w:t>
            </w:r>
          </w:p>
        </w:tc>
      </w:tr>
      <w:tr>
        <w:trPr>
          <w:trHeight w:val="195"/>
        </w:trPr>
        <w:tc>
          <w:tcPr>
            <w:tcW w:w="30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Neal S. Nackman</w:t>
            </w:r>
          </w:p>
        </w:tc>
      </w:tr>
      <w:tr>
        <w:trPr>
          <w:trHeight w:val="230"/>
        </w:trPr>
        <w:tc>
          <w:tcPr>
            <w:tcW w:w="3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64"/>
        </w:trPr>
        <w:tc>
          <w:tcPr>
            <w:tcW w:w="308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38</w:t>
            </w:r>
          </w:p>
        </w:tc>
        <w:tc>
          <w:tcPr>
            <w:tcW w:w="4120" w:type="dxa"/>
            <w:vAlign w:val="bottom"/>
          </w:tcPr>
          <w:p>
            <w:pPr>
              <w:spacing w:after="0"/>
              <w:rPr>
                <w:sz w:val="24"/>
                <w:szCs w:val="24"/>
                <w:color w:val="auto"/>
              </w:rPr>
            </w:pPr>
          </w:p>
        </w:tc>
      </w:tr>
      <w:tr>
        <w:trPr>
          <w:trHeight w:val="560"/>
        </w:trPr>
        <w:tc>
          <w:tcPr>
            <w:tcW w:w="30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8" w:name="page39"/>
    <w:bookmarkEnd w:id="38"/>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Morris Goldfarb, certify that:</w:t>
      </w:r>
    </w:p>
    <w:p>
      <w:pPr>
        <w:spacing w:after="0" w:line="171" w:lineRule="exact"/>
        <w:rPr>
          <w:sz w:val="20"/>
          <w:szCs w:val="20"/>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71" w:lineRule="exact"/>
        <w:rPr>
          <w:rFonts w:ascii="Arial" w:cs="Arial" w:eastAsia="Arial" w:hAnsi="Arial"/>
          <w:sz w:val="18"/>
          <w:szCs w:val="18"/>
          <w:color w:val="auto"/>
        </w:rPr>
      </w:pPr>
    </w:p>
    <w:p>
      <w:pPr>
        <w:jc w:val="both"/>
        <w:ind w:left="700" w:right="79"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jc w:val="both"/>
        <w:ind w:left="700" w:right="79" w:hanging="326"/>
        <w:spacing w:after="0" w:line="24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8"/>
          <w:szCs w:val="18"/>
          <w:color w:val="auto"/>
        </w:rPr>
      </w:pPr>
    </w:p>
    <w:p>
      <w:pPr>
        <w:jc w:val="both"/>
        <w:ind w:left="700" w:right="79" w:hanging="326"/>
        <w:spacing w:after="0" w:line="285"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14" w:lineRule="exact"/>
        <w:rPr>
          <w:rFonts w:ascii="Arial" w:cs="Arial" w:eastAsia="Arial" w:hAnsi="Arial"/>
          <w:sz w:val="16"/>
          <w:szCs w:val="16"/>
          <w:color w:val="auto"/>
        </w:rPr>
      </w:pPr>
    </w:p>
    <w:p>
      <w:pPr>
        <w:jc w:val="both"/>
        <w:ind w:left="1020" w:right="79" w:hanging="322"/>
        <w:spacing w:after="0" w:line="238"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8"/>
          <w:szCs w:val="18"/>
          <w:color w:val="auto"/>
        </w:rPr>
      </w:pPr>
    </w:p>
    <w:p>
      <w:pPr>
        <w:jc w:val="both"/>
        <w:ind w:left="1020" w:right="79" w:hanging="322"/>
        <w:spacing w:after="0" w:line="238"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8"/>
          <w:szCs w:val="18"/>
          <w:color w:val="auto"/>
        </w:rPr>
      </w:pPr>
    </w:p>
    <w:p>
      <w:pPr>
        <w:jc w:val="both"/>
        <w:ind w:left="1020" w:right="79" w:hanging="322"/>
        <w:spacing w:after="0"/>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8"/>
          <w:szCs w:val="18"/>
          <w:color w:val="auto"/>
        </w:rPr>
      </w:pPr>
    </w:p>
    <w:p>
      <w:pPr>
        <w:jc w:val="both"/>
        <w:ind w:left="1020" w:right="79" w:hanging="322"/>
        <w:spacing w:after="0" w:line="238"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0" w:lineRule="exact"/>
        <w:rPr>
          <w:rFonts w:ascii="Arial" w:cs="Arial" w:eastAsia="Arial" w:hAnsi="Arial"/>
          <w:sz w:val="18"/>
          <w:szCs w:val="18"/>
          <w:color w:val="auto"/>
        </w:rPr>
      </w:pPr>
    </w:p>
    <w:p>
      <w:pPr>
        <w:jc w:val="both"/>
        <w:ind w:left="700" w:right="79" w:hanging="326"/>
        <w:spacing w:after="0" w:line="24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8"/>
          <w:szCs w:val="18"/>
          <w:color w:val="auto"/>
        </w:rPr>
      </w:pPr>
    </w:p>
    <w:p>
      <w:pPr>
        <w:jc w:val="both"/>
        <w:ind w:left="1020" w:right="79" w:hanging="322"/>
        <w:spacing w:after="0"/>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8"/>
          <w:szCs w:val="18"/>
          <w:color w:val="auto"/>
        </w:rPr>
      </w:pPr>
    </w:p>
    <w:p>
      <w:pPr>
        <w:ind w:left="1020" w:right="79" w:hanging="322"/>
        <w:spacing w:after="0" w:line="261"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September 9, 2022</w:t>
      </w:r>
    </w:p>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9" w:name="page40"/>
    <w:bookmarkEnd w:id="39"/>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Neal S. Nackman, certify that:</w:t>
      </w:r>
    </w:p>
    <w:p>
      <w:pPr>
        <w:spacing w:after="0" w:line="171" w:lineRule="exact"/>
        <w:rPr>
          <w:sz w:val="20"/>
          <w:szCs w:val="20"/>
          <w:color w:val="auto"/>
        </w:rPr>
      </w:pPr>
    </w:p>
    <w:p>
      <w:pPr>
        <w:ind w:left="700" w:hanging="32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71" w:lineRule="exact"/>
        <w:rPr>
          <w:rFonts w:ascii="Arial" w:cs="Arial" w:eastAsia="Arial" w:hAnsi="Arial"/>
          <w:sz w:val="18"/>
          <w:szCs w:val="18"/>
          <w:color w:val="auto"/>
        </w:rPr>
      </w:pPr>
    </w:p>
    <w:p>
      <w:pPr>
        <w:jc w:val="both"/>
        <w:ind w:left="700" w:right="79" w:hanging="32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jc w:val="both"/>
        <w:ind w:left="700" w:right="79" w:hanging="326"/>
        <w:spacing w:after="0" w:line="248"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8"/>
          <w:szCs w:val="18"/>
          <w:color w:val="auto"/>
        </w:rPr>
      </w:pPr>
    </w:p>
    <w:p>
      <w:pPr>
        <w:jc w:val="both"/>
        <w:ind w:left="700" w:right="79" w:hanging="326"/>
        <w:spacing w:after="0" w:line="285"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14" w:lineRule="exact"/>
        <w:rPr>
          <w:rFonts w:ascii="Arial" w:cs="Arial" w:eastAsia="Arial" w:hAnsi="Arial"/>
          <w:sz w:val="16"/>
          <w:szCs w:val="16"/>
          <w:color w:val="auto"/>
        </w:rPr>
      </w:pPr>
    </w:p>
    <w:p>
      <w:pPr>
        <w:jc w:val="both"/>
        <w:ind w:left="1020" w:right="79" w:hanging="322"/>
        <w:spacing w:after="0" w:line="238"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8"/>
          <w:szCs w:val="18"/>
          <w:color w:val="auto"/>
        </w:rPr>
      </w:pPr>
    </w:p>
    <w:p>
      <w:pPr>
        <w:jc w:val="both"/>
        <w:ind w:left="1020" w:right="79" w:hanging="322"/>
        <w:spacing w:after="0" w:line="238"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8"/>
          <w:szCs w:val="18"/>
          <w:color w:val="auto"/>
        </w:rPr>
      </w:pPr>
    </w:p>
    <w:p>
      <w:pPr>
        <w:jc w:val="both"/>
        <w:ind w:left="1020" w:right="79" w:hanging="322"/>
        <w:spacing w:after="0"/>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8"/>
          <w:szCs w:val="18"/>
          <w:color w:val="auto"/>
        </w:rPr>
      </w:pPr>
    </w:p>
    <w:p>
      <w:pPr>
        <w:jc w:val="both"/>
        <w:ind w:left="1020" w:right="79" w:hanging="322"/>
        <w:spacing w:after="0" w:line="238"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0" w:lineRule="exact"/>
        <w:rPr>
          <w:rFonts w:ascii="Arial" w:cs="Arial" w:eastAsia="Arial" w:hAnsi="Arial"/>
          <w:sz w:val="18"/>
          <w:szCs w:val="18"/>
          <w:color w:val="auto"/>
        </w:rPr>
      </w:pPr>
    </w:p>
    <w:p>
      <w:pPr>
        <w:jc w:val="both"/>
        <w:ind w:left="700" w:right="79" w:hanging="326"/>
        <w:spacing w:after="0" w:line="248"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8"/>
          <w:szCs w:val="18"/>
          <w:color w:val="auto"/>
        </w:rPr>
      </w:pPr>
    </w:p>
    <w:p>
      <w:pPr>
        <w:jc w:val="both"/>
        <w:ind w:left="1020" w:right="79" w:hanging="322"/>
        <w:spacing w:after="0"/>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8"/>
          <w:szCs w:val="18"/>
          <w:color w:val="auto"/>
        </w:rPr>
      </w:pPr>
    </w:p>
    <w:p>
      <w:pPr>
        <w:ind w:left="1020" w:right="79" w:hanging="322"/>
        <w:spacing w:after="0" w:line="261"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September 9, 2022</w:t>
      </w:r>
    </w:p>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0" w:name="page41"/>
    <w:bookmarkEnd w:id="40"/>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59" w:firstLine="415"/>
        <w:spacing w:after="0" w:line="296" w:lineRule="auto"/>
        <w:rPr>
          <w:sz w:val="20"/>
          <w:szCs w:val="20"/>
          <w:color w:val="auto"/>
        </w:rPr>
      </w:pPr>
      <w:r>
        <w:rPr>
          <w:rFonts w:ascii="Arial" w:cs="Arial" w:eastAsia="Arial" w:hAnsi="Arial"/>
          <w:sz w:val="16"/>
          <w:szCs w:val="16"/>
          <w:color w:val="auto"/>
        </w:rPr>
        <w:t>In connection with the Quarterly Report of G-III Apparel Group, Ltd. (the “Company”) on Form 10-Q for the quarterly period ended July 31, 2022,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September 9, 2022</w:t>
      </w:r>
    </w:p>
    <w:p>
      <w:pPr>
        <w:spacing w:after="0" w:line="225"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307975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1" w:name="page42"/>
    <w:bookmarkEnd w:id="41"/>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59" w:firstLine="415"/>
        <w:spacing w:after="0" w:line="296" w:lineRule="auto"/>
        <w:rPr>
          <w:sz w:val="20"/>
          <w:szCs w:val="20"/>
          <w:color w:val="auto"/>
        </w:rPr>
      </w:pPr>
      <w:r>
        <w:rPr>
          <w:rFonts w:ascii="Arial" w:cs="Arial" w:eastAsia="Arial" w:hAnsi="Arial"/>
          <w:sz w:val="16"/>
          <w:szCs w:val="16"/>
          <w:color w:val="auto"/>
        </w:rPr>
        <w:t>In connection with the Quarterly Report of G-III Apparel Group, Ltd. (the “Company”) on Form 10-Q for the quarterly period ended July 31, 2022,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September 9, 2022</w:t>
      </w:r>
    </w:p>
    <w:p>
      <w:pPr>
        <w:spacing w:after="0" w:line="225"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307975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57" Type="http://schemas.openxmlformats.org/officeDocument/2006/relationships/hyperlink" Target="https://www.sec.gov/Archives/edgar/data/821002/000095013606007680/file2.htm" TargetMode="External"/><Relationship Id="rId58" Type="http://schemas.openxmlformats.org/officeDocument/2006/relationships/hyperlink" Target="https://www.sec.gov/Archives/edgar/data/821002/000095012311057737/y04932exv3w1.htm" TargetMode="External"/><Relationship Id="rId59" Type="http://schemas.openxmlformats.org/officeDocument/2006/relationships/hyperlink" Target="https://www.sec.gov/Archives/edgar/data/821002/000157104915005420/t1501536_ex3-1.htm" TargetMode="External"/><Relationship Id="rId60" Type="http://schemas.openxmlformats.org/officeDocument/2006/relationships/hyperlink" Target="https://www.sec.gov/Archives/edgar/data/821002/000119312513107874/d503217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2022-09-09T15:44:31Z</dcterms:created>
  <dcterms:modified xsi:type="dcterms:W3CDTF">2022-09-09T15:44:31Z</dcterms:modified>
</cp:coreProperties>
</file>