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30, 2022</w:t>
      </w:r>
    </w:p>
    <w:p>
      <w:pPr>
        <w:spacing w:after="0" w:line="1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-3175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-3175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G-III APPAREL GROUP, LTD.</w:t>
      </w:r>
    </w:p>
    <w:p>
      <w:pPr>
        <w:spacing w:after="0" w:line="53" w:lineRule="exact"/>
        <w:rPr>
          <w:sz w:val="24"/>
          <w:szCs w:val="24"/>
          <w:color w:val="auto"/>
        </w:rPr>
      </w:pPr>
    </w:p>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01"/>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512 Seventh Avenue, New York, New York</w:t>
            </w:r>
          </w:p>
        </w:tc>
        <w:tc>
          <w:tcPr>
            <w:tcW w:w="2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10018</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9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(212) 403-0500</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8906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213995"/>
                    </a:xfrm>
                    <a:prstGeom prst="rect">
                      <a:avLst/>
                    </a:prstGeom>
                    <a:noFill/>
                  </pic:spPr>
                </pic:pic>
              </a:graphicData>
            </a:graphic>
          </wp:anchor>
        </w:drawing>
      </w:r>
    </w:p>
    <w:p>
      <w:pPr>
        <w:spacing w:after="0" w:line="57"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83" w:lineRule="exact"/>
        <w:rPr>
          <w:sz w:val="24"/>
          <w:szCs w:val="24"/>
          <w:color w:val="auto"/>
        </w:rPr>
      </w:pPr>
    </w:p>
    <w:p>
      <w:pPr>
        <w:jc w:val="both"/>
        <w:ind w:left="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83"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82" w:lineRule="exact"/>
        <w:rPr>
          <w:sz w:val="24"/>
          <w:szCs w:val="24"/>
          <w:color w:val="auto"/>
        </w:rPr>
      </w:pPr>
    </w:p>
    <w:p>
      <w:pPr>
        <w:jc w:val="both"/>
        <w:ind w:left="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6" w:lineRule="exact"/>
        <w:rPr>
          <w:sz w:val="24"/>
          <w:szCs w:val="24"/>
          <w:color w:val="auto"/>
        </w:rPr>
      </w:pPr>
    </w:p>
    <w:p>
      <w:pPr>
        <w:ind w:left="10" w:right="18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As of June 3, 2022, there were 48,225,361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EE"/>
              </w:rPr>
              <w:t>Part I</w:t>
            </w:r>
          </w:p>
        </w:tc>
        <w:tc>
          <w:tcPr>
            <w:tcW w:w="140" w:type="dxa"/>
            <w:vAlign w:val="bottom"/>
          </w:tcPr>
          <w:p>
            <w:pPr>
              <w:spacing w:after="0"/>
              <w:rPr>
                <w:sz w:val="16"/>
                <w:szCs w:val="16"/>
                <w:color w:val="auto"/>
              </w:rPr>
            </w:pPr>
          </w:p>
        </w:tc>
        <w:tc>
          <w:tcPr>
            <w:tcW w:w="72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8"/>
        </w:trPr>
        <w:tc>
          <w:tcPr>
            <w:tcW w:w="7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260" w:type="dxa"/>
            <w:vAlign w:val="bottom"/>
            <w:gridSpan w:val="18"/>
            <w:vMerge w:val="continue"/>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140" w:type="dxa"/>
            <w:vAlign w:val="bottom"/>
          </w:tcPr>
          <w:p>
            <w:pPr>
              <w:spacing w:after="0"/>
              <w:rPr>
                <w:sz w:val="17"/>
                <w:szCs w:val="17"/>
                <w:color w:val="auto"/>
              </w:rPr>
            </w:pPr>
          </w:p>
        </w:tc>
        <w:tc>
          <w:tcPr>
            <w:tcW w:w="72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 April 30, 2022, April 30, 2021 and January 31,2022</w:t>
            </w:r>
          </w:p>
        </w:tc>
        <w:tc>
          <w:tcPr>
            <w:tcW w:w="380" w:type="dxa"/>
            <w:vAlign w:val="bottom"/>
            <w:gridSpan w:val="2"/>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 For the Three</w:t>
            </w:r>
          </w:p>
        </w:tc>
        <w:tc>
          <w:tcPr>
            <w:tcW w:w="4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Months Ended April 30, 2022 and 2021 (Unaudited)</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 April 30, 2022 and April 30, 2021</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 For the Three Months Ended April 30, 2022</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2021 (Unaudited)</w:t>
            </w:r>
          </w:p>
        </w:tc>
        <w:tc>
          <w:tcPr>
            <w:tcW w:w="22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260" w:type="dxa"/>
            <w:vAlign w:val="bottom"/>
            <w:gridSpan w:val="6"/>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rPr>
              <w:t>Part II</w:t>
            </w:r>
          </w:p>
        </w:tc>
        <w:tc>
          <w:tcPr>
            <w:tcW w:w="140" w:type="dxa"/>
            <w:vAlign w:val="bottom"/>
          </w:tcPr>
          <w:p>
            <w:pPr>
              <w:spacing w:after="0"/>
              <w:rPr>
                <w:sz w:val="24"/>
                <w:szCs w:val="24"/>
                <w:color w:val="auto"/>
              </w:rPr>
            </w:pPr>
          </w:p>
        </w:tc>
        <w:tc>
          <w:tcPr>
            <w:tcW w:w="72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Item 1A.Risk Factors</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36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140" w:type="dxa"/>
            <w:vAlign w:val="bottom"/>
          </w:tcPr>
          <w:p>
            <w:pPr>
              <w:spacing w:after="0"/>
              <w:rPr>
                <w:sz w:val="17"/>
                <w:szCs w:val="17"/>
                <w:color w:val="auto"/>
              </w:rPr>
            </w:pPr>
          </w:p>
        </w:tc>
        <w:tc>
          <w:tcPr>
            <w:tcW w:w="72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330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8"/>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438,411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396,311</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$16.9 million,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$17.5 million and $17.4 million,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573,613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509,430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605,512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346,668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53,425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55,945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1,616,579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1,324,122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60,850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261,727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262,065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2,718,272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2,398,720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2,742,528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Customer refund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Income tax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347,757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510,805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Notes payable, net of discount and unamortized issuance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516,828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1,159,517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1,039,822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1,222,145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Preferred stock; 1,000 shares authorized; no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 $0.01 par value; 120,000 shares authorized; 49,396, 49,396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 49,396 shares issued,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460,999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450,961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1,147,639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942,733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1,117,005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held in treasury, at cost - 1,209, 1,019 and 1,480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(31,953)</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(27,025)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1,558,292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1,357,876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1,519,912</w:t>
            </w:r>
          </w:p>
        </w:tc>
        <w:tc>
          <w:tcPr>
            <w:tcW w:w="0" w:type="dxa"/>
            <w:vAlign w:val="bottom"/>
          </w:tcPr>
          <w:p>
            <w:pPr>
              <w:spacing w:after="0"/>
              <w:rPr>
                <w:sz w:val="1"/>
                <w:szCs w:val="1"/>
                <w:color w:val="auto"/>
              </w:rPr>
            </w:pPr>
          </w:p>
        </w:tc>
      </w:tr>
      <w:tr>
        <w:trPr>
          <w:trHeight w:val="196"/>
        </w:trPr>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redeemable noncontrolling interests and stockholders' 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2,718,272</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2,398,720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660" w:type="dxa"/>
            <w:vAlign w:val="bottom"/>
            <w:gridSpan w:val="4"/>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32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9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688,757</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519,910</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442,718</w:t>
            </w: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324,441</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profit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246,039</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195,469</w:t>
            </w:r>
          </w:p>
        </w:tc>
        <w:tc>
          <w:tcPr>
            <w:tcW w:w="0" w:type="dxa"/>
            <w:vAlign w:val="bottom"/>
          </w:tcPr>
          <w:p>
            <w:pPr>
              <w:spacing w:after="0"/>
              <w:rPr>
                <w:sz w:val="1"/>
                <w:szCs w:val="1"/>
                <w:color w:val="auto"/>
              </w:rPr>
            </w:pPr>
          </w:p>
        </w:tc>
      </w:tr>
      <w:tr>
        <w:trPr>
          <w:trHeight w:val="203"/>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185,407</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141,603</w:t>
            </w:r>
          </w:p>
        </w:tc>
        <w:tc>
          <w:tcPr>
            <w:tcW w:w="0" w:type="dxa"/>
            <w:vAlign w:val="bottom"/>
          </w:tcPr>
          <w:p>
            <w:pPr>
              <w:spacing w:after="0"/>
              <w:rPr>
                <w:sz w:val="1"/>
                <w:szCs w:val="1"/>
                <w:color w:val="auto"/>
              </w:rPr>
            </w:pPr>
          </w:p>
        </w:tc>
      </w:tr>
      <w:tr>
        <w:trPr>
          <w:trHeight w:val="203"/>
        </w:trPr>
        <w:tc>
          <w:tcPr>
            <w:tcW w:w="5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6,095</w:t>
            </w:r>
          </w:p>
        </w:tc>
        <w:tc>
          <w:tcPr>
            <w:tcW w:w="1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Operating profit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54,537</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46,822</w:t>
            </w:r>
          </w:p>
        </w:tc>
        <w:tc>
          <w:tcPr>
            <w:tcW w:w="0" w:type="dxa"/>
            <w:vAlign w:val="bottom"/>
          </w:tcPr>
          <w:p>
            <w:pPr>
              <w:spacing w:after="0"/>
              <w:rPr>
                <w:sz w:val="1"/>
                <w:szCs w:val="1"/>
                <w:color w:val="auto"/>
              </w:rPr>
            </w:pPr>
          </w:p>
        </w:tc>
      </w:tr>
      <w:tr>
        <w:trPr>
          <w:trHeight w:val="203"/>
        </w:trPr>
        <w:tc>
          <w:tcPr>
            <w:tcW w:w="5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(loss) income</w:t>
            </w:r>
          </w:p>
        </w:tc>
        <w:tc>
          <w:tcPr>
            <w:tcW w:w="9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(2,708)</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0" w:type="dxa"/>
            <w:vAlign w:val="bottom"/>
          </w:tcPr>
          <w:p>
            <w:pPr>
              <w:spacing w:after="0"/>
              <w:rPr>
                <w:sz w:val="1"/>
                <w:szCs w:val="1"/>
                <w:color w:val="auto"/>
              </w:rPr>
            </w:pPr>
          </w:p>
        </w:tc>
      </w:tr>
      <w:tr>
        <w:trPr>
          <w:trHeight w:val="203"/>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Interest and financing charges, net</w:t>
            </w:r>
          </w:p>
        </w:tc>
        <w:tc>
          <w:tcPr>
            <w:tcW w:w="9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(12,203)</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(12,004)</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9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39,626</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36,638</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10,259</w:t>
            </w:r>
          </w:p>
        </w:tc>
        <w:tc>
          <w:tcPr>
            <w:tcW w:w="0" w:type="dxa"/>
            <w:vAlign w:val="bottom"/>
          </w:tcPr>
          <w:p>
            <w:pPr>
              <w:spacing w:after="0"/>
              <w:rPr>
                <w:sz w:val="1"/>
                <w:szCs w:val="1"/>
                <w:color w:val="auto"/>
              </w:rPr>
            </w:pPr>
          </w:p>
        </w:tc>
      </w:tr>
      <w:tr>
        <w:trPr>
          <w:trHeight w:val="196"/>
        </w:trPr>
        <w:tc>
          <w:tcPr>
            <w:tcW w:w="5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30,626</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26,379</w:t>
            </w:r>
          </w:p>
        </w:tc>
        <w:tc>
          <w:tcPr>
            <w:tcW w:w="0" w:type="dxa"/>
            <w:vAlign w:val="bottom"/>
          </w:tcPr>
          <w:p>
            <w:pPr>
              <w:spacing w:after="0"/>
              <w:rPr>
                <w:sz w:val="1"/>
                <w:szCs w:val="1"/>
                <w:color w:val="auto"/>
              </w:rPr>
            </w:pPr>
          </w:p>
        </w:tc>
      </w:tr>
      <w:tr>
        <w:trPr>
          <w:trHeight w:val="203"/>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Less: (Loss) income attributable to noncontrolling interests</w:t>
            </w:r>
          </w:p>
        </w:tc>
        <w:tc>
          <w:tcPr>
            <w:tcW w:w="9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G-III Apparel Group, Ltd.</w:t>
            </w: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6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NET INCOME PER COMMON SHARE ATTRIBUTABLE TO G-III</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APPAREL GROUP, LTD.:</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gridSpan w:val="4"/>
          </w:tcPr>
          <w:p>
            <w:pPr>
              <w:ind w:left="120"/>
              <w:spacing w:after="0" w:line="162" w:lineRule="exact"/>
              <w:rPr>
                <w:sz w:val="20"/>
                <w:szCs w:val="20"/>
                <w:color w:val="auto"/>
              </w:rPr>
            </w:pPr>
            <w:r>
              <w:rPr>
                <w:rFonts w:ascii="Times New Roman" w:cs="Times New Roman" w:eastAsia="Times New Roman" w:hAnsi="Times New Roman"/>
                <w:sz w:val="17"/>
                <w:szCs w:val="17"/>
                <w:color w:val="auto"/>
              </w:rPr>
              <w:t>Basic:</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3"/>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48,016</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48,377</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40" w:type="dxa"/>
            <w:vAlign w:val="bottom"/>
            <w:gridSpan w:val="4"/>
          </w:tcPr>
          <w:p>
            <w:pPr>
              <w:ind w:left="120"/>
              <w:spacing w:after="0" w:line="162" w:lineRule="exact"/>
              <w:rPr>
                <w:sz w:val="20"/>
                <w:szCs w:val="20"/>
                <w:color w:val="auto"/>
              </w:rPr>
            </w:pPr>
            <w:r>
              <w:rPr>
                <w:rFonts w:ascii="Times New Roman" w:cs="Times New Roman" w:eastAsia="Times New Roman" w:hAnsi="Times New Roman"/>
                <w:sz w:val="17"/>
                <w:szCs w:val="17"/>
                <w:color w:val="auto"/>
              </w:rPr>
              <w:t>Diluted:</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3"/>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49,108</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49,510</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30,626</w:t>
            </w:r>
          </w:p>
        </w:tc>
        <w:tc>
          <w:tcPr>
            <w:tcW w:w="140" w:type="dxa"/>
            <w:vAlign w:val="bottom"/>
          </w:tcPr>
          <w:p>
            <w:pPr>
              <w:spacing w:after="0"/>
              <w:rPr>
                <w:sz w:val="17"/>
                <w:szCs w:val="17"/>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26,379</w:t>
            </w:r>
          </w:p>
        </w:tc>
        <w:tc>
          <w:tcPr>
            <w:tcW w:w="0" w:type="dxa"/>
            <w:vAlign w:val="bottom"/>
          </w:tcPr>
          <w:p>
            <w:pPr>
              <w:spacing w:after="0"/>
              <w:rPr>
                <w:sz w:val="1"/>
                <w:szCs w:val="1"/>
                <w:color w:val="auto"/>
              </w:rPr>
            </w:pPr>
          </w:p>
        </w:tc>
      </w:tr>
      <w:tr>
        <w:trPr>
          <w:trHeight w:val="203"/>
        </w:trPr>
        <w:tc>
          <w:tcPr>
            <w:tcW w:w="5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9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(4,130)</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(6,959)</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(6,959)</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26,496</w:t>
            </w: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19,420</w:t>
            </w: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5520" w:type="dxa"/>
            <w:vAlign w:val="bottom"/>
            <w:gridSpan w:val="3"/>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Comprehensive (loss) income attributable to noncontrolling interests: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Net (loss) income</w:t>
            </w:r>
          </w:p>
        </w:tc>
        <w:tc>
          <w:tcPr>
            <w:tcW w:w="9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5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Comprehensive (loss) income attributable to noncontrolling interests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G-III Apparel Group, Ltd.</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26,490</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left="54"/>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$ 456,329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1,117,005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(39,157)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1,519,912</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(8,675)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$ 460,999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1,147,639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(31,953)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1,558,292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$ 448,417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(27,029)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1,336,241</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(6,963)</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Cumulative effect of change in accounting</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principle</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2021</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$ 450,961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4"/>
          </w:tcPr>
          <w:p>
            <w:pPr>
              <w:jc w:val="center"/>
              <w:ind w:right="11"/>
              <w:spacing w:after="0" w:line="104"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 received from unconsolidated affiliate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gain in unconsolidated affiliates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equity investment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financing charges and debt discount amortization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assets,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Customer refund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in e-commerce retailer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 of borrowings - revolving facility</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borrowings - revolving facility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 of borrowings - foreign facilities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borrowings - foreign facilities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465,984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351,934</w:t>
            </w:r>
          </w:p>
        </w:tc>
        <w:tc>
          <w:tcPr>
            <w:tcW w:w="0" w:type="dxa"/>
            <w:vAlign w:val="bottom"/>
          </w:tcPr>
          <w:p>
            <w:pPr>
              <w:spacing w:after="0"/>
              <w:rPr>
                <w:sz w:val="1"/>
                <w:szCs w:val="1"/>
                <w:color w:val="auto"/>
              </w:rPr>
            </w:pPr>
          </w:p>
        </w:tc>
      </w:tr>
      <w:tr>
        <w:trPr>
          <w:trHeight w:val="25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438,411</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payments: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net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payments, net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KL North America B.V. (“KLNA”) is a Dutch joint venture limited liability company that is 49% owned by the Company. Karl Lagerfeld Holding B.V. (“KLH”) is a Dutch limited liability company that is 19% owned by the Company. The Company accounts for these two investments using the equity method of accounting. All material intercompany balances and transactions have been eliminated. See Note 13 – Subsequent Events with respect to an agreement entered into by the Company to increase its percentage ownership interest in KLH to 100%. Once KLH becomes wholly-owned by the Company, KLNA will become an indirect wholly owned subsidiary of the Company.</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Vilebrequin International SA (“Vilebrequin”), a Swiss corporation that is wholly-owned by the Company, KLH, KLNA, Fabco Holding B.V. (“Fabco”) and Sonia Rykiel, which the Company purchased in October 2021, report results on a calendar year basis rather than on the January 31 fiscal year basis used by the Company. Accordingly, the results of Vilebrequin, KLH, KLNA, Fabco and Sonia Rykiel are, and will be, included in the financial statements for the quarter ended or ending closest to the Company’s fiscal quarter end. For example, with respect to the Company’s results for the three-month period ended April 30, 2022, the results of Vilebrequin, KLH, KLNA, Fabco and Sonia Rykiel are included for the three-month period ended March 31, 2022. The Company’s retail operations segment reports on a 52/53-week fiscal year. The Company’s three-month periods ended April 30, 2022 and 2021 were each 13-week periods for the retail operations segment. For fiscal 2023 and 2022, the three-month periods for the retail operations segment ended on April 30, 2022 and May 1, 2021, respectively.</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results for the three months ended April 30, 2022 are not necessarily indicative of the results expected for the entire fiscal year, given the seasonal nature of the Company’s business and the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financial statements and notes included in the Company’s Annual Report on Form 10-K for the fiscal year ended January 31, 2022 filed with the Securities and Exchange Commission (the “SEC”).</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2 – Allowance for Doubtful Accounts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April 30, 2022, April 30, 2021 and January 31, 2022 were: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April 30,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10"/>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589,233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590,552</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(16,858)</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(16,939)</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572,375</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573,613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April 30,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525,568</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526,896</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(17,414)</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(17,466)</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508,154</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509,430</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620,737</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622,903</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(17,307)</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(17,391)</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603,430</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605,512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280" w:space="720"/>
            <w:col w:w="5019"/>
          </w:cols>
          <w:pgMar w:left="1440" w:top="513" w:right="1440" w:bottom="1440" w:gutter="0" w:footer="0" w:header="0"/>
          <w:type w:val="continuous"/>
        </w:sect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activity in its allowance for credit losses: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5"/>
                <w:szCs w:val="15"/>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April 30, 2022</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2021</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(17,429)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3 – Inventories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was $16.4 million, $16.9 million and $18.9 million as of April 30, 2022, April 30, 2021 and January 31, 2022, respectively. The inventory return asset is recorded within prepaid expenses and other current assets on the condensed consolidated balance sheets.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$5.9 million, $4.6 million and $4.5 million at April 30, 2022, April 30, 2021 and January 31, 2022, respectively. Consignment inventory is stored at the facilities of the Company’s customers. The Company reflects this inventory on its condensed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4 – Fair Value of Financial Instruments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66"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4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5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Pr>
          <w:p>
            <w:pPr>
              <w:spacing w:after="0"/>
              <w:rPr>
                <w:sz w:val="11"/>
                <w:szCs w:val="11"/>
                <w:color w:val="auto"/>
              </w:rPr>
            </w:pPr>
          </w:p>
        </w:tc>
        <w:tc>
          <w:tcPr>
            <w:tcW w:w="88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9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7"/>
        </w:trPr>
        <w:tc>
          <w:tcPr>
            <w:tcW w:w="2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400,000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416,000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422,020</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115,926</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109,406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110,123</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8,816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condensed consolidated balance sheets, which may differ from their respective fair values. The fair value of the Company’s secured notes is based on their current market price as of April 30, 2022.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The 2% note in the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purposes of this fair value</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disclosure, the Company based its fair value estimate for the LVMH Note on the initial fair value as determined at the date of the acquisition of DKNY and Donna Karan and records the amortization using the effective interest method over the term of the LVMH Note.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LVMH Note was considered a Level 3 valuation in the fair value hierarchy.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Non-Financial Assets and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Times New Roman" w:cs="Times New Roman" w:eastAsia="Times New Roman" w:hAnsi="Times New Roman"/>
          <w:sz w:val="18"/>
          <w:szCs w:val="18"/>
          <w:color w:val="212529"/>
        </w:rPr>
        <w:t>During the fourth quarter of fiscal 2022,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Company recorded a $1.5 million impairment charge primarily related to leasehold improvements, furniture and fixtures and operating lease assets at certain DKNY, Karl Lagerfeld Paris and Vilebrequin stores as a result of the performance at these stores.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5 – Leases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lease assets and liabilities as of April 30, 2022, April 30, 2021 and January 31, 2022 consist of the following:</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169,595</w:t>
            </w:r>
          </w:p>
        </w:tc>
      </w:tr>
      <w:tr>
        <w:trPr>
          <w:trHeight w:val="216"/>
        </w:trPr>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42,763</w:t>
            </w: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2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139,686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142,868</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185,631</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recorded lease costs of $14.1 million and $13.6 million during the three months ended April 30, 2022 and 2021, respectively. Lease costs are recorded within selling, general and administrative expenses in the Company’s condensed consolidated statements of operations and comprehensive income. The Company recorded variable lease costs and short-term lease costs of $5.1 million and $1.5 million for the three months ended April 30, 2022 and 2021, respectively.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April 30, 2022, the Company’s maturity of operating lease liabilities in the years ending up to January 31, 2027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41,025</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45,347</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30,712</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2027</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46,103</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225,882</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45,084</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180,798</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April 30, 2022, there are no material leases that are legally binding but have not yet commenced.</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April 30, 2022, the weighted average remaining lease term related to operating leases is 5.4 years. The weighted average discount rate related to operating leases is 8.3%.</w:t>
      </w:r>
    </w:p>
    <w:p>
      <w:pPr>
        <w:spacing w:after="0" w:line="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is $15.0 million and $14.8 million during the three months ended April 30, 2022 and April 30, 2021, respectively. Right-of-use assets obtained in exchange for lease obligations were $8.6 million and $6.5 million during the three months ended April 30, 2022 and April 30, 2021,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6 – Net Income per Common Share</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113,300 and 238,500 shares of common stock have been excluded from the diluted net income per share calculation for the three months ended April 30, 2022 and 2021, respectively, as they are anti-dilutive. All share-based payments outstanding that vest based on the achievement of performance conditions, and for which the respective performance conditions have not been achieved, have been excluded from the diluted per share calculation.</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per share: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6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Borders>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5"/>
              </w:rPr>
              <w:t>share</w:t>
            </w:r>
          </w:p>
        </w:tc>
        <w:tc>
          <w:tcPr>
            <w:tcW w:w="1080" w:type="dxa"/>
            <w:vAlign w:val="bottom"/>
            <w:tcBorders>
              <w:bottom w:val="single" w:sz="8" w:color="auto"/>
            </w:tcBorders>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8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300" w:type="dxa"/>
            <w:vAlign w:val="bottom"/>
            <w:vMerge w:val="continue"/>
          </w:tcPr>
          <w:p>
            <w:pPr>
              <w:spacing w:after="0"/>
              <w:rPr>
                <w:sz w:val="13"/>
                <w:szCs w:val="13"/>
                <w:color w:val="auto"/>
              </w:rPr>
            </w:pPr>
          </w:p>
        </w:tc>
        <w:tc>
          <w:tcPr>
            <w:tcW w:w="1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and per share amounts)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2080" w:type="dxa"/>
            <w:vAlign w:val="bottom"/>
            <w:gridSpan w:val="2"/>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0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3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3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10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3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 shares</w:t>
            </w:r>
          </w:p>
        </w:tc>
        <w:tc>
          <w:tcPr>
            <w:tcW w:w="10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49,108</w:t>
            </w:r>
          </w:p>
        </w:tc>
        <w:tc>
          <w:tcPr>
            <w:tcW w:w="3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20" w:type="dxa"/>
            <w:vAlign w:val="bottom"/>
          </w:tcPr>
          <w:p>
            <w:pPr>
              <w:spacing w:after="0"/>
              <w:rPr>
                <w:sz w:val="18"/>
                <w:szCs w:val="18"/>
                <w:color w:val="auto"/>
              </w:rPr>
            </w:pP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tcPr>
          <w:p>
            <w:pPr>
              <w:spacing w:after="0"/>
              <w:rPr>
                <w:sz w:val="18"/>
                <w:szCs w:val="18"/>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7 – Notes Payable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2021</w:t>
            </w:r>
          </w:p>
        </w:tc>
        <w:tc>
          <w:tcPr>
            <w:tcW w:w="140" w:type="dxa"/>
            <w:vAlign w:val="bottom"/>
          </w:tcPr>
          <w:p>
            <w:pPr>
              <w:spacing w:after="0"/>
              <w:rPr>
                <w:sz w:val="15"/>
                <w:szCs w:val="15"/>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28"/>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LVMH Note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09"/>
        </w:trPr>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536,270</w:t>
            </w:r>
          </w:p>
        </w:tc>
      </w:tr>
      <w:tr>
        <w:trPr>
          <w:trHeight w:val="216"/>
        </w:trPr>
        <w:tc>
          <w:tcPr>
            <w:tcW w:w="4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(7,218)</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r>
      <w:tr>
        <w:trPr>
          <w:trHeight w:val="216"/>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Debt discount</w:t>
            </w:r>
          </w:p>
        </w:tc>
        <w:tc>
          <w:tcPr>
            <w:tcW w:w="18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(9,074)</w:t>
            </w:r>
          </w:p>
        </w:tc>
        <w:tc>
          <w:tcPr>
            <w:tcW w:w="1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(15,594)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r>
      <w:tr>
        <w:trPr>
          <w:trHeight w:val="216"/>
        </w:trPr>
        <w:tc>
          <w:tcPr>
            <w:tcW w:w="4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(4,554)</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(5,105)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0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516,828</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509,784</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515,344</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64" w:lineRule="exact"/>
        <w:rPr>
          <w:sz w:val="20"/>
          <w:szCs w:val="20"/>
          <w:color w:val="auto"/>
        </w:rPr>
      </w:pPr>
    </w:p>
    <w:p>
      <w:pPr>
        <w:jc w:val="both"/>
        <w:ind w:left="380" w:right="79" w:hanging="330"/>
        <w:spacing w:after="0" w:line="243"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Does not include debt issuance costs, net of amortization, totaling $5.2 million, $6.8 million and $5.6 million as of April 30, 2022, April 30, 2021 and January 31, 2022, respectively, related to the revolving credit facility. These debt issuance costs have been deferred and are classified in assets in the accompanying condensed consolidated balance sheets in accordance with ASC 835.</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$300 million that was outstanding under the Company’s prior term loan facility due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 In addition, the Company had unamortized debt issuance costs of $6.1 million associated with the Term Loan. Upon repayment of the Term Loan, these debt issuance costs were fully extinguished and charged to interest expense in the Company’s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April 30, 2022, the Company was in compliance with these covenants.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April 30, 2022, the Company had no borrowings outstanding under the ABL Credit Agreement. The ABL credit agreement also includes amounts available for letters of credit. As of April 30, 2022, there were outstanding trade and standby letters of credit amounting to $18.8 million and $3.4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the ABL Credit Agreement. As permitted under ASC 835, the debt issuance costs have been deferred and are presented as an asset which is amortized ratably over the term of the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portion of the consideration for the acquisition of DKI,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2020 and fiscal 2021, T.R.B International SA (“TRB”), a subsidiary of Vilebrequin, borrowed funds under several unsecured loans. A portion of the unsecured loans was to provide funding for operations in the normal course of business, while other unsecured loans were various European state backed loans as part of COVID-19 relief programs. Additionally, Sonia Rykiel borrowed funds pursuant to European state backed loans that were part of COVID-19 relief programs. In the aggregate, the Company is currently required to make quarterly installment payments of €0.2 million under these loans. Interest on the outstanding principal amount of the unsecured loans accrues at a fixed rate equal to 0% to 2.0% per annum, payable on either a quarterly or monthly basis. As of April 30, 2022, the Company had an aggregate outstanding balance of €7.1 million ($7.8 million) under these unsecured loans.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fiscal 2022,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facilities with UBS Bank in Switzerland for an aggregate of CHF 4.7 million at varying interest rates of 0% to 0.5%. As of April 30, 2022, TRB had an aggregate of €2.8 million ($3.1 million) drawn under these facilities.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8 – Revenue Recognition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G.H. Bass, Andrew Marc and Vilebrequin trademarks owned by the Company. As of April 30, 2022, revenues from license agreements represented an insignificant portion of wholesale revenues.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digital channels for the DKNY, Donna Karan, G.H. Bass, Karl Lagerfeld Paris, Andrew Marc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$3.6 million, $4.1 million and $5.1 million at April 30, 2022, April 30, 2021 and January 31, 2022, respectively. The Company recognized $3.7 million in revenue for the three months ended April 30, 2022 related to contract liabilities that existed at January 31, 2022. The Company recognized $3.2 million in revenue for the three months ended April 30, 2021 related to contract liabilities that existed at January 31, 2021. There were no contract assets recorded as of April 30, 2022, April 30, 2021 and January 31, 2022. Substantially all of the advance payments from licensees as of April 30, 2022 are expected to be recognized as revenue within the next twelve months.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9 – Segments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which consists primarily of DKNY and Karl Lagerfeld Paris stores, as well as the digital channels for DKNY, Donna Karan, Karl Lagerfeld Paris, G.H. Bass, Andrew Marc and Wilsons Leather. Substantially all DKNY and Karl Lagerfeld Paris stores are operated as outlet stores.</w:t>
      </w:r>
    </w:p>
    <w:p>
      <w:pPr>
        <w:sectPr>
          <w:pgSz w:w="11900" w:h="16838" w:orient="portrait"/>
          <w:cols w:equalWidth="0" w:num="1">
            <w:col w:w="9019"/>
          </w:cols>
          <w:pgMar w:left="1440" w:top="513"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is presented for the three-month periods indicated below:</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April 30, 2022</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(20,032)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688,757</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(20,032)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442,718</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246,039</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185,407</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0" w:type="dxa"/>
            <w:vAlign w:val="bottom"/>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April 30,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519,910</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325,821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324,441</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195,469</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20" w:type="dxa"/>
            <w:vAlign w:val="bottom"/>
            <w:shd w:val="clear" w:color="auto" w:fill="CCEEFF"/>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54,147</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46,822</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by licensed and proprietary product sales for each of the Company’s reportable segments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28"/>
        </w:trPr>
        <w:tc>
          <w:tcPr>
            <w:tcW w:w="49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459,984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1,820,491</w:t>
            </w: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890,296</w:t>
            </w: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Wholesale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680,904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511,514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2,710,787</w:t>
            </w:r>
          </w:p>
        </w:tc>
      </w:tr>
      <w:tr>
        <w:trPr>
          <w:trHeight w:val="196"/>
        </w:trPr>
        <w:tc>
          <w:tcPr>
            <w:tcW w:w="4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39,604</w:t>
            </w: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78,052</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117,656</w:t>
            </w: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10 – Stockholders’ Equity</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2022, the Company issued no shares of common stock and utilized 271,536 shares of treasury stock in connection with the vesting of equity awards. For the three months ended April 30, 2021, the Company issued no shares of common stock and utilized 158 shares of treasury stock in connection with the vesting of equity awards.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11 – Canadian Customs Duty Examination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3" w:lineRule="exact"/>
        <w:rPr>
          <w:sz w:val="20"/>
          <w:szCs w:val="20"/>
          <w:color w:val="auto"/>
        </w:rPr>
      </w:pPr>
    </w:p>
    <w:p>
      <w:pPr>
        <w:ind w:left="60" w:right="79" w:hanging="10"/>
        <w:spacing w:after="0" w:line="260" w:lineRule="auto"/>
        <w:tabs>
          <w:tab w:leader="none" w:pos="2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to the vendor. The CBSA has also requested that G-III Canada change the valuation method used to pay duties with respect to goods imported in the future.</w:t>
      </w:r>
    </w:p>
    <w:p>
      <w:pPr>
        <w:spacing w:after="0" w:line="181"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w:t>
      </w:r>
    </w:p>
    <w:p>
      <w:pPr>
        <w:sectPr>
          <w:pgSz w:w="11900" w:h="16838" w:orient="portrait"/>
          <w:cols w:equalWidth="0" w:num="1">
            <w:col w:w="9019"/>
          </w:cols>
          <w:pgMar w:left="1440" w:top="513"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months ended April 30, 2022 related to the higher dutiable values, however, the Company paid interest in the amount of CAD$1.0 million (US$0.8 million) on the additional duties for the period January 15, 2018 through November 25, 2020, the date of the CBSA’s final decision as discussed below. Cumulative amounts paid and deferred through April 30, 2022, related to the higher dutiable values, were CAD$14.4 million (US$11.6 million).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CBSA has issued its final decision denying the appeal filed by G-III Canada with the President’s Office of the CBSA. G-III Canada has filed a Notice of Appeal with the Canadian International Trade Tribunal (the “Tribunal”) further appealing the CBSA decision. A hearing on the appeal was held on December 7, 2021.</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G-III Canada, based on the advice of counsel, believes it has positions that support its valuations for duty as declared and therefore its ability to receive a refund of amounts claimed to be owed to the CBSA on appeal.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12 – Recent Adopted and Issued Accounting Pronouncements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accounting guidance adopted during the three months ended April 30,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Issued Accounting Guidance Being Evaluated for Adoption</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issued ASU 2020-04, “Facilitation of the Effects of Reference Rate Reform on Financial Reporting” and in January 2021, issued ASU 2021-01, “Reference Rate Reform: Scope”. Both of these updates aim to ease the potential burden in accounting for reference rate reform. These updates provide optional expedients and exceptions, if certain criteria are met, for applying accounting principles generally accepted in the United States to contract modifications, hedging relationships and other transactions affected by the expected market transition from the London Interbank Offered Rate (“LIBOR”) and other interbank offered rates to alternative reference rates, such as the Secured Overnight Financing Rate (“SOFR”). The amendments were effective upon issuance and allow companies to adopt the amendments on a prospective basis through December 31, 2022. The Company has not applied this ASU to any existing contracts in the current year. As of April 30, 2022, the Company had availability of approximately $560 million under its revolving credit facility. The interest rate under this facility is indexed to LIBOR. As such, the revolving credit facility is likely to be impacted when LIBOR quotations cease to be available. The Company is evaluating the impact that the guidance will have on its condensed consolidated financial statements and related disclosures and currently does not expect that any impact would be material.</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Note 13 – Subsequent Events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29, 2022, the Company entered into a share purchase agreement (the “Purchase Agreement”) with a group of private and public investors pursuant to which the Company agreed to acquire, on the terms set forth and subject to the conditions set forth in the Purchase Agreement, the remaining 81% in interests in KLH that it did not already own, for an aggregate consideration of €200 million (approximately $214 million) in cash, subject to certain adjustments. The acquisition closed on May 31, 2022. The Company funded the purchase price from cash on hand.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May 31, 2022, KLH is a consolidated wholly-owned subsidiary of the Company. Prior to May 31, 2022, the Company accounted for its investment in KLH using the equity method of accounting. Once KLH becomes wholly-owned by the Company, KLNA will become an indirect wholly owned subsidiary of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2023 is referred to as “fiscal 2023.”</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Vilebrequin, KLH, KLNA, Fabco and Sonia Rykiel report results on a calendar year basis rather than on the January 31 fiscal year basis used by G-III. Accordingly, the results of Vilebrequin, KLH, KLNA, Fabco and Sonia Rykiel are, and will be, included in our financial statements for the quarter ended or ending closest to G-III’s fiscal quarter end. For example, with respect to our results for the three-month period ended April 30, 2022, the results of Vilebrequin, KLH, KLNA, Fabco and Sonia Rykiel are included for the three-month period ended March 31, 2022. We account for our investment in each of KLH and KLNA using the equity method of accounting. As of May 31, 2022, KLH and KLNA are accounted for as consolidated wholly-owned subsidiaries of the Company. The Company’s retail operations segment uses a 52/53-week fiscal year. For fiscal 2023 and 2022, the three-month period for the retail operations segment were each 13-week periods and ended on April 30, 2022 and May 1, 2021, respectively.</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8" w:lineRule="exact"/>
        <w:rPr>
          <w:sz w:val="20"/>
          <w:szCs w:val="20"/>
          <w:color w:val="auto"/>
        </w:rPr>
      </w:pPr>
    </w:p>
    <w:p>
      <w:pPr>
        <w:jc w:val="both"/>
        <w:ind w:left="720" w:right="79" w:hanging="319"/>
        <w:spacing w:after="0" w:line="25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material license agreements could cause us to lose significant revenues and have a material adverse effect on our results of operations;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relationship with PVH and its Calvin Klein or Tommy Hilfiger brands would have a material adverse effect on our results of operations;</w:t>
      </w:r>
    </w:p>
    <w:p>
      <w:pPr>
        <w:jc w:val="both"/>
        <w:ind w:left="720" w:right="5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wholesale operations including, among others, maintaining the image of our proprietary brands, business practices of our customers that could adversely affect us and retail customer concentration;</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our retail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operating through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 and effect of unseasonable or extreme weather on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from disruptions to the worldwide supply chain;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licensees may not generate expected sales or maintain the value of our brands;</w:t>
      </w:r>
    </w:p>
    <w:p>
      <w:pPr>
        <w:spacing w:after="0" w:line="9"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environment on us, our customers, suppliers and vendors, including without limitation, the effects of inflationary cost pressures;</w:t>
      </w:r>
    </w:p>
    <w:p>
      <w:pPr>
        <w:ind w:left="720" w:right="2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war, acts of terrorism, natural disasters or public health crises could adversely affect our business and results of operations;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foreign manufacturers;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expansion into foreign markets, conducting business internationally and exposures to foreign currencies;</w:t>
      </w:r>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adoption of a national security law in Hong Kong;</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right="39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of data security or privacy breaches;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audit by the Canadian Border Services Agency;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or exposure to additional tax liabilities could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corporate responsibility issues by stakeholders;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2022. We undertake no obligation to publicly update or revise any forward-looking statements, whether as a result of new information, future events or otherwise, except as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We are not only licensees, but also brand owners, and we distribute our products through multiple channels.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own proprietary brands include DKNY, Donna Karan, Vilebrequin, G.H. Bass, Eliza J, Jessica Howard, Andrew Marc, Marc New York, Wilsons Leather, Sonia Rykiel and, effective as of May 31, 2022, Karl Lagerfeld. We sell products under an extensive portfolio of well-known licensed brands, including Calvin Klein, Tommy Hilfiger, Karl Lagerfeld Paris (prior to it becoming a wholly-owned brand as of May 31, 2022),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including its Bloomingdale’s division, Dillard’s, Hudson’s Bay Company, including their Saks Fifth Avenue division, Nordstrom, Kohl’s, TJX Companies, Ross Stores and Burlington. We also sell our products using digital channels through retail partners such as macys.com, nordstrom.com and dillards.com, each of which has a substantial online business. In addition, we sell to leading online retail partners such as Amazon, Fanatics, Zalando and Zappos.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and Karl Lagerfeld Paris retail stores, as well as through our digital channels for the DKNY, Donna Karan, Karl Lagerfeld Paris, G.H. Bass, Andrew Marc, Wilsons Leather and Sonia Rykiel businesses.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products that are accepted in the marketplace, source the manufacture of our products on a competitive basis, and continue to diversify our product portfolio and the markets we serve.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Effective May 31, 2022, we own three of our power brands (DKNY, Donna Karan and Karl Lagerfeld) and license two of our power brands (Calvin Klein and Tommy Hilfiger). It is our objective to continue to expand our product offerings and we are continually discussing new licensing opportunities with brand owners and seeking to acquire established brands.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29, 2022, we entered into a share purchase agreement (the “Purchase Agreement”) with a group of private and public investors pursuant to which we agreed to acquire, on the terms set forth and subject to the conditions set forth in the Purchase Agreement, the remaining 81% in interests in KLH that we did not already own, for an aggregate consideration of €200 million ($214 million) in cash, subject to certain adjustments. The acquisition closed on May 31, 2022. We funded the purchase price from cash on hand.</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addition of the iconic Karl Lagerfeld fashion brand to the G-III portfolio advances several of our key priorities, including increasing the direct ownership of brands and their licensing opportunities and further diversifying our global presence. This acquisition represents a significant opportunity to expand our international growth by further developing our European-based brands, which already include Vilebrequin and Sonia Rykiel. We also believe that Karl Lagerfeld’s existing digital channel presence should enable us to enhance our omni-channel business and further accelerate our digital priorities. The influential legacy of the Karl Lagerfeld brand embodies a creative expression that aligns with our goal to provide innovative products for our customers.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May 31, 2022, KLH is a consolidated wholly-owned subsidiary of ours. Prior to May 31, 2022, we accounted for our investment in KLH using the equity method of accounting. Once KLH becomes wholly-owned by the Company, KLNA will become an indirect wholly owned subsidiary of the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company-operated stores and through digital channels. Our company-operated stores consists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COVID-19 pandemic has affected businesses around the world since the first quarter of fiscal 2021. Federal, state and local governments in the United States and around the world, as well as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of the financial and retail markets, including a disruption in consumer demand for apparel and accessories.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COVID-19 pandemic continues to impact the global economy. During the three months ended April 30, 2022, consumer demand for apparel and accessories, as well as other consumer discretionary spending, increased as compared to the comparable quarter in fiscal 2021. While businesses reopened as stay at home orders were lifted and various restrictions on the operation of retail businesses were loosened, the continued economic impact of the COVID-19 pandemic remains uncertain. The spread of additional variants could result in the reimposition of restrictions on commercial and social activities that would adversely impact our business. We have experienced significant improvements in our results of operations for fiscal 2022 and the first quarter of fiscal 2023 compared to fiscal 2021 which was severly impacted by COVID-19. However, the COVID-19 pandemic could continue to adversely impact our business operations and results of operations.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continued impact of the COVID-19 pandemic on our business operations remains uncertain and cannot be predicted. The extent to which COVID-19 impacts our results will depend on continued developments in the United States and around the world in the public and private responses to the pandemic. New information may emerge concerning the severity of the outbreak and the spread of variants, including the Delta, Omicron or other variants, of the COVID-19 virus in locations that are important to our business. Actions taken to contain COVID-19 or treat its impact may change or become more restrictive if additional waves of infections occur.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sell our products online through retail partners such as macys.com, nordstrom.com and dillards.com, each of which has a substantial online business. As sales of apparel through digital channels continue to increase, we are developing additional digital marketing initiatives on our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www.andrewmarc.com, www.wilsonsleather.com and www.soniarykiel.com. We also sell Karl Lagerfeld Paris products on our website, www.karllagerfeldparis.com. In addition, we sell to leading online retail partners such as Amazon, Fanatics, Zalando and Zappos and have made minority investments in two different e-commerce retailers.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Consumers have shifted their apparel purchases based on their adjusted lifestyle needs resulting from changes to the work environment and leisure activities caused by the COVID-19 pandemic. We revised our product offerings in response to the pandemic-induced shift toward casual and comfortable work-from-home clothing, as well as to activewear and leisure attire. We continue to revise our product lines to satisfy the changing needs of our retail customers and consumers as businesses have reopened offices and restrictions on social gatherings have been loosened. These changes have resulted in an increase in demand for day and occasion dresses, as well as career wear such as suit separates. We are working diligently to satisfy this demand from our retail partners and consumers.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Inflationary pressures have impacted our industry. Beginning in fiscal 2022 and continuing in the current fiscal year, we have experienced inflationary pressures, most significantly related to our freight costs as discussed below under </w:t>
      </w:r>
      <w:r>
        <w:rPr>
          <w:rFonts w:ascii="Times New Roman" w:cs="Times New Roman" w:eastAsia="Times New Roman" w:hAnsi="Times New Roman"/>
          <w:sz w:val="18"/>
          <w:szCs w:val="18"/>
          <w:i w:val="1"/>
          <w:iCs w:val="1"/>
          <w:color w:val="auto"/>
        </w:rPr>
        <w:t>“Supply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Chain”</w:t>
      </w:r>
      <w:r>
        <w:rPr>
          <w:rFonts w:ascii="Times New Roman" w:cs="Times New Roman" w:eastAsia="Times New Roman" w:hAnsi="Times New Roman"/>
          <w:sz w:val="18"/>
          <w:szCs w:val="18"/>
          <w:color w:val="auto"/>
        </w:rPr>
        <w:t>. We expect inflationary pressures to continue to impact our business throughout fiscal 2023. We have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price increases on our products. We expect to continue to implement selected price increases in an effort to mitigate the effect of higher costs, although, the impact of price increases on consumer demand and on our business and results of operations is uncertain.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effects of the COVID-19 pandemic on the shipping industry have negatively impacted our ability to ensure that we are able to import our product in a manner that allows for timely delivery to our customers. Congestion at ports of loading and ports of entry have caused significant changes to the itineraries of our steamship carriers and caused us to consider alternate service routes. These alternate routes would require additional trucking for us and our customers. Truck driver shortages, shortages of truck equipment such as the chassis that the containers are transported on, and the inability of ports to provide reliable pick uptimes, have also negatively impacted our ability to timely receive goods.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Contractual shipping rates have increased as a result of increased demand for container space and the logistical delays experienced by the shipping industry. Our costs have increased as a result of higher contractual shipping rates and the need to purchase additional container space on the secondary market at higher spot rates. Terminals are also now imposing additional fees on importers not picking up containers on time, even when equipment and labor shortages negatively affect the ability of importers to pick up in a timely manner.</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we are unable to secure container space on a vessel due to limited availability, we may experience delays in shipping product from our overseas suppliers to our customers. Furthermore, even when we are able to secure space, ports around the world are experiencing congestion, slowing transit times of product through ports of entry which negatively affects our ability to timely receive and deliver product to our retail partners and customers. Our longstanding relationships with our steamship carriers have facilitated our ability to secure space on vessels as demand for apparel increases, although at rates that are significantly higher than in the past. We have increased prices on certain of our products to partially offset higher freight and other costs. We believe that the strength of our portfolio of global power brands will allow us to selectively raise prices in an effort to mitigate the effect of increased transportation and other costs.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recently executed new contracts with two of our long-term steamship carrier partners and are continuing to pursue new carrier relationships for additional capacity. We expect that our existing carriers will manage the demand in a more efficient manner in fiscal 2023 and, as a result, our reliance on the secondary market will be reduced. We are actively managing shipments based on delivery dates to better utilize contracted cargo space and attempt to reduce our reliance on the secondary market. We have also accelerated production schedules to allow for longer lead times in anticipation of the aforementioned delays.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 in Ukraine</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current war in Ukraine and the continued threat of terrorism, heightened security measures and military action in response to acts of terrorism or civil unrest has, at times, disrupted commerce and intensified concerns regarding the United States and world economies. Less than 1% of our revenue in fiscal 2022 was generated in Russia and Ukraine. As such, we do not expect that the war in Ukraine will have a direct material negative impact on our results of operations in fiscal 2023. However, the war has also led to, and may lead to further, broader unfavorable macroeconomic implications, including unfavorable foreign exchange rates, increases in fuel prices, food shortages and volatility in financial markets. These implications of the war in Ukraine could have a material adverse effect on our business and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2022 compared to three months ended April 30, 2021</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April 30, 2022 increased to $688.8 million from $519.9 million in the same period last year. Net sales of our segments are reported before intercompany eliminations.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$680.9 million for the three months ended April 30, 2022 from $511.5 million in the comparable period last year. This increase is primarily the result of a $67.0 million increase in net sales of Calvin Klein licensed products, a $27.9 million increase in net sales of our DKNY and Donna Karan products, a $20.9 million increase in net sales of Karl Lagerfeld Paris licensed products and a $14.8 million increase in net sales of Tommy Hilfiger licensed products. The increase in sales of Calvin Klein products was primarily related to dresses, women’s suits, handbags and jeanswear. The increase in sales of DKNY/Donna Karan products was primarily related to dresses, handbags and swimwear. The increase in sales of Karl Lagerfeld Paris products was primarily related to handbags, men’s outerwear and sportswear. The increase in sales of Tommy Hilfiger products was primarily related to jeanswear and dresses.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of our retail operations segment increased to $27.9 million for the three months ended April 30, 2022 from $19.4 million in the same period last year. This increase is primarily due to an increase in our store count in the current year. The number of retail stores operarted by us increased from 50 at April 30, 2021 to 60 at April 30, 2022. In addition, the continued recovery from the COVID-19 pandemic resulted in increased store traffic and comparable store sales during the three months ended April 30, 2022 compared to the same period last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Gross profit was $246.0 million, or 35.7% of net sales, for the three months ended April 30, 2022, compared to $195.5 million, or 37.6% of net sales, in the same period last year. The gross profit percentage in our wholesale operations segment was 34.1% in the three months ended April 30, 2022 compared to 36.3% in the same period last year. The gross profit percentage in the current year period was negatively impacted by inflationary pressure on product costs and increased freight costs, partially offset by benefits from less promotional activity and the implementation of price increases by us. The gross profit percentage in our retail operations segment was 49.9% for the three months ended April 30, 2022 compared to 50.3% for the same period last year.</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to $185.4 million in the three months ended April 30, 2022 from $141.6 million in the same period last year. The increase in expenses was primarily due to an increase of $15.5 million in compensation expense, primarily from increased salary and bonus expense. The increase in expenses was also due to a $7.9 million increase in contractual advertising, a $4.2 million increase in facility expenses and a $2.9 million increase in third-party warehouse expenses related to increased sales. In addition, professional fees increased $3.2 million primarily due to expenses associated with the acquisition of the Karl Lagerfeld business.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$6.1 million for the three months ended April 30, 2022 compared to $7.0 million in the same period last year. This decrease primarily relates to a reduction in capital expenditures during the COVID-19 pandemic.</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Other loss was $2.7 million in the three months ended April 30, 2022 compared to other income of $1.8 million for the same period last year. The change is primarily due to $3.4 million of foreign currency losses during the three months ended April 30, 2022 compared to foreign currency losses of $0.2 million during the same period last year. Foreign currency losses during the three months ended April 30, 2022 include $1.9 million of foreign currency losses related to the acquisition of the Karl Lagerfeld business and $1.3 million of foreign currency losses resulting from the strengthening of the U.S. Dollar against foreign currencies. We recorded other income of $1.2 million from non-refundable European government-backed grants received by Vilebrequin for COVID-19 relief compared to other income of $1.5 million from these government-backed grants in the same period last year. In addition, we recorded $0.7 million in income from unconsolidated affiliates during the three months ended April 30, 2022 compared to $0.5 million in income from unconsolidated affiliates in the same period last year.</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and financing charges, net, for the three months ended April 30, 2022 were $12.2 million compared to $12.0 million for the same period last year.</w:t>
      </w:r>
    </w:p>
    <w:p>
      <w:pPr>
        <w:sectPr>
          <w:pgSz w:w="11900" w:h="16838" w:orient="portrait"/>
          <w:cols w:equalWidth="0" w:num="1">
            <w:col w:w="9019"/>
          </w:cols>
          <w:pgMar w:left="1440" w:top="513" w:right="1440"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expense was $9.0 million for the three months ended April 30, 2022 compared to $10.3 million for the same period last year. Our effective tax rate decreased to 22.7% in the current year’s quarter from 28.0% in last year’s comparable quarter. This decrease is primarily due to an increase in forecasted foreign pre-tax income, which is taxed at a lower rate compared to the tax rates associated with income based in the United States. The decrease also included a $1.3 million discrete tax benefit related to a foreign tax credit carryback refund which was recorded in the first quarter of fiscal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Availability</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 We have also used cash to make minority investments in private companies and will use cash this year to acquire the remaining portion of the Karl Lagerfeld business.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April 30, 2022, we had cash and cash equivalents of $438.4 million and availability under our revolving credit facility of approximately $560 million. Subsequent to April 30, 2022, we used approximately $214 million of cash to acquire the Karl Lagerfeld business. As of April 30, 2022, we were in compliance with all covenants under our debt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the $300 million that was outstanding under our prior term loan facility due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any time prior to August 15, 2022, we may redeem some or all of the Notes at a price equal to 100% of the principal amount of the Notes redeemed plus accrued and unpaid interest, if any, to, but excluding, the applicable redemption date plus a “make-whole” premium, as described in the Indenture. On or after August 15, 2022, we may redeem some or all of the Notes at any time and from time to time at the redemption prices set forth in the Indenture, plus accrued and unpaid</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8"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 In addition, we had unamortized debt issuance costs of $6.1 million associated with the Term Loan. Upon repayment of the Term Loan, these debt issuance costs were fully extinguished and charged to interest expense in our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The ABL Credit Agreement extended the maturity date of this facility from December 2021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ofApril 30, 2022,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April 30, 2022, we had no borrowings outstanding under the ABL Credit Agreement. The ABL Credit Agreement also includes amounts available for letters of credit. As of April 30, 2022, there were outstanding trade and standby letters of credit amounting to $18.8 million and $3.4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835, the debt issuance costs have been deferred and are presented as an asset which is amortized ratably over the term of the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interest rate of our revolving credit facility is indexed to LIBOR. LIBOR quotations could cease as of December 31, 2022. We have discussed alternatives to LIBOR with the administrative agent to our revolving credit facility and we expect that if LIBOR can no longer be used as the indexed interest rate, we will be able to use a viable alternative such as SOFR. We do not expect a material change to our interest expense or results of operations if LIBOR is no longer available.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an independent valuation, it was determined that the LVMH Note should be treated as having been issued at a discount of   $40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discount is being amortized as interest expense using the effective interest method over the term of the LVMH Note.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fiscal 2020 and fiscal 2021, T.R.B International SA (“TRB”), a subsidiary of Vilebrequin, borrowed funds under several unsecured loans. A portion of the unsecured loans was to provide funding for operations in the normal course of business, while other unsecured loans were various European state backed loans as part of COVID-19 relief programs. Additionally, Sonia Rykiel borrowed funds under European state backed loans that were part of COVID-19 relief</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programs. In the aggregate, the Company is currently required to make quarterly installment payments of €0.2 million. Interest on the outstanding principal amount of the unsecured loans accrues at a fixed rate equal to 0% to 2.0% per annum, payable on either a quarterly or monthly basis. As of April 30, 2022, the Company had an aggregate outstanding balance of €7.1 million ($7.8 million) under these unsecured loans.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April 30, 2022, TRB had an aggregate €2.8 million ($3.1 million) drawn under these facilities.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no borrowings outstanding under our revolving credit facility at April 30, 2022 and 2021. We had $400 million in borrowings outstanding under the Notes at April 30, 2022 and April 30, 2021, respectively. Our contingent liability under open letters of credit was approximately $22.2 million and $14.9 million at April 30, 2022 and 2021, respectively. In addition to the amounts outstanding under these two loan agreements, at April 30, 2022 and 2021, we had $125 million of face value principal amount outstanding under the LVMH Note. As of April 30, 2022 and 2021, we had an aggregate of €7.1 million ($7.8 million) and €7.5 million ($8.8 million) outstanding under the Company’s various unsecured loans. As of April 30, 2022 and 2021, we also had €2.8 million ($3.1 million) and €3.3 million ($3.9 million) outstanding under Vilebrequin’s overdraft facilities.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had cash and cash equivalents of $438.4 million at April 30, 2022 and $396.3 million at April 30, 2021.</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March 2022, our Board of Directors authorized an increase in the number of shares covered by our share repurchase program to an aggregate amount of 10,000,000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April 30, 2022. As of June 3 2022, we had 10,000,000 authorized shares remaining under this program and 48,225,361 shares of common stock outstanding.</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generated $11.2 million in cash from operating activities during three months ended April 30, 2022, primarily as a result of our net income of $30.6 million and non-cash charges of $20.5 million relating to share-based compensation. We also generated cash from decreases of $31.9 million in accounts receivable and an increase of $20.5 million in accrued income taxes. These items were offset, in part, by a decrease of $55.1 million in accounts payable and accrued expenses and an increase of $37.9 million in inventories.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changes in operating cash flow items varied in part from seasonal patterns in prior years. Inventories, which normally decrease in the first quarter of our fiscal year, increased due to early purchasing activity by us in an attempt to mitigate the potential effects of supply chain disruptions. The decrease in accounts payable and accrued expenses is primarily</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attributable to vendor payments related to inventory purchases and the payment of year-end bonuses in our first fiscal quarter. Accounts receivable decreased because we experience lower sales levels in our first quarter.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used $29.3 million of cash in investing activities during three months ended April 30, 2022, primarily as a result of a $25.0 million minority investment in an e-commerce retailer. In addition, we also had $4.3 million in capital expenditures primarily related to infrastructure and information technology expenditures and additional fixturing costs at department stores.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$8.7 million during three months ended April 30, 2022, primarily as a result of taxes paid in connection with net share settlements.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accounting policies and related estimates described in our Annual Report on Form 10-K for the year ended January 31, 2022 are those that depend most heavily on these judgments and estimates. As of April 30, 2022, there have been no material changes to our critical accounting policies.</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the disclosure made with respect to these matters in our Annual Report on Form 10-K for the year ended January 31, 2022.</w:t>
      </w:r>
    </w:p>
    <w:p>
      <w:pPr>
        <w:spacing w:after="0" w:line="158"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contained in “Item 1A.-Risk Factors” in our Annual Report on Form 10-K for the year ended January 31, 2022 (the “Annual Report”), which could materially affect our business, financial condition and/or future results. As of April 30, 2022,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8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Company’s common stock that the Company repurchased during the three months ended April 30, 2022. Included in this table are shares withheld during March 2022 to satisfy tax withholding requirements in connection with stock awards.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 Purchased as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Purchased</w:t>
            </w:r>
          </w:p>
        </w:tc>
        <w:tc>
          <w:tcPr>
            <w:tcW w:w="158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500" w:type="dxa"/>
            <w:vAlign w:val="bottom"/>
            <w:gridSpan w:val="2"/>
            <w:vMerge w:val="continue"/>
          </w:tcPr>
          <w:p>
            <w:pPr>
              <w:spacing w:after="0"/>
              <w:rPr>
                <w:sz w:val="11"/>
                <w:szCs w:val="11"/>
                <w:color w:val="auto"/>
              </w:rPr>
            </w:pPr>
          </w:p>
        </w:tc>
        <w:tc>
          <w:tcPr>
            <w:tcW w:w="15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Shares Purchased </w:t>
            </w:r>
            <w:r>
              <w:rPr>
                <w:rFonts w:ascii="Times New Roman" w:cs="Times New Roman" w:eastAsia="Times New Roman" w:hAnsi="Times New Roman"/>
                <w:sz w:val="15"/>
                <w:szCs w:val="15"/>
                <w:b w:val="1"/>
                <w:bCs w:val="1"/>
                <w:color w:val="auto"/>
                <w:vertAlign w:val="superscript"/>
              </w:rPr>
              <w:t>(1)</w:t>
            </w:r>
          </w:p>
        </w:tc>
        <w:tc>
          <w:tcPr>
            <w:tcW w:w="300" w:type="dxa"/>
            <w:vAlign w:val="bottom"/>
          </w:tcPr>
          <w:p>
            <w:pPr>
              <w:spacing w:after="0"/>
              <w:rPr>
                <w:sz w:val="11"/>
                <w:szCs w:val="11"/>
                <w:color w:val="auto"/>
              </w:rPr>
            </w:pPr>
          </w:p>
        </w:tc>
        <w:tc>
          <w:tcPr>
            <w:tcW w:w="140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Share </w:t>
            </w:r>
            <w:r>
              <w:rPr>
                <w:rFonts w:ascii="Times New Roman" w:cs="Times New Roman" w:eastAsia="Times New Roman" w:hAnsi="Times New Roman"/>
                <w:sz w:val="15"/>
                <w:szCs w:val="15"/>
                <w:b w:val="1"/>
                <w:bCs w:val="1"/>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Program </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 February 28, 2022</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2,293,149</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 March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296,403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2022</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296,403</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80" w:right="179" w:hanging="328"/>
        <w:spacing w:after="0" w:line="181" w:lineRule="auto"/>
        <w:tabs>
          <w:tab w:leader="none" w:pos="4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Included in this table are 296,403 shares withheld during March 2022 to satisfy tax withholding requirements in connection with stock awards. Our 2015 Long-Term Incentive Plan provides that shares withheld are valued at the closing price per share on the date withheld.</w:t>
      </w:r>
    </w:p>
    <w:p>
      <w:pPr>
        <w:jc w:val="both"/>
        <w:ind w:left="480" w:right="179" w:hanging="328"/>
        <w:spacing w:after="0" w:line="201" w:lineRule="auto"/>
        <w:tabs>
          <w:tab w:leader="none" w:pos="4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March 2022, our Board of Directors reapproved a previously authorized share repurchase program and increased the number of shares remaining under that program from 2,293,149 shares to 10,000,000 shares. This program has no expiration date. Repurchases under the program may be made from time to time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0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Certificate of Incorporation (incorporated by reference to Exhibit 3.1 to the Company’s Form 8-K, dated July 2,</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3.1(a)</w:t>
            </w:r>
          </w:p>
        </w:tc>
        <w:tc>
          <w:tcPr>
            <w:tcW w:w="8100" w:type="dxa"/>
            <w:vAlign w:val="bottom"/>
            <w:gridSpan w:val="11"/>
          </w:tcPr>
          <w:p>
            <w:pPr>
              <w:spacing w:after="0" w:line="194"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Exhibit 3.1 to the Company’s Form 10-Q, dated September 13, 2006).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1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3.1(c)</w:t>
            </w: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11"/>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11"/>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100" w:type="dxa"/>
            <w:vAlign w:val="bottom"/>
            <w:gridSpan w:val="11"/>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Performance Share Unit Agreement for March 18, 2022 PSU awards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10.1 to the Company’s Form 8-K, dated March 24, 2022).</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100" w:type="dxa"/>
            <w:vAlign w:val="bottom"/>
            <w:gridSpan w:val="1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Letter Agreement, dated March 29, 2022, to the Employment Agreement, dated February 1, 1994, as amended,</w:t>
              </w:r>
            </w:hyperlink>
          </w:p>
        </w:tc>
      </w:tr>
      <w:tr>
        <w:trPr>
          <w:trHeight w:val="20"/>
        </w:trPr>
        <w:tc>
          <w:tcPr>
            <w:tcW w:w="80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between G-III Apparel Group, Ltd. and Morris Goldfarb (incorporated by reference to Exhibit 10.1 to the</w:t>
              </w:r>
            </w:hyperlink>
          </w:p>
        </w:tc>
      </w:tr>
      <w:tr>
        <w:trPr>
          <w:trHeight w:val="196"/>
        </w:trPr>
        <w:tc>
          <w:tcPr>
            <w:tcW w:w="800" w:type="dxa"/>
            <w:vAlign w:val="bottom"/>
          </w:tcPr>
          <w:p>
            <w:pPr>
              <w:spacing w:after="0"/>
              <w:rPr>
                <w:sz w:val="17"/>
                <w:szCs w:val="17"/>
                <w:color w:val="auto"/>
              </w:rPr>
            </w:pPr>
          </w:p>
        </w:tc>
        <w:tc>
          <w:tcPr>
            <w:tcW w:w="8100" w:type="dxa"/>
            <w:vAlign w:val="bottom"/>
            <w:gridSpan w:val="1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Company’s Form 8-K, dated March 31, 2022).</w:t>
              </w:r>
            </w:hyperlink>
          </w:p>
        </w:tc>
      </w:tr>
      <w:tr>
        <w:trPr>
          <w:trHeight w:val="20"/>
        </w:trPr>
        <w:tc>
          <w:tcPr>
            <w:tcW w:w="80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Letter Agreement, dated March 29, 2022, to the Employment Agreement, dated July 11, 2005, as amended,</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between G-III Apparel Group, Ltd. and Sammy Aaron (incorporated by reference to Exhibit 10.1 to the</w:t>
              </w:r>
            </w:hyperlink>
          </w:p>
        </w:tc>
      </w:tr>
      <w:tr>
        <w:trPr>
          <w:trHeight w:val="196"/>
        </w:trPr>
        <w:tc>
          <w:tcPr>
            <w:tcW w:w="800" w:type="dxa"/>
            <w:vAlign w:val="bottom"/>
          </w:tcPr>
          <w:p>
            <w:pPr>
              <w:spacing w:after="0"/>
              <w:rPr>
                <w:sz w:val="17"/>
                <w:szCs w:val="17"/>
                <w:color w:val="auto"/>
              </w:rPr>
            </w:pPr>
          </w:p>
        </w:tc>
        <w:tc>
          <w:tcPr>
            <w:tcW w:w="8100" w:type="dxa"/>
            <w:vAlign w:val="bottom"/>
            <w:gridSpan w:val="11"/>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Company’s Form 8-K, dated March 31, 2022).</w:t>
              </w:r>
            </w:hyperlink>
          </w:p>
        </w:tc>
      </w:tr>
      <w:tr>
        <w:trPr>
          <w:trHeight w:val="20"/>
        </w:trPr>
        <w:tc>
          <w:tcPr>
            <w:tcW w:w="80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G-III Apparel Group, Ltd. 2015 Long-Term Incentive Plan, as amended (incorporated by reference to Exhibit</w:t>
              </w:r>
            </w:hyperlink>
          </w:p>
        </w:tc>
      </w:tr>
      <w:tr>
        <w:trPr>
          <w:trHeight w:val="196"/>
        </w:trPr>
        <w:tc>
          <w:tcPr>
            <w:tcW w:w="80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Form 8-K, dated March 31, 2022).</w:t>
              </w:r>
            </w:hyperlink>
          </w:p>
        </w:tc>
        <w:tc>
          <w:tcPr>
            <w:tcW w:w="3940" w:type="dxa"/>
            <w:vAlign w:val="bottom"/>
            <w:gridSpan w:val="8"/>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April 30, 2022.</w:t>
            </w:r>
          </w:p>
        </w:tc>
      </w:tr>
      <w:tr>
        <w:trPr>
          <w:trHeight w:val="20"/>
        </w:trPr>
        <w:tc>
          <w:tcPr>
            <w:tcW w:w="800" w:type="dxa"/>
            <w:vAlign w:val="bottom"/>
          </w:tcPr>
          <w:p>
            <w:pPr>
              <w:spacing w:after="0" w:line="20" w:lineRule="exact"/>
              <w:rPr>
                <w:sz w:val="1"/>
                <w:szCs w:val="1"/>
                <w:color w:val="auto"/>
              </w:rPr>
            </w:pPr>
          </w:p>
        </w:tc>
        <w:tc>
          <w:tcPr>
            <w:tcW w:w="642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Rule 13a -</w:t>
            </w:r>
          </w:p>
        </w:tc>
      </w:tr>
      <w:tr>
        <w:trPr>
          <w:trHeight w:val="20"/>
        </w:trPr>
        <w:tc>
          <w:tcPr>
            <w:tcW w:w="800" w:type="dxa"/>
            <w:vAlign w:val="bottom"/>
          </w:tcPr>
          <w:p>
            <w:pPr>
              <w:spacing w:after="0" w:line="20" w:lineRule="exact"/>
              <w:rPr>
                <w:sz w:val="1"/>
                <w:szCs w:val="1"/>
                <w:color w:val="auto"/>
              </w:rPr>
            </w:pPr>
          </w:p>
        </w:tc>
        <w:tc>
          <w:tcPr>
            <w:tcW w:w="642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April 30, 2022.</w:t>
            </w:r>
          </w:p>
        </w:tc>
      </w:tr>
      <w:tr>
        <w:trPr>
          <w:trHeight w:val="20"/>
        </w:trPr>
        <w:tc>
          <w:tcPr>
            <w:tcW w:w="800" w:type="dxa"/>
            <w:vAlign w:val="bottom"/>
          </w:tcPr>
          <w:p>
            <w:pPr>
              <w:spacing w:after="0" w:line="20" w:lineRule="exact"/>
              <w:rPr>
                <w:sz w:val="1"/>
                <w:szCs w:val="1"/>
                <w:color w:val="auto"/>
              </w:rPr>
            </w:pPr>
          </w:p>
        </w:tc>
        <w:tc>
          <w:tcPr>
            <w:tcW w:w="642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0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Apparel Group, Ltd.’s Quarterly Report on Form 10-Q for the fiscal quarter ended April 30, 2022.</w:t>
            </w:r>
          </w:p>
        </w:tc>
        <w:tc>
          <w:tcPr>
            <w:tcW w:w="10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18 U.S.C.</w:t>
            </w:r>
          </w:p>
        </w:tc>
      </w:tr>
      <w:tr>
        <w:trPr>
          <w:trHeight w:val="20"/>
        </w:trPr>
        <w:tc>
          <w:tcPr>
            <w:tcW w:w="800" w:type="dxa"/>
            <w:vAlign w:val="bottom"/>
          </w:tcPr>
          <w:p>
            <w:pPr>
              <w:spacing w:after="0" w:line="20" w:lineRule="exact"/>
              <w:rPr>
                <w:sz w:val="1"/>
                <w:szCs w:val="1"/>
                <w:color w:val="auto"/>
              </w:rPr>
            </w:pPr>
          </w:p>
        </w:tc>
        <w:tc>
          <w:tcPr>
            <w:tcW w:w="7060" w:type="dxa"/>
            <w:vAlign w:val="bottom"/>
            <w:gridSpan w:val="8"/>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Apparel Group, Ltd.’s Quarterly Report on Form 10-Q for the fiscal quarter ended April 30, 2022.</w:t>
            </w:r>
          </w:p>
        </w:tc>
        <w:tc>
          <w:tcPr>
            <w:tcW w:w="1040" w:type="dxa"/>
            <w:vAlign w:val="bottom"/>
            <w:gridSpan w:val="3"/>
          </w:tcPr>
          <w:p>
            <w:pPr>
              <w:spacing w:after="0"/>
              <w:rPr>
                <w:sz w:val="17"/>
                <w:szCs w:val="17"/>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iXBRL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iXBRL Label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iXBRL Presentation Linkbase Document.</w:t>
            </w:r>
          </w:p>
        </w:tc>
      </w:tr>
    </w:tbl>
    <w:p>
      <w:pPr>
        <w:ind w:left="6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60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G-III APPAREL GROUP, LTD.</w:t>
            </w:r>
          </w:p>
        </w:tc>
      </w:tr>
      <w:tr>
        <w:trPr>
          <w:trHeight w:val="234"/>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7, 2022</w:t>
            </w:r>
          </w:p>
        </w:tc>
        <w:tc>
          <w:tcPr>
            <w:tcW w:w="60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Morris Goldfarb</w:t>
            </w:r>
          </w:p>
        </w:tc>
      </w:tr>
      <w:tr>
        <w:trPr>
          <w:trHeight w:val="191"/>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7, 2022</w:t>
            </w:r>
          </w:p>
        </w:tc>
        <w:tc>
          <w:tcPr>
            <w:tcW w:w="60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Neal S. Nackman</w:t>
            </w:r>
          </w:p>
        </w:tc>
      </w:tr>
      <w:tr>
        <w:trPr>
          <w:trHeight w:val="191"/>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2860" w:type="dxa"/>
            <w:vAlign w:val="bottom"/>
          </w:tcPr>
          <w:p>
            <w:pPr>
              <w:spacing w:after="0"/>
              <w:rPr>
                <w:sz w:val="24"/>
                <w:szCs w:val="24"/>
                <w:color w:val="auto"/>
              </w:rPr>
            </w:pP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41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71" w:lineRule="exact"/>
        <w:rPr>
          <w:sz w:val="20"/>
          <w:szCs w:val="20"/>
          <w:color w:val="auto"/>
        </w:rPr>
      </w:pPr>
    </w:p>
    <w:p>
      <w:pPr>
        <w:ind w:left="700" w:hanging="32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7, 2022</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171" w:lineRule="exact"/>
        <w:rPr>
          <w:sz w:val="20"/>
          <w:szCs w:val="20"/>
          <w:color w:val="auto"/>
        </w:rPr>
      </w:pPr>
    </w:p>
    <w:p>
      <w:pPr>
        <w:ind w:left="700" w:hanging="326"/>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7, 2022</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April 30, 2022,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7, 2022</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April 30, 2022,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7, 2022</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upperLetter"/>
      <w:start w:val="6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51" Type="http://schemas.openxmlformats.org/officeDocument/2006/relationships/hyperlink" Target="https://www.sec.gov/Archives/edgar/data/821002/000095013606007680/file2.htm" TargetMode="External"/><Relationship Id="rId52" Type="http://schemas.openxmlformats.org/officeDocument/2006/relationships/hyperlink" Target="https://www.sec.gov/Archives/edgar/data/821002/000095012311057737/y04932exv3w1.htm" TargetMode="External"/><Relationship Id="rId53" Type="http://schemas.openxmlformats.org/officeDocument/2006/relationships/hyperlink" Target="https://www.sec.gov/Archives/edgar/data/821002/000157104915005420/t1501536_ex3-1.htm" TargetMode="External"/><Relationship Id="rId54" Type="http://schemas.openxmlformats.org/officeDocument/2006/relationships/hyperlink" Target="https://www.sec.gov/Archives/edgar/data/821002/000119312513107874/d503217dex31.htm" TargetMode="External"/><Relationship Id="rId55" Type="http://schemas.openxmlformats.org/officeDocument/2006/relationships/hyperlink" Target="https://www.sec.gov/Archives/edgar/data/0000821002/000155837022004282/giii-20220318xex10d1.htm" TargetMode="External"/><Relationship Id="rId56" Type="http://schemas.openxmlformats.org/officeDocument/2006/relationships/hyperlink" Target="https://www.sec.gov/Archives/edgar/data/0000821002/000155837022004941/giii-20220329xex10d1.htm" TargetMode="External"/><Relationship Id="rId57" Type="http://schemas.openxmlformats.org/officeDocument/2006/relationships/hyperlink" Target="https://www.sec.gov/Archives/edgar/data/0000821002/000155837022004941/giii-20220329xex10d2.htm" TargetMode="External"/><Relationship Id="rId58" Type="http://schemas.openxmlformats.org/officeDocument/2006/relationships/hyperlink" Target="https://www.sec.gov/Archives/edgar/data/0000821002/000155837022004941/giii-20220329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2022-06-07T16:24:16Z</dcterms:created>
  <dcterms:modified xsi:type="dcterms:W3CDTF">2022-06-07T16:24:16Z</dcterms:modified>
</cp:coreProperties>
</file>