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1048385</wp:posOffset>
            </wp:positionH>
            <wp:positionV relativeFrom="page">
              <wp:posOffset>431800</wp:posOffset>
            </wp:positionV>
            <wp:extent cx="545211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452110" cy="34290"/>
                    </a:xfrm>
                    <a:prstGeom prst="rect">
                      <a:avLst/>
                    </a:prstGeom>
                    <a:noFill/>
                  </pic:spPr>
                </pic:pic>
              </a:graphicData>
            </a:graphic>
          </wp:anchor>
        </w:drawing>
        <w:drawing>
          <wp:anchor simplePos="0" relativeHeight="251657728" behindDoc="1" locked="0" layoutInCell="0" allowOverlap="1">
            <wp:simplePos x="0" y="0"/>
            <wp:positionH relativeFrom="page">
              <wp:posOffset>1048385</wp:posOffset>
            </wp:positionH>
            <wp:positionV relativeFrom="page">
              <wp:posOffset>483235</wp:posOffset>
            </wp:positionV>
            <wp:extent cx="545211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52110" cy="1714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Date of Report (Date of earliest event reported): November 19, 2021 (November 17, 2021)</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G-III APPAREL GROUP, LTD.</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9019"/>
          </w:cols>
          <w:pgMar w:left="1440" w:top="999"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left="21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156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92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0-18183</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639"/>
        <w:spacing w:after="0"/>
        <w:rPr>
          <w:sz w:val="20"/>
          <w:szCs w:val="20"/>
          <w:color w:val="auto"/>
        </w:rPr>
      </w:pPr>
      <w:r>
        <w:rPr>
          <w:rFonts w:ascii="Arial" w:cs="Arial" w:eastAsia="Arial" w:hAnsi="Arial"/>
          <w:sz w:val="18"/>
          <w:szCs w:val="18"/>
          <w:b w:val="1"/>
          <w:bCs w:val="1"/>
          <w:color w:val="auto"/>
        </w:rPr>
        <w:t>41-1590959</w:t>
      </w:r>
    </w:p>
    <w:p>
      <w:pPr>
        <w:spacing w:after="0" w:line="27" w:lineRule="exact"/>
        <w:rPr>
          <w:sz w:val="24"/>
          <w:szCs w:val="24"/>
          <w:color w:val="auto"/>
        </w:rPr>
      </w:pPr>
    </w:p>
    <w:p>
      <w:pPr>
        <w:jc w:val="center"/>
        <w:ind w:right="1639"/>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639"/>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3520" w:space="240"/>
            <w:col w:w="1980" w:space="300"/>
            <w:col w:w="2979"/>
          </w:cols>
          <w:pgMar w:left="1440" w:top="999" w:right="1440" w:bottom="1440" w:gutter="0" w:footer="0" w:header="0"/>
          <w:type w:val="continuous"/>
        </w:sectPr>
      </w:pPr>
    </w:p>
    <w:p>
      <w:pPr>
        <w:spacing w:after="0" w:line="20" w:lineRule="exact"/>
        <w:rPr>
          <w:sz w:val="24"/>
          <w:szCs w:val="24"/>
          <w:color w:val="auto"/>
        </w:rPr>
      </w:pPr>
    </w:p>
    <w:p>
      <w:pPr>
        <w:jc w:val="center"/>
        <w:ind w:left="1640" w:right="480"/>
        <w:spacing w:after="0" w:line="266" w:lineRule="auto"/>
        <w:rPr>
          <w:sz w:val="20"/>
          <w:szCs w:val="20"/>
          <w:color w:val="auto"/>
        </w:rPr>
      </w:pPr>
      <w:r>
        <w:rPr>
          <w:rFonts w:ascii="Arial" w:cs="Arial" w:eastAsia="Arial" w:hAnsi="Arial"/>
          <w:sz w:val="18"/>
          <w:szCs w:val="18"/>
          <w:b w:val="1"/>
          <w:bCs w:val="1"/>
          <w:color w:val="auto"/>
        </w:rPr>
        <w:t xml:space="preserve">512 Seventh Avenue New York, New York </w:t>
      </w: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479"/>
        <w:spacing w:after="0"/>
        <w:rPr>
          <w:sz w:val="20"/>
          <w:szCs w:val="20"/>
          <w:color w:val="auto"/>
        </w:rPr>
      </w:pPr>
      <w:r>
        <w:rPr>
          <w:rFonts w:ascii="Arial" w:cs="Arial" w:eastAsia="Arial" w:hAnsi="Arial"/>
          <w:sz w:val="18"/>
          <w:szCs w:val="18"/>
          <w:b w:val="1"/>
          <w:bCs w:val="1"/>
          <w:color w:val="auto"/>
        </w:rPr>
        <w:t>10018</w:t>
      </w:r>
    </w:p>
    <w:p>
      <w:pPr>
        <w:spacing w:after="0" w:line="27" w:lineRule="exact"/>
        <w:rPr>
          <w:sz w:val="24"/>
          <w:szCs w:val="24"/>
          <w:color w:val="auto"/>
        </w:rPr>
      </w:pPr>
    </w:p>
    <w:p>
      <w:pPr>
        <w:jc w:val="center"/>
        <w:ind w:right="2479"/>
        <w:spacing w:after="0"/>
        <w:rPr>
          <w:sz w:val="20"/>
          <w:szCs w:val="20"/>
          <w:color w:val="auto"/>
        </w:rPr>
      </w:pPr>
      <w:r>
        <w:rPr>
          <w:rFonts w:ascii="Arial" w:cs="Arial" w:eastAsia="Arial" w:hAnsi="Arial"/>
          <w:sz w:val="16"/>
          <w:szCs w:val="16"/>
          <w:color w:val="auto"/>
        </w:rPr>
        <w:t>(Zip Code)</w:t>
      </w:r>
    </w:p>
    <w:p>
      <w:pPr>
        <w:spacing w:after="0" w:line="445" w:lineRule="exact"/>
        <w:rPr>
          <w:sz w:val="24"/>
          <w:szCs w:val="24"/>
          <w:color w:val="auto"/>
        </w:rPr>
      </w:pPr>
    </w:p>
    <w:p>
      <w:pPr>
        <w:sectPr>
          <w:pgSz w:w="11900" w:h="16838" w:orient="portrait"/>
          <w:cols w:equalWidth="0" w:num="2">
            <w:col w:w="5040" w:space="720"/>
            <w:col w:w="3259"/>
          </w:cols>
          <w:pgMar w:left="1440" w:top="999" w:right="1440" w:bottom="1440" w:gutter="0" w:footer="0" w:header="0"/>
          <w:type w:val="continuous"/>
        </w:sectPr>
      </w:pPr>
    </w:p>
    <w:p>
      <w:pPr>
        <w:jc w:val="center"/>
        <w:ind w:right="19"/>
        <w:spacing w:after="0"/>
        <w:rPr>
          <w:sz w:val="20"/>
          <w:szCs w:val="20"/>
          <w:color w:val="auto"/>
        </w:rPr>
      </w:pPr>
      <w:r>
        <w:rPr>
          <w:rFonts w:ascii="Arial" w:cs="Arial" w:eastAsia="Arial" w:hAnsi="Arial"/>
          <w:sz w:val="16"/>
          <w:szCs w:val="16"/>
          <w:b w:val="1"/>
          <w:bCs w:val="1"/>
          <w:color w:val="auto"/>
        </w:rPr>
        <w:t>(212) 403-0500</w:t>
      </w:r>
    </w:p>
    <w:p>
      <w:pPr>
        <w:sectPr>
          <w:pgSz w:w="11900" w:h="16838" w:orient="portrait"/>
          <w:cols w:equalWidth="0" w:num="1">
            <w:col w:w="9019"/>
          </w:cols>
          <w:pgMar w:left="1440" w:top="999" w:right="1440" w:bottom="1440" w:gutter="0" w:footer="0" w:header="0"/>
          <w:type w:val="continuous"/>
        </w:sectPr>
      </w:pP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left="200" w:right="479"/>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u w:val="single" w:color="auto"/>
          <w:color w:val="auto"/>
        </w:rPr>
        <w:t>see</w:t>
      </w:r>
      <w:r>
        <w:rPr>
          <w:rFonts w:ascii="Arial" w:cs="Arial" w:eastAsia="Arial" w:hAnsi="Arial"/>
          <w:sz w:val="18"/>
          <w:szCs w:val="18"/>
          <w:color w:val="auto"/>
        </w:rPr>
        <w:t xml:space="preserve"> General Instruction A.2 below):</w:t>
      </w:r>
    </w:p>
    <w:p>
      <w:pPr>
        <w:spacing w:after="0" w:line="170" w:lineRule="exact"/>
        <w:rPr>
          <w:sz w:val="24"/>
          <w:szCs w:val="24"/>
          <w:color w:val="auto"/>
        </w:rPr>
      </w:pPr>
    </w:p>
    <w:p>
      <w:pPr>
        <w:ind w:left="540" w:hanging="331"/>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540" w:hanging="331"/>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540" w:hanging="331"/>
        <w:spacing w:after="0"/>
        <w:tabs>
          <w:tab w:leader="none" w:pos="5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248" w:lineRule="exact"/>
        <w:rPr>
          <w:rFonts w:ascii="MS PGothic" w:cs="MS PGothic" w:eastAsia="MS PGothic" w:hAnsi="MS PGothic"/>
          <w:sz w:val="16"/>
          <w:szCs w:val="16"/>
          <w:color w:val="auto"/>
        </w:rPr>
      </w:pPr>
    </w:p>
    <w:p>
      <w:pPr>
        <w:ind w:left="540" w:hanging="331"/>
        <w:spacing w:after="0"/>
        <w:tabs>
          <w:tab w:leader="none" w:pos="54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345" w:lineRule="exact"/>
        <w:rPr>
          <w:sz w:val="24"/>
          <w:szCs w:val="24"/>
          <w:color w:val="auto"/>
        </w:rPr>
      </w:pPr>
    </w:p>
    <w:p>
      <w:pPr>
        <w:ind w:left="20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25" w:lineRule="exact"/>
        <w:rPr>
          <w:sz w:val="24"/>
          <w:szCs w:val="24"/>
          <w:color w:val="auto"/>
        </w:rPr>
      </w:pPr>
    </w:p>
    <w:tbl>
      <w:tblPr>
        <w:tblLayout w:type="fixed"/>
        <w:tblInd w:w="90" w:type="dxa"/>
        <w:tblCellMar>
          <w:top w:w="0" w:type="dxa"/>
          <w:left w:w="0" w:type="dxa"/>
          <w:bottom w:w="0" w:type="dxa"/>
          <w:right w:w="0" w:type="dxa"/>
        </w:tblCellMar>
      </w:tblPr>
      <w:tr>
        <w:trPr>
          <w:trHeight w:val="244"/>
        </w:trPr>
        <w:tc>
          <w:tcPr>
            <w:tcW w:w="330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17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38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6"/>
        </w:trPr>
        <w:tc>
          <w:tcPr>
            <w:tcW w:w="3300" w:type="dxa"/>
            <w:vAlign w:val="bottom"/>
            <w:tcBorders>
              <w:left w:val="single" w:sz="8" w:color="auto"/>
              <w:bottom w:val="single" w:sz="8" w:color="auto"/>
              <w:right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r>
      <w:tr>
        <w:trPr>
          <w:trHeight w:val="224"/>
        </w:trPr>
        <w:tc>
          <w:tcPr>
            <w:tcW w:w="33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$0.01 par value per share</w:t>
            </w: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GIII</w:t>
            </w:r>
          </w:p>
        </w:tc>
        <w:tc>
          <w:tcPr>
            <w:tcW w:w="3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The Nasdaq Stock Market</w:t>
            </w:r>
          </w:p>
        </w:tc>
      </w:tr>
      <w:tr>
        <w:trPr>
          <w:trHeight w:val="26"/>
        </w:trPr>
        <w:tc>
          <w:tcPr>
            <w:tcW w:w="3300" w:type="dxa"/>
            <w:vAlign w:val="bottom"/>
            <w:tcBorders>
              <w:left w:val="single" w:sz="8" w:color="auto"/>
              <w:bottom w:val="single" w:sz="8" w:color="auto"/>
              <w:right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r>
    </w:tbl>
    <w:p>
      <w:pPr>
        <w:spacing w:after="0" w:line="202" w:lineRule="exact"/>
        <w:rPr>
          <w:sz w:val="24"/>
          <w:szCs w:val="24"/>
          <w:color w:val="auto"/>
        </w:rPr>
      </w:pPr>
    </w:p>
    <w:p>
      <w:pPr>
        <w:jc w:val="both"/>
        <w:ind w:left="200" w:right="219"/>
        <w:spacing w:after="0" w:line="287"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(17 CFR §230.405 of this chapter) or Rule 12b-2 of the Securities Exchange Act of 1934 (17 CFR</w:t>
      </w:r>
    </w:p>
    <w:p>
      <w:pPr>
        <w:spacing w:after="0" w:line="1" w:lineRule="exact"/>
        <w:rPr>
          <w:sz w:val="24"/>
          <w:szCs w:val="24"/>
          <w:color w:val="auto"/>
        </w:rPr>
      </w:pPr>
    </w:p>
    <w:p>
      <w:pPr>
        <w:ind w:left="200"/>
        <w:spacing w:after="0" w:line="207" w:lineRule="exact"/>
        <w:tabs>
          <w:tab w:leader="none" w:pos="6020" w:val="left"/>
        </w:tabs>
        <w:rPr>
          <w:sz w:val="20"/>
          <w:szCs w:val="20"/>
          <w:color w:val="auto"/>
        </w:rPr>
      </w:pPr>
      <w:r>
        <w:rPr>
          <w:rFonts w:ascii="Arial" w:cs="Arial" w:eastAsia="Arial" w:hAnsi="Arial"/>
          <w:sz w:val="18"/>
          <w:szCs w:val="18"/>
          <w:color w:val="auto"/>
        </w:rPr>
        <w:t>§240.12b-2 of this chapter).</w:t>
      </w:r>
      <w:r>
        <w:rPr>
          <w:sz w:val="20"/>
          <w:szCs w:val="20"/>
          <w:color w:val="auto"/>
        </w:rPr>
        <w:tab/>
      </w: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0" w:lineRule="exact"/>
        <w:rPr>
          <w:sz w:val="24"/>
          <w:szCs w:val="24"/>
          <w:color w:val="auto"/>
        </w:rPr>
      </w:pPr>
    </w:p>
    <w:p>
      <w:pPr>
        <w:spacing w:after="0" w:line="232" w:lineRule="exact"/>
        <w:rPr>
          <w:sz w:val="24"/>
          <w:szCs w:val="24"/>
          <w:color w:val="auto"/>
        </w:rPr>
      </w:pPr>
    </w:p>
    <w:p>
      <w:pPr>
        <w:jc w:val="both"/>
        <w:ind w:left="200" w:right="219"/>
        <w:spacing w:after="0" w:line="22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682625</wp:posOffset>
            </wp:positionV>
            <wp:extent cx="545211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52110" cy="1714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305435</wp:posOffset>
            </wp:positionV>
            <wp:extent cx="545211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452110" cy="342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271145</wp:posOffset>
            </wp:positionV>
            <wp:extent cx="545211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99" w:right="1440" w:bottom="1440" w:gutter="0" w:footer="0" w:header="0"/>
          <w:type w:val="continuous"/>
        </w:sectPr>
      </w:pPr>
    </w:p>
    <w:bookmarkStart w:id="1" w:name="page2"/>
    <w:bookmarkEnd w:id="1"/>
    <w:p>
      <w:pPr>
        <w:ind w:left="200" w:right="239"/>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jc w:val="both"/>
        <w:ind w:left="200" w:right="399" w:firstLine="9"/>
        <w:spacing w:after="0" w:line="263" w:lineRule="auto"/>
        <w:tabs>
          <w:tab w:leader="none" w:pos="848" w:val="left"/>
        </w:tabs>
        <w:numPr>
          <w:ilvl w:val="0"/>
          <w:numId w:val="2"/>
        </w:numPr>
        <w:rPr>
          <w:rFonts w:ascii="Arial" w:cs="Arial" w:eastAsia="Arial" w:hAnsi="Arial"/>
          <w:sz w:val="18"/>
          <w:szCs w:val="18"/>
          <w:color w:val="auto"/>
        </w:rPr>
      </w:pPr>
      <w:r>
        <w:rPr>
          <w:rFonts w:ascii="Arial" w:cs="Arial" w:eastAsia="Arial" w:hAnsi="Arial"/>
          <w:sz w:val="18"/>
          <w:szCs w:val="18"/>
          <w:color w:val="auto"/>
        </w:rPr>
        <w:t>(1) On November 17, 2021, the Compensation Committee increased the base salary of each of Sammy Aaron, the Company’s President and Vice Chairman of the Board of Directors, and Jeffrey Goldfarb, the Company’s Executive Vice President, to $950,000 per year, effective December 1, 2021.</w:t>
      </w:r>
    </w:p>
    <w:p>
      <w:pPr>
        <w:spacing w:after="0" w:line="180" w:lineRule="exact"/>
        <w:rPr>
          <w:sz w:val="20"/>
          <w:szCs w:val="20"/>
          <w:color w:val="auto"/>
        </w:rPr>
      </w:pPr>
    </w:p>
    <w:p>
      <w:pPr>
        <w:ind w:left="200"/>
        <w:spacing w:after="0"/>
        <w:tabs>
          <w:tab w:leader="none" w:pos="11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1180" w:right="4539" w:hanging="323"/>
        <w:spacing w:after="0" w:line="500" w:lineRule="auto"/>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 xml:space="preserve">Financial Statements of Businesses Acquired. </w:t>
      </w:r>
      <w:r>
        <w:rPr>
          <w:rFonts w:ascii="Arial" w:cs="Arial" w:eastAsia="Arial" w:hAnsi="Arial"/>
          <w:sz w:val="18"/>
          <w:szCs w:val="18"/>
          <w:color w:val="auto"/>
        </w:rPr>
        <w:t>None.</w:t>
      </w:r>
    </w:p>
    <w:p>
      <w:pPr>
        <w:spacing w:after="0" w:line="1" w:lineRule="exact"/>
        <w:rPr>
          <w:rFonts w:ascii="Arial" w:cs="Arial" w:eastAsia="Arial" w:hAnsi="Arial"/>
          <w:sz w:val="18"/>
          <w:szCs w:val="18"/>
          <w:color w:val="auto"/>
        </w:rPr>
      </w:pPr>
    </w:p>
    <w:p>
      <w:pPr>
        <w:ind w:left="1180" w:right="5419" w:hanging="323"/>
        <w:spacing w:after="0" w:line="500" w:lineRule="auto"/>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 xml:space="preserve">Pro Forma Financial Information. </w:t>
      </w:r>
      <w:r>
        <w:rPr>
          <w:rFonts w:ascii="Arial" w:cs="Arial" w:eastAsia="Arial" w:hAnsi="Arial"/>
          <w:sz w:val="18"/>
          <w:szCs w:val="18"/>
          <w:color w:val="auto"/>
        </w:rPr>
        <w:t>None.</w:t>
      </w:r>
    </w:p>
    <w:p>
      <w:pPr>
        <w:spacing w:after="0" w:line="1" w:lineRule="exact"/>
        <w:rPr>
          <w:rFonts w:ascii="Arial" w:cs="Arial" w:eastAsia="Arial" w:hAnsi="Arial"/>
          <w:sz w:val="18"/>
          <w:szCs w:val="18"/>
          <w:color w:val="auto"/>
        </w:rPr>
      </w:pPr>
    </w:p>
    <w:p>
      <w:pPr>
        <w:ind w:left="1180" w:right="5759" w:hanging="323"/>
        <w:spacing w:after="0" w:line="500" w:lineRule="auto"/>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 xml:space="preserve">Shell Company Transactions </w:t>
      </w:r>
      <w:r>
        <w:rPr>
          <w:rFonts w:ascii="Arial" w:cs="Arial" w:eastAsia="Arial" w:hAnsi="Arial"/>
          <w:sz w:val="18"/>
          <w:szCs w:val="18"/>
          <w:color w:val="auto"/>
        </w:rPr>
        <w:t>None.</w:t>
      </w:r>
    </w:p>
    <w:p>
      <w:pPr>
        <w:spacing w:after="0" w:line="1" w:lineRule="exact"/>
        <w:rPr>
          <w:rFonts w:ascii="Arial" w:cs="Arial" w:eastAsia="Arial" w:hAnsi="Arial"/>
          <w:sz w:val="18"/>
          <w:szCs w:val="18"/>
          <w:color w:val="auto"/>
        </w:rPr>
      </w:pPr>
    </w:p>
    <w:p>
      <w:pPr>
        <w:ind w:left="1180" w:hanging="323"/>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Exhibits</w:t>
      </w:r>
      <w:r>
        <w:rPr>
          <w:rFonts w:ascii="Arial" w:cs="Arial" w:eastAsia="Arial" w:hAnsi="Arial"/>
          <w:sz w:val="18"/>
          <w:szCs w:val="18"/>
          <w:color w:val="auto"/>
        </w:rPr>
        <w:t>.</w:t>
      </w:r>
    </w:p>
    <w:p>
      <w:pPr>
        <w:spacing w:after="0" w:line="239" w:lineRule="exact"/>
        <w:rPr>
          <w:sz w:val="20"/>
          <w:szCs w:val="20"/>
          <w:color w:val="auto"/>
        </w:rPr>
      </w:pPr>
    </w:p>
    <w:p>
      <w:pPr>
        <w:ind w:left="1680" w:hanging="742"/>
        <w:spacing w:after="0"/>
        <w:tabs>
          <w:tab w:leader="none" w:pos="1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00" w:lineRule="exact"/>
        <w:rPr>
          <w:rFonts w:ascii="Arial" w:cs="Arial" w:eastAsia="Arial" w:hAnsi="Arial"/>
          <w:sz w:val="18"/>
          <w:szCs w:val="18"/>
          <w:color w:val="auto"/>
        </w:rPr>
      </w:pPr>
    </w:p>
    <w:p>
      <w:pPr>
        <w:ind w:left="4460"/>
        <w:spacing w:after="0"/>
        <w:rPr>
          <w:rFonts w:ascii="Arial" w:cs="Arial" w:eastAsia="Arial" w:hAnsi="Arial"/>
          <w:sz w:val="18"/>
          <w:szCs w:val="18"/>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494665</wp:posOffset>
            </wp:positionV>
            <wp:extent cx="545211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color w:val="auto"/>
        </w:rPr>
        <w:t>EXHIBIT INDEX</w:t>
      </w:r>
    </w:p>
    <w:p>
      <w:pPr>
        <w:spacing w:after="0" w:line="23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ind w:left="300"/>
        <w:spacing w:after="0"/>
        <w:tabs>
          <w:tab w:leader="none" w:pos="1360" w:val="left"/>
        </w:tabs>
        <w:rPr>
          <w:sz w:val="20"/>
          <w:szCs w:val="20"/>
          <w:color w:val="auto"/>
        </w:rPr>
      </w:pPr>
      <w:r>
        <w:rPr>
          <w:rFonts w:ascii="Arial" w:cs="Arial" w:eastAsia="Arial" w:hAnsi="Arial"/>
          <w:sz w:val="18"/>
          <w:szCs w:val="18"/>
          <w:b w:val="1"/>
          <w:bCs w:val="1"/>
          <w:color w:val="auto"/>
        </w:rPr>
        <w:t>No.</w:t>
      </w:r>
      <w:r>
        <w:rPr>
          <w:sz w:val="20"/>
          <w:szCs w:val="20"/>
          <w:color w:val="auto"/>
        </w:rPr>
        <w:tab/>
      </w:r>
      <w:r>
        <w:rPr>
          <w:rFonts w:ascii="Arial" w:cs="Arial" w:eastAsia="Arial" w:hAnsi="Arial"/>
          <w:sz w:val="18"/>
          <w:szCs w:val="18"/>
          <w:b w:val="1"/>
          <w:bCs w:val="1"/>
          <w:color w:val="auto"/>
        </w:rPr>
        <w:t>Description</w:t>
      </w:r>
    </w:p>
    <w:p>
      <w:pPr>
        <w:spacing w:after="0" w:line="9" w:lineRule="exact"/>
        <w:rPr>
          <w:sz w:val="20"/>
          <w:szCs w:val="20"/>
          <w:color w:val="auto"/>
        </w:rPr>
      </w:pPr>
    </w:p>
    <w:p>
      <w:pPr>
        <w:ind w:left="4460" w:right="1819" w:hanging="4152"/>
        <w:spacing w:after="0" w:line="761" w:lineRule="auto"/>
        <w:tabs>
          <w:tab w:leader="none" w:pos="1389" w:val="left"/>
        </w:tabs>
        <w:numPr>
          <w:ilvl w:val="0"/>
          <w:numId w:val="5"/>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194945</wp:posOffset>
            </wp:positionV>
            <wp:extent cx="545211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t>SIGNATURE</w:t>
      </w:r>
    </w:p>
    <w:p>
      <w:pPr>
        <w:spacing w:after="0" w:line="200" w:lineRule="exact"/>
        <w:rPr>
          <w:sz w:val="20"/>
          <w:szCs w:val="20"/>
          <w:color w:val="auto"/>
        </w:rPr>
      </w:pPr>
    </w:p>
    <w:p>
      <w:pPr>
        <w:spacing w:after="0" w:line="241" w:lineRule="exact"/>
        <w:rPr>
          <w:sz w:val="20"/>
          <w:szCs w:val="20"/>
          <w:color w:val="auto"/>
        </w:rPr>
      </w:pPr>
    </w:p>
    <w:p>
      <w:pPr>
        <w:ind w:left="200" w:right="219"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4"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G-III APPAREL GROUP, LTD.</w:t>
      </w:r>
    </w:p>
    <w:p>
      <w:pPr>
        <w:spacing w:after="0" w:line="225" w:lineRule="exact"/>
        <w:rPr>
          <w:sz w:val="20"/>
          <w:szCs w:val="20"/>
          <w:color w:val="auto"/>
        </w:rPr>
      </w:pPr>
    </w:p>
    <w:p>
      <w:pPr>
        <w:ind w:left="220"/>
        <w:spacing w:after="0"/>
        <w:tabs>
          <w:tab w:leader="none" w:pos="4440" w:val="left"/>
          <w:tab w:leader="none" w:pos="4920" w:val="left"/>
        </w:tabs>
        <w:rPr>
          <w:sz w:val="20"/>
          <w:szCs w:val="20"/>
          <w:color w:val="auto"/>
        </w:rPr>
      </w:pPr>
      <w:r>
        <w:rPr>
          <w:rFonts w:ascii="Arial" w:cs="Arial" w:eastAsia="Arial" w:hAnsi="Arial"/>
          <w:sz w:val="18"/>
          <w:szCs w:val="18"/>
          <w:color w:val="auto"/>
        </w:rPr>
        <w:t>Date: November 19,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Neal S. Nackman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3142615</wp:posOffset>
            </wp:positionH>
            <wp:positionV relativeFrom="paragraph">
              <wp:posOffset>14605</wp:posOffset>
            </wp:positionV>
            <wp:extent cx="24428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Name:Neal S. Nackman</w:t>
      </w:r>
    </w:p>
    <w:p>
      <w:pPr>
        <w:spacing w:after="0" w:line="2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486410</wp:posOffset>
            </wp:positionV>
            <wp:extent cx="545211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sectPr>
      <w:pgSz w:w="11900" w:h="16838" w:orient="portrait"/>
      <w:cols w:equalWidth="0" w:num="1">
        <w:col w:w="9019"/>
      </w:cols>
      <w:pgMar w:left="144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5"/>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decimal"/>
      <w:start w:val="104"/>
    </w:lvl>
  </w:abstractNum>
  <w:abstractNum w:abstractNumId="4">
    <w:nsid w:val="46E87CCD"/>
    <w:multiLevelType w:val="hybridMultilevel"/>
    <w:lvl w:ilvl="0">
      <w:lvlJc w:val="left"/>
      <w:lvlText w:val="%1"/>
      <w:numFmt w:val="decimal"/>
      <w:start w:val="104"/>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2021-11-19T15:08:59Z</dcterms:created>
  <dcterms:modified xsi:type="dcterms:W3CDTF">2021-11-19T15:08:59Z</dcterms:modified>
</cp:coreProperties>
</file>