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318"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91"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10-Q</w:t>
      </w:r>
    </w:p>
    <w:p>
      <w:pPr>
        <w:spacing w:after="0" w:line="130"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322" w:hanging="319"/>
        <w:spacing w:after="0"/>
        <w:tabs>
          <w:tab w:leader="none" w:pos="32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 the quarterly period ended October 31, 2019</w:t>
      </w:r>
    </w:p>
    <w:p>
      <w:pPr>
        <w:spacing w:after="0" w:line="127"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742"/>
        <w:spacing w:after="0"/>
        <w:tabs>
          <w:tab w:leader="none" w:pos="6222"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3728720</wp:posOffset>
            </wp:positionH>
            <wp:positionV relativeFrom="paragraph">
              <wp:posOffset>-4445</wp:posOffset>
            </wp:positionV>
            <wp:extent cx="205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-4445</wp:posOffset>
            </wp:positionV>
            <wp:extent cx="154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07"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80645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36"/>
          <w:szCs w:val="36"/>
          <w:b w:val="1"/>
          <w:bCs w:val="1"/>
          <w:color w:val="auto"/>
        </w:rPr>
        <w:t>G-III APPAREL GROUP, LTD.</w:t>
      </w:r>
    </w:p>
    <w:p>
      <w:pPr>
        <w:spacing w:after="0" w:line="48" w:lineRule="exact"/>
        <w:rPr>
          <w:sz w:val="24"/>
          <w:szCs w:val="24"/>
          <w:color w:val="auto"/>
        </w:rPr>
      </w:pPr>
    </w:p>
    <w:p>
      <w:pPr>
        <w:jc w:val="center"/>
        <w:ind w:right="38"/>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69215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91" w:lineRule="exact"/>
        <w:rPr>
          <w:sz w:val="24"/>
          <w:szCs w:val="24"/>
          <w:color w:val="auto"/>
        </w:rPr>
      </w:pPr>
    </w:p>
    <w:tbl>
      <w:tblPr>
        <w:tblLayout w:type="fixed"/>
        <w:tblInd w:w="1142" w:type="dxa"/>
        <w:tblCellMar>
          <w:top w:w="0" w:type="dxa"/>
          <w:left w:w="0" w:type="dxa"/>
          <w:bottom w:w="0" w:type="dxa"/>
          <w:right w:w="0" w:type="dxa"/>
        </w:tblCellMar>
      </w:tblPr>
      <w:tr>
        <w:trPr>
          <w:trHeight w:val="2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jc w:val="right"/>
              <w:ind w:right="159"/>
              <w:spacing w:after="0"/>
              <w:rPr>
                <w:sz w:val="20"/>
                <w:szCs w:val="20"/>
                <w:color w:val="auto"/>
              </w:rPr>
            </w:pPr>
            <w:r>
              <w:rPr>
                <w:rFonts w:ascii="Arial" w:cs="Arial" w:eastAsia="Arial" w:hAnsi="Arial"/>
                <w:sz w:val="16"/>
                <w:szCs w:val="16"/>
                <w:b w:val="1"/>
                <w:bCs w:val="1"/>
                <w:color w:val="auto"/>
              </w:rPr>
              <w:t>41-1590959</w:t>
            </w:r>
          </w:p>
        </w:tc>
      </w:tr>
      <w:tr>
        <w:trPr>
          <w:trHeight w:val="2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(State or other jurisdiction of</w:t>
            </w:r>
          </w:p>
        </w:tc>
        <w:tc>
          <w:tcPr>
            <w:tcW w:w="2860" w:type="dxa"/>
            <w:vAlign w:val="bottom"/>
          </w:tcPr>
          <w:p>
            <w:pPr>
              <w:jc w:val="center"/>
              <w:ind w:left="15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incorporation or organization)</w:t>
            </w:r>
          </w:p>
        </w:tc>
        <w:tc>
          <w:tcPr>
            <w:tcW w:w="2860" w:type="dxa"/>
            <w:vAlign w:val="bottom"/>
          </w:tcPr>
          <w:p>
            <w:pPr>
              <w:jc w:val="center"/>
              <w:ind w:left="1519"/>
              <w:spacing w:after="0"/>
              <w:rPr>
                <w:sz w:val="20"/>
                <w:szCs w:val="20"/>
                <w:color w:val="auto"/>
              </w:rPr>
            </w:pPr>
            <w:r>
              <w:rPr>
                <w:rFonts w:ascii="Arial" w:cs="Arial" w:eastAsia="Arial" w:hAnsi="Arial"/>
                <w:sz w:val="16"/>
                <w:szCs w:val="16"/>
                <w:b w:val="1"/>
                <w:bCs w:val="1"/>
                <w:color w:val="auto"/>
                <w:w w:val="93"/>
              </w:rPr>
              <w:t>Identification No.)</w:t>
            </w:r>
          </w:p>
        </w:tc>
      </w:tr>
      <w:tr>
        <w:trPr>
          <w:trHeight w:val="303"/>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512 Seventh Avenue, New York, New York</w:t>
            </w:r>
          </w:p>
        </w:tc>
        <w:tc>
          <w:tcPr>
            <w:tcW w:w="2860" w:type="dxa"/>
            <w:vAlign w:val="bottom"/>
          </w:tcPr>
          <w:p>
            <w:pPr>
              <w:jc w:val="right"/>
              <w:ind w:right="339"/>
              <w:spacing w:after="0"/>
              <w:rPr>
                <w:sz w:val="20"/>
                <w:szCs w:val="20"/>
                <w:color w:val="auto"/>
              </w:rPr>
            </w:pPr>
            <w:r>
              <w:rPr>
                <w:rFonts w:ascii="Arial" w:cs="Arial" w:eastAsia="Arial" w:hAnsi="Arial"/>
                <w:sz w:val="16"/>
                <w:szCs w:val="16"/>
                <w:b w:val="1"/>
                <w:bCs w:val="1"/>
                <w:color w:val="auto"/>
              </w:rPr>
              <w:t>10018</w:t>
            </w:r>
          </w:p>
        </w:tc>
      </w:tr>
      <w:tr>
        <w:trPr>
          <w:trHeight w:val="210"/>
        </w:trPr>
        <w:tc>
          <w:tcPr>
            <w:tcW w:w="452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860" w:type="dxa"/>
            <w:vAlign w:val="bottom"/>
          </w:tcPr>
          <w:p>
            <w:pPr>
              <w:jc w:val="center"/>
              <w:ind w:left="1539"/>
              <w:spacing w:after="0"/>
              <w:rPr>
                <w:sz w:val="20"/>
                <w:szCs w:val="20"/>
                <w:color w:val="auto"/>
              </w:rPr>
            </w:pPr>
            <w:r>
              <w:rPr>
                <w:rFonts w:ascii="Arial" w:cs="Arial" w:eastAsia="Arial" w:hAnsi="Arial"/>
                <w:sz w:val="16"/>
                <w:szCs w:val="16"/>
                <w:b w:val="1"/>
                <w:bCs w:val="1"/>
                <w:color w:val="auto"/>
                <w:w w:val="96"/>
              </w:rPr>
              <w:t>(Zip Code)</w:t>
            </w:r>
          </w:p>
        </w:tc>
      </w:tr>
    </w:tbl>
    <w:p>
      <w:pPr>
        <w:spacing w:after="0" w:line="195"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(212) 403-0500</w:t>
      </w:r>
    </w:p>
    <w:p>
      <w:pPr>
        <w:spacing w:after="0" w:line="26"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9"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80645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00"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7" w:lineRule="exact"/>
        <w:rPr>
          <w:sz w:val="24"/>
          <w:szCs w:val="24"/>
          <w:color w:val="auto"/>
        </w:rPr>
      </w:pPr>
    </w:p>
    <w:tbl>
      <w:tblPr>
        <w:tblLayout w:type="fixed"/>
        <w:tblInd w:w="542" w:type="dxa"/>
        <w:tblCellMar>
          <w:top w:w="0" w:type="dxa"/>
          <w:left w:w="0" w:type="dxa"/>
          <w:bottom w:w="0" w:type="dxa"/>
          <w:right w:w="0" w:type="dxa"/>
        </w:tblCellMar>
      </w:tblPr>
      <w:tr>
        <w:trPr>
          <w:trHeight w:val="162"/>
        </w:trPr>
        <w:tc>
          <w:tcPr>
            <w:tcW w:w="3260" w:type="dxa"/>
            <w:vAlign w:val="bottom"/>
          </w:tcPr>
          <w:p>
            <w:pPr>
              <w:jc w:val="center"/>
              <w:ind w:right="788"/>
              <w:spacing w:after="0"/>
              <w:rPr>
                <w:sz w:val="20"/>
                <w:szCs w:val="20"/>
                <w:color w:val="auto"/>
              </w:rPr>
            </w:pPr>
            <w:r>
              <w:rPr>
                <w:rFonts w:ascii="Arial" w:cs="Arial" w:eastAsia="Arial" w:hAnsi="Arial"/>
                <w:sz w:val="14"/>
                <w:szCs w:val="14"/>
                <w:color w:val="auto"/>
                <w:w w:val="92"/>
              </w:rPr>
              <w:t>Title of each class</w:t>
            </w:r>
          </w:p>
        </w:tc>
        <w:tc>
          <w:tcPr>
            <w:tcW w:w="276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80" w:type="dxa"/>
            <w:vAlign w:val="bottom"/>
          </w:tcPr>
          <w:p>
            <w:pPr>
              <w:jc w:val="center"/>
              <w:ind w:left="748"/>
              <w:spacing w:after="0"/>
              <w:rPr>
                <w:sz w:val="20"/>
                <w:szCs w:val="20"/>
                <w:color w:val="auto"/>
              </w:rPr>
            </w:pPr>
            <w:r>
              <w:rPr>
                <w:rFonts w:ascii="Arial" w:cs="Arial" w:eastAsia="Arial" w:hAnsi="Arial"/>
                <w:sz w:val="14"/>
                <w:szCs w:val="14"/>
                <w:color w:val="auto"/>
                <w:w w:val="92"/>
              </w:rPr>
              <w:t>Name of each exchange on which registered</w:t>
            </w:r>
          </w:p>
        </w:tc>
      </w:tr>
      <w:tr>
        <w:trPr>
          <w:trHeight w:val="182"/>
        </w:trPr>
        <w:tc>
          <w:tcPr>
            <w:tcW w:w="3260" w:type="dxa"/>
            <w:vAlign w:val="bottom"/>
          </w:tcPr>
          <w:p>
            <w:pPr>
              <w:jc w:val="center"/>
              <w:ind w:right="768"/>
              <w:spacing w:after="0"/>
              <w:rPr>
                <w:sz w:val="20"/>
                <w:szCs w:val="20"/>
                <w:color w:val="auto"/>
              </w:rPr>
            </w:pPr>
            <w:r>
              <w:rPr>
                <w:rFonts w:ascii="Arial" w:cs="Arial" w:eastAsia="Arial" w:hAnsi="Arial"/>
                <w:sz w:val="14"/>
                <w:szCs w:val="14"/>
                <w:color w:val="auto"/>
                <w:w w:val="91"/>
              </w:rPr>
              <w:t>Common Stock, $0.01 par value per share</w:t>
            </w:r>
          </w:p>
        </w:tc>
        <w:tc>
          <w:tcPr>
            <w:tcW w:w="2760" w:type="dxa"/>
            <w:vAlign w:val="bottom"/>
          </w:tcPr>
          <w:p>
            <w:pPr>
              <w:jc w:val="center"/>
              <w:spacing w:after="0"/>
              <w:rPr>
                <w:sz w:val="20"/>
                <w:szCs w:val="20"/>
                <w:color w:val="auto"/>
              </w:rPr>
            </w:pPr>
            <w:r>
              <w:rPr>
                <w:rFonts w:ascii="Arial" w:cs="Arial" w:eastAsia="Arial" w:hAnsi="Arial"/>
                <w:sz w:val="14"/>
                <w:szCs w:val="14"/>
                <w:color w:val="auto"/>
              </w:rPr>
              <w:t>GIII</w:t>
            </w:r>
          </w:p>
        </w:tc>
        <w:tc>
          <w:tcPr>
            <w:tcW w:w="3380" w:type="dxa"/>
            <w:vAlign w:val="bottom"/>
          </w:tcPr>
          <w:p>
            <w:pPr>
              <w:jc w:val="center"/>
              <w:ind w:left="748"/>
              <w:spacing w:after="0"/>
              <w:rPr>
                <w:sz w:val="20"/>
                <w:szCs w:val="20"/>
                <w:color w:val="auto"/>
              </w:rPr>
            </w:pPr>
            <w:r>
              <w:rPr>
                <w:rFonts w:ascii="Arial" w:cs="Arial" w:eastAsia="Arial" w:hAnsi="Arial"/>
                <w:sz w:val="14"/>
                <w:szCs w:val="14"/>
                <w:color w:val="auto"/>
                <w:w w:val="93"/>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-214630</wp:posOffset>
            </wp:positionV>
            <wp:extent cx="659511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214630"/>
                    </a:xfrm>
                    <a:prstGeom prst="rect">
                      <a:avLst/>
                    </a:prstGeom>
                    <a:noFill/>
                  </pic:spPr>
                </pic:pic>
              </a:graphicData>
            </a:graphic>
          </wp:anchor>
        </w:drawing>
      </w:r>
    </w:p>
    <w:p>
      <w:pPr>
        <w:spacing w:after="0" w:line="50" w:lineRule="exact"/>
        <w:rPr>
          <w:sz w:val="24"/>
          <w:szCs w:val="24"/>
          <w:color w:val="auto"/>
        </w:rPr>
      </w:pPr>
    </w:p>
    <w:p>
      <w:pPr>
        <w:jc w:val="both"/>
        <w:ind w:left="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2"/>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88" w:lineRule="exact"/>
        <w:rPr>
          <w:sz w:val="24"/>
          <w:szCs w:val="24"/>
          <w:color w:val="auto"/>
        </w:rPr>
      </w:pPr>
    </w:p>
    <w:p>
      <w:pPr>
        <w:jc w:val="both"/>
        <w:ind w:left="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ind w:left="2140"/>
              <w:spacing w:after="0"/>
              <w:rPr>
                <w:sz w:val="20"/>
                <w:szCs w:val="20"/>
                <w:color w:val="auto"/>
              </w:rPr>
            </w:pPr>
            <w:r>
              <w:rPr>
                <w:rFonts w:ascii="Arial" w:cs="Arial" w:eastAsia="Arial" w:hAnsi="Arial"/>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ind w:left="2140"/>
              <w:spacing w:after="0"/>
              <w:rPr>
                <w:sz w:val="20"/>
                <w:szCs w:val="20"/>
                <w:color w:val="auto"/>
              </w:rPr>
            </w:pPr>
            <w:r>
              <w:rPr>
                <w:rFonts w:ascii="Arial" w:cs="Arial" w:eastAsia="Arial" w:hAnsi="Arial"/>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560" w:type="dxa"/>
            <w:vAlign w:val="bottom"/>
          </w:tcPr>
          <w:p>
            <w:pPr>
              <w:ind w:left="2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6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86" w:lineRule="exact"/>
        <w:rPr>
          <w:sz w:val="24"/>
          <w:szCs w:val="24"/>
          <w:color w:val="auto"/>
        </w:rPr>
      </w:pPr>
    </w:p>
    <w:p>
      <w:pPr>
        <w:jc w:val="both"/>
        <w:ind w:left="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57" w:lineRule="exact"/>
        <w:rPr>
          <w:sz w:val="24"/>
          <w:szCs w:val="24"/>
          <w:color w:val="auto"/>
        </w:rPr>
      </w:pPr>
    </w:p>
    <w:p>
      <w:pPr>
        <w:ind w:left="2" w:right="198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highlight w:val="black"/>
        </w:rPr>
        <w:t>☒</w:t>
      </w:r>
      <w:r>
        <w:rPr>
          <w:rFonts w:ascii="Arial" w:cs="Arial" w:eastAsia="Arial" w:hAnsi="Arial"/>
          <w:sz w:val="15"/>
          <w:szCs w:val="15"/>
          <w:color w:val="auto"/>
        </w:rPr>
        <w:t xml:space="preserve"> As of December 5, 2019, there were 47,825,398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553085</wp:posOffset>
            </wp:positionV>
            <wp:extent cx="6595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73025</wp:posOffset>
            </wp:positionV>
            <wp:extent cx="6595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659511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gridSpan w:val="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4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76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gridSpan w:val="15"/>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594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October 31, 2019, October 31, 2018 and January 31, 2019</w:t>
              </w:r>
            </w:hyperlink>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and Comprehensive Income - For the Three and Nine</w:t>
              </w:r>
            </w:hyperlink>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October 31, 2019 and 2018 (Unaudited)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5"/>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 For the Nine Months Ended October 31, 2019</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2018 (Unaudited)</w:t>
              </w:r>
            </w:hyperlink>
          </w:p>
        </w:tc>
        <w:tc>
          <w:tcPr>
            <w:tcW w:w="2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1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1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4"/>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1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10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81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2.  Unregistered Sales of Equity Securities and Use of Proceeds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6.</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3760" w:type="dxa"/>
            <w:vAlign w:val="bottom"/>
            <w:tcBorders>
              <w:top w:val="single" w:sz="8" w:color="0000EE"/>
            </w:tcBorders>
            <w:gridSpan w:val="9"/>
          </w:tcPr>
          <w:p>
            <w:pPr>
              <w:spacing w:after="0"/>
              <w:rPr>
                <w:sz w:val="17"/>
                <w:szCs w:val="17"/>
                <w:color w:val="auto"/>
              </w:rPr>
            </w:pPr>
          </w:p>
        </w:tc>
        <w:tc>
          <w:tcPr>
            <w:tcW w:w="30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gridSpan w:val="8"/>
          </w:tcPr>
          <w:p>
            <w:pPr>
              <w:jc w:val="right"/>
              <w:ind w:right="475"/>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66,080</w:t>
            </w:r>
          </w:p>
        </w:tc>
        <w:tc>
          <w:tcPr>
            <w:tcW w:w="2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899,029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819,636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650,633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616,162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Prepaid income taxes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ind w:left="20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1,685,733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1,584,811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1,253,895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affiliates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62,231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67,874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90,830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89,658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assets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Other assets,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34,389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35,109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Deferred income tax assets, net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25,135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28,336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Trademarks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437,247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440,505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261,366</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2,928,607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2,551,068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2,208,058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Income tax payable</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32,029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25,194</w:t>
            </w:r>
          </w:p>
        </w:tc>
        <w:tc>
          <w:tcPr>
            <w:tcW w:w="2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137,402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137,878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Customer refund liabilities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260,040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66,850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notes payable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Other current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713,249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623,298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Notes payable, net of discount and unamortized issuance costs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674,741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694,277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386,604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14,300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260,010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1,668,305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1,370,113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1,019,049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Preferred stock; 1,000 shares authorized; no shares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ind w:left="100"/>
              <w:spacing w:after="0" w:line="185" w:lineRule="exact"/>
              <w:rPr>
                <w:sz w:val="20"/>
                <w:szCs w:val="20"/>
                <w:color w:val="auto"/>
              </w:rPr>
            </w:pPr>
            <w:r>
              <w:rPr>
                <w:rFonts w:ascii="Arial" w:cs="Arial" w:eastAsia="Arial" w:hAnsi="Arial"/>
                <w:sz w:val="17"/>
                <w:szCs w:val="17"/>
                <w:color w:val="auto"/>
                <w:w w:val="95"/>
              </w:rPr>
              <w:t>Common stock - $0.01 par value; 120,000 shares authorized; 49,395,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49,356 and, 49,387 shares issued, respectively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457,278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461,457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(23,060)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867,850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734,800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758,881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ind w:left="100"/>
              <w:spacing w:after="0" w:line="185" w:lineRule="exact"/>
              <w:rPr>
                <w:sz w:val="20"/>
                <w:szCs w:val="20"/>
                <w:color w:val="auto"/>
              </w:rPr>
            </w:pPr>
            <w:r>
              <w:rPr>
                <w:rFonts w:ascii="Arial" w:cs="Arial" w:eastAsia="Arial" w:hAnsi="Arial"/>
                <w:sz w:val="17"/>
                <w:szCs w:val="17"/>
                <w:color w:val="auto"/>
              </w:rPr>
              <w:t>Common stock held in treasury, at cost - 1,570, 0 and 678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(19,054)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1,260,302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1,180,955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1,189,009</w:t>
            </w:r>
          </w:p>
        </w:tc>
        <w:tc>
          <w:tcPr>
            <w:tcW w:w="0" w:type="dxa"/>
            <w:vAlign w:val="bottom"/>
          </w:tcPr>
          <w:p>
            <w:pPr>
              <w:spacing w:after="0"/>
              <w:rPr>
                <w:sz w:val="1"/>
                <w:szCs w:val="1"/>
                <w:color w:val="auto"/>
              </w:rPr>
            </w:pPr>
          </w:p>
        </w:tc>
      </w:tr>
      <w:tr>
        <w:trPr>
          <w:trHeight w:val="196"/>
        </w:trPr>
        <w:tc>
          <w:tcPr>
            <w:tcW w:w="512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2,928,607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2,551,068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2,208,058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3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Three Months Ended October 31,</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October 31,</w:t>
            </w: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190"/>
        </w:trPr>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9"/>
          </w:tcPr>
          <w:p>
            <w:pPr>
              <w:jc w:val="center"/>
              <w:ind w:left="592"/>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840" w:type="dxa"/>
            <w:vAlign w:val="bottom"/>
          </w:tcPr>
          <w:p>
            <w:pPr>
              <w:spacing w:after="0"/>
              <w:rPr>
                <w:sz w:val="17"/>
                <w:szCs w:val="17"/>
                <w:color w:val="auto"/>
              </w:rPr>
            </w:pPr>
          </w:p>
        </w:tc>
      </w:tr>
      <w:tr>
        <w:trPr>
          <w:trHeight w:val="26"/>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1,128,403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1,072,982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2,405,847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2,309,423</w:t>
            </w:r>
          </w:p>
        </w:tc>
      </w:tr>
      <w:tr>
        <w:trPr>
          <w:trHeight w:val="216"/>
        </w:trPr>
        <w:tc>
          <w:tcPr>
            <w:tcW w:w="46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729,384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1,538,995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1,461,252</w:t>
            </w:r>
          </w:p>
        </w:tc>
      </w:tr>
      <w:tr>
        <w:trPr>
          <w:trHeight w:val="210"/>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848,171</w:t>
            </w: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632,983</w:t>
            </w: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Gain on lease terminations</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(2,346)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186,320</w:t>
            </w: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Other income (loss)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and financing charges,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(32,153)</w:t>
            </w:r>
          </w:p>
        </w:tc>
      </w:tr>
      <w:tr>
        <w:trPr>
          <w:trHeight w:val="210"/>
        </w:trPr>
        <w:tc>
          <w:tcPr>
            <w:tcW w:w="120" w:type="dxa"/>
            <w:vAlign w:val="bottom"/>
          </w:tcPr>
          <w:p>
            <w:pPr>
              <w:spacing w:after="0"/>
              <w:rPr>
                <w:sz w:val="18"/>
                <w:szCs w:val="18"/>
                <w:color w:val="auto"/>
              </w:rPr>
            </w:pPr>
          </w:p>
        </w:tc>
        <w:tc>
          <w:tcPr>
            <w:tcW w:w="4500" w:type="dxa"/>
            <w:vAlign w:val="bottom"/>
            <w:gridSpan w:val="3"/>
          </w:tcPr>
          <w:p>
            <w:pPr>
              <w:ind w:left="10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131,021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127,868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161,003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153,864</w:t>
            </w: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39,877</w:t>
            </w:r>
          </w:p>
        </w:tc>
      </w:tr>
      <w:tr>
        <w:trPr>
          <w:trHeight w:val="250"/>
        </w:trPr>
        <w:tc>
          <w:tcPr>
            <w:tcW w:w="46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118,549</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113,987</w:t>
            </w:r>
          </w:p>
        </w:tc>
      </w:tr>
      <w:tr>
        <w:trPr>
          <w:trHeight w:val="197"/>
        </w:trPr>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NET INCOME PER COMMON SHARE: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76"/>
        </w:trPr>
        <w:tc>
          <w:tcPr>
            <w:tcW w:w="120" w:type="dxa"/>
            <w:vAlign w:val="bottom"/>
            <w:shd w:val="clear" w:color="auto" w:fill="CCEEFF"/>
          </w:tcPr>
          <w:p>
            <w:pPr>
              <w:spacing w:after="0"/>
              <w:rPr>
                <w:sz w:val="15"/>
                <w:szCs w:val="15"/>
                <w:color w:val="auto"/>
              </w:rPr>
            </w:pPr>
          </w:p>
        </w:tc>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197"/>
        </w:trPr>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47,768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49,231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48,333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49,176</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6"/>
        </w:trPr>
        <w:tc>
          <w:tcPr>
            <w:tcW w:w="120" w:type="dxa"/>
            <w:vAlign w:val="bottom"/>
            <w:shd w:val="clear" w:color="auto" w:fill="CCEEFF"/>
          </w:tcPr>
          <w:p>
            <w:pPr>
              <w:spacing w:after="0"/>
              <w:rPr>
                <w:sz w:val="15"/>
                <w:szCs w:val="15"/>
                <w:color w:val="auto"/>
              </w:rPr>
            </w:pPr>
          </w:p>
        </w:tc>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56"/>
        </w:trPr>
        <w:tc>
          <w:tcPr>
            <w:tcW w:w="120" w:type="dxa"/>
            <w:vAlign w:val="bottom"/>
            <w:tcBorders>
              <w:bottom w:val="single" w:sz="8" w:color="CCEEFF"/>
            </w:tcBorders>
          </w:tcPr>
          <w:p>
            <w:pPr>
              <w:spacing w:after="0"/>
              <w:rPr>
                <w:sz w:val="22"/>
                <w:szCs w:val="22"/>
                <w:color w:val="auto"/>
              </w:rPr>
            </w:pPr>
          </w:p>
        </w:tc>
        <w:tc>
          <w:tcPr>
            <w:tcW w:w="450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Net income per common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197"/>
        </w:trPr>
        <w:tc>
          <w:tcPr>
            <w:tcW w:w="12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CCEEFF"/>
            </w:tcBorders>
            <w:gridSpan w:val="3"/>
            <w:shd w:val="clear" w:color="auto" w:fill="CCEEFF"/>
          </w:tcPr>
          <w:p>
            <w:pPr>
              <w:ind w:left="100"/>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48,356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50,494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49,056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50,345</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113,987</w:t>
            </w:r>
          </w:p>
        </w:tc>
      </w:tr>
      <w:tr>
        <w:trPr>
          <w:trHeight w:val="216"/>
        </w:trPr>
        <w:tc>
          <w:tcPr>
            <w:tcW w:w="4620" w:type="dxa"/>
            <w:vAlign w:val="bottom"/>
            <w:gridSpan w:val="4"/>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4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r>
      <w:tr>
        <w:trPr>
          <w:trHeight w:val="210"/>
        </w:trPr>
        <w:tc>
          <w:tcPr>
            <w:tcW w:w="46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w:t>
            </w:r>
          </w:p>
        </w:tc>
      </w:tr>
      <w:tr>
        <w:trPr>
          <w:trHeight w:val="210"/>
        </w:trPr>
        <w:tc>
          <w:tcPr>
            <w:tcW w:w="4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103,943</w:t>
            </w: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gridSpan w:val="4"/>
          </w:tcPr>
          <w:p>
            <w:pPr>
              <w:jc w:val="center"/>
              <w:ind w:right="15"/>
              <w:spacing w:after="0" w:line="119"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7"/>
                <w:szCs w:val="17"/>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118,549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113,987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28,963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on disposal of fixed assets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Non-cash operating lease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55,048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 on lease terminations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Dividend received from unconsolidated affiliate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Equity (gain)/loss in unconsolidated affiliates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Share-based compensation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13,657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14,876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financing charges and debt discount amortization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(396,895)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(74,250)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 net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 net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320"/>
              <w:spacing w:after="0"/>
              <w:rPr>
                <w:sz w:val="20"/>
                <w:szCs w:val="20"/>
                <w:color w:val="auto"/>
              </w:rPr>
            </w:pPr>
            <w:r>
              <w:rPr>
                <w:rFonts w:ascii="Arial" w:cs="Arial" w:eastAsia="Arial" w:hAnsi="Arial"/>
                <w:sz w:val="17"/>
                <w:szCs w:val="17"/>
                <w:color w:val="auto"/>
              </w:rPr>
              <w:t>Customer refund liabilities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16,450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168,954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Accounts payable, accrued expenses and other liabilities</w:t>
            </w: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26,567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used in operating activities</w:t>
            </w:r>
          </w:p>
        </w:tc>
        <w:tc>
          <w:tcPr>
            <w:tcW w:w="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(220,169)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(236,107)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7"/>
                <w:szCs w:val="17"/>
                <w:color w:val="auto"/>
              </w:rPr>
              <w:t>Operating lease assets initial direct costs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Capital expenditures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Investment in unconsolidated affiliate</w:t>
            </w: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used in investing activities</w:t>
            </w:r>
          </w:p>
        </w:tc>
        <w:tc>
          <w:tcPr>
            <w:tcW w:w="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7"/>
                <w:szCs w:val="17"/>
                <w:color w:val="auto"/>
              </w:rPr>
              <w:t>Repayment of borrowings - revolving facility</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(1,536,448)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(1,454,510)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Proceeds from borrowings - revolving facility</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1,816,328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7"/>
                <w:szCs w:val="17"/>
                <w:color w:val="auto"/>
              </w:rPr>
              <w:t>Repayment of borrowings - unsecured term loan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Proceeds from borrowings - unsecured term loan</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7"/>
                <w:szCs w:val="17"/>
                <w:color w:val="auto"/>
              </w:rPr>
              <w:t>Proceeds from exercise of equity awards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Purchase of treasury shares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Taxes paid for net share settlements</w:t>
            </w:r>
          </w:p>
        </w:tc>
        <w:tc>
          <w:tcPr>
            <w:tcW w:w="7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provided by financing activities</w:t>
            </w:r>
          </w:p>
        </w:tc>
        <w:tc>
          <w:tcPr>
            <w:tcW w:w="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239,455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292,809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Net (decrease)/increase in cash and cash equivalents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(14,337)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7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70,138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45,776</w:t>
            </w:r>
          </w:p>
        </w:tc>
        <w:tc>
          <w:tcPr>
            <w:tcW w:w="0" w:type="dxa"/>
            <w:vAlign w:val="bottom"/>
          </w:tcPr>
          <w:p>
            <w:pPr>
              <w:spacing w:after="0"/>
              <w:rPr>
                <w:sz w:val="1"/>
                <w:szCs w:val="1"/>
                <w:color w:val="auto"/>
              </w:rPr>
            </w:pPr>
          </w:p>
        </w:tc>
      </w:tr>
      <w:tr>
        <w:trPr>
          <w:trHeight w:val="236"/>
        </w:trPr>
        <w:tc>
          <w:tcPr>
            <w:tcW w:w="6120" w:type="dxa"/>
            <w:vAlign w:val="bottom"/>
            <w:gridSpan w:val="2"/>
          </w:tcPr>
          <w:p>
            <w:pPr>
              <w:spacing w:after="0"/>
              <w:rPr>
                <w:sz w:val="20"/>
                <w:szCs w:val="20"/>
                <w:color w:val="auto"/>
              </w:rPr>
            </w:pPr>
            <w:r>
              <w:rPr>
                <w:rFonts w:ascii="Arial" w:cs="Arial" w:eastAsia="Arial" w:hAnsi="Arial"/>
                <w:sz w:val="17"/>
                <w:szCs w:val="17"/>
                <w:color w:val="auto"/>
              </w:rPr>
              <w:t>Cash and cash equivalents at end of period</w:t>
            </w:r>
          </w:p>
        </w:tc>
        <w:tc>
          <w:tcPr>
            <w:tcW w:w="7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55,801</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66,080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00" w:type="dxa"/>
            <w:vAlign w:val="bottom"/>
          </w:tcPr>
          <w:p>
            <w:pPr>
              <w:spacing w:after="0"/>
              <w:rPr>
                <w:sz w:val="20"/>
                <w:szCs w:val="20"/>
                <w:color w:val="auto"/>
              </w:rPr>
            </w:pPr>
            <w:r>
              <w:rPr>
                <w:rFonts w:ascii="Arial" w:cs="Arial" w:eastAsia="Arial" w:hAnsi="Arial"/>
                <w:sz w:val="17"/>
                <w:szCs w:val="17"/>
                <w:color w:val="auto"/>
              </w:rPr>
              <w:t>Supplemental disclosures of cash flow information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payments: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rPr>
                <w:sz w:val="20"/>
                <w:szCs w:val="20"/>
                <w:color w:val="auto"/>
              </w:rPr>
            </w:pPr>
            <w:r>
              <w:rPr>
                <w:rFonts w:ascii="Arial" w:cs="Arial" w:eastAsia="Arial" w:hAnsi="Arial"/>
                <w:sz w:val="17"/>
                <w:szCs w:val="17"/>
                <w:color w:val="auto"/>
              </w:rPr>
              <w:t>Interest, net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25,822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 payments, net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consolidates the accounts of its wholly-owned and majority-owned subsidiaries. KL North America B.V. (“KLNA”) and Fabco Holding B.V. (“Fabco”) are Dutch joint venture limited liability companies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Vilebrequin International SA (“Vilebrequin”), a Swiss corporation that is wholly-owned by the Company, KLH, KLNA and Fabco report results on a calendar year basis rather than on the January 31 fiscal year basis used by the Company. Accordingly, the results of Vilebrequin, KLH, KLNA and Fabco are, and will be, included in the financial statements for the quarter ended or ending closest to the Company’s fiscal quarter end. For example, with respect to the Company’s results for the nine-month period ended October 31, 2019, the results of Vilebrequin, KLH, KLNA and Fabco are included for the nine-month period ended September 30, 2019. The Company’s retail operations segment reports on a 52/53-week fiscal year. The Company’s three and nine-month periods ended October 31, 2019 and 2018 were each a 13-week fiscal quarter and 39-week period, respectively, for the retail operations segment. For fiscal 2020 and 2019, the three and nine-month periods for the retail operations segment ended on November 2, 2019 and November 3, 2018, respectively.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for the three and nine months ended October 31, 2019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2019 filed with the Securities and Exchange Commission (the “SEC”).</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and liabilities of the Company’s foreign operations, where the functional currency is not the U.S. dollar (reporting currency),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Inventories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Wholesale inventories, which comprise a significant portion of the Company’s inventory, are stated at the lower of cost (determined by the first-in, first-out method) or net realizable value. Retail inventories are valued at the lower of cost or market as determined by the retail inventory method. Vilebrequin inventories are stated at the lower of cost (determined by the weighted average method) or net realizable value. Substantially all of the Company’s inventories consist of finished goods.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inventory return asset, which consists of the amount of goods that are anticipated to be returned by customers, represented $41.9 million, $37.5 million and $42.4 million as of October 31, 2019, October 31, 2018 and January 31, 2019 respectively. The inventory return asset is recorded within prepaid expenses and other current assets.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Inventory held on consignment by the Company’s customers totaled $11.0 million, $7.3 million and $4.9 million at October 31, 2019, October 31, 2018 and January 31, 2019, respectively. Consignment inventory is stored at the facilities of the Company’s customers. The Company reflects this inventory on its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Fair Value of Financial Instruments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58" w:lineRule="exact"/>
        <w:rPr>
          <w:sz w:val="20"/>
          <w:szCs w:val="20"/>
          <w:color w:val="auto"/>
        </w:rPr>
      </w:pPr>
    </w:p>
    <w:p>
      <w:pPr>
        <w:ind w:left="680" w:hanging="320"/>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170" w:lineRule="exact"/>
        <w:rPr>
          <w:rFonts w:ascii="Arial" w:cs="Arial" w:eastAsia="Arial" w:hAnsi="Arial"/>
          <w:sz w:val="18"/>
          <w:szCs w:val="18"/>
          <w:color w:val="auto"/>
        </w:rPr>
      </w:pPr>
    </w:p>
    <w:p>
      <w:pPr>
        <w:jc w:val="both"/>
        <w:ind w:left="680" w:hanging="320"/>
        <w:spacing w:after="0" w:line="259"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6" w:lineRule="exact"/>
        <w:rPr>
          <w:rFonts w:ascii="Arial" w:cs="Arial" w:eastAsia="Arial" w:hAnsi="Arial"/>
          <w:sz w:val="18"/>
          <w:szCs w:val="18"/>
          <w:color w:val="auto"/>
        </w:rPr>
      </w:pPr>
    </w:p>
    <w:p>
      <w:pPr>
        <w:ind w:left="680" w:right="20" w:hanging="320"/>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carrying values and the estimated fair values of the Company’s debt instruments: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Carrying Value</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8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October 31,</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92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31,</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right"/>
              <w:ind w:right="457"/>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300,000</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  300,000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300,000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279,880</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309,599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279,880</w:t>
            </w:r>
          </w:p>
        </w:tc>
        <w:tc>
          <w:tcPr>
            <w:tcW w:w="980" w:type="dxa"/>
            <w:vAlign w:val="bottom"/>
          </w:tcPr>
          <w:p>
            <w:pPr>
              <w:jc w:val="right"/>
              <w:spacing w:after="0"/>
              <w:rPr>
                <w:sz w:val="20"/>
                <w:szCs w:val="20"/>
                <w:color w:val="auto"/>
              </w:rPr>
            </w:pPr>
            <w:r>
              <w:rPr>
                <w:rFonts w:ascii="Arial" w:cs="Arial" w:eastAsia="Arial" w:hAnsi="Arial"/>
                <w:sz w:val="18"/>
                <w:szCs w:val="18"/>
                <w:color w:val="auto"/>
              </w:rPr>
              <w:t>309,599</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100,623</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95,345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88,608</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Unsecured loan</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2,948</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debt instruments are recorded at their carrying values in its condensed consolidated balance sheets, which may differ from their respective fair values.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2% note issued to LVMH Moet Hennessy Louis Vuitton Inc. (“LVMH”) in connection with the acquisition of Donna Karan International (“DKI”) was issued at a discount of $40.0 million in accordance with Accounting Standards Codification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purposes of this fair value disclosure, the Company based its fair value estimate for the note issued to LVMH on the initial fair value as determined at the date of the acquisition of DKI and records the amortization using the effective interest method over the term of the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non-financial assets, which primarily consist of operating lease assets,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During the first quarter of fiscal 2020, the Company recorded an impairment of $9.6 million, net of tax, in connection with the adoption of ASC 842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that was recognized through retained earnings.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Leases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 2019, the Company adopted ASC 842 using the optional transition method to apply the standard as of the effective date and, therefore, the standard has not been applied retroactively to the comparative periods presented in its financial statements. The Company has elected the transition package of three practical expedients permitted within the standard, which eliminates the requirements to reassess prior conclusions about lease identification, lease classification and initial direct costs. The hindsight practical expedient, which permits the use of hindsight when determining lease term and impairment of right-of-use assets, has not been elected. Further,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Total rent payable is recorded during the lease term, including rent escalations in which the amount of future rent is certain or fixed on the straight-line basis over the term of the lease (including any rent holiday periods beginning upon control of 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Certain leases contain provisions that require contingent rent payments based upon sales volume (variable lease cost).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Contingent rent is accrued each period as the liabilities are incurred.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liabilities as of October 31, 2019 consist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Pr>
          <w:p>
            <w:pPr>
              <w:spacing w:after="0"/>
              <w:rPr>
                <w:sz w:val="14"/>
                <w:szCs w:val="14"/>
                <w:color w:val="auto"/>
              </w:rPr>
            </w:pPr>
          </w:p>
        </w:tc>
        <w:tc>
          <w:tcPr>
            <w:tcW w:w="1740" w:type="dxa"/>
            <w:vAlign w:val="bottom"/>
          </w:tcPr>
          <w:p>
            <w:pPr>
              <w:jc w:val="right"/>
              <w:ind w:right="415"/>
              <w:spacing w:after="0"/>
              <w:rPr>
                <w:sz w:val="20"/>
                <w:szCs w:val="20"/>
                <w:color w:val="auto"/>
              </w:rPr>
            </w:pPr>
            <w:r>
              <w:rPr>
                <w:rFonts w:ascii="Arial" w:cs="Arial" w:eastAsia="Arial" w:hAnsi="Arial"/>
                <w:sz w:val="14"/>
                <w:szCs w:val="14"/>
                <w:b w:val="1"/>
                <w:bCs w:val="1"/>
                <w:color w:val="auto"/>
              </w:rPr>
              <w:t>October 31, 2019</w:t>
            </w:r>
          </w:p>
        </w:tc>
      </w:tr>
      <w:tr>
        <w:trPr>
          <w:trHeight w:val="142"/>
        </w:trPr>
        <w:tc>
          <w:tcPr>
            <w:tcW w:w="28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3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w:t>
            </w: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293,819</w:t>
            </w:r>
          </w:p>
        </w:tc>
      </w:tr>
      <w:tr>
        <w:trPr>
          <w:trHeight w:val="210"/>
        </w:trPr>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assets</w:t>
            </w:r>
          </w:p>
        </w:tc>
        <w:tc>
          <w:tcPr>
            <w:tcW w:w="3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293,819</w:t>
            </w:r>
          </w:p>
        </w:tc>
      </w:tr>
      <w:tr>
        <w:trPr>
          <w:trHeight w:val="20"/>
        </w:trPr>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7"/>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3180" w:type="dxa"/>
            <w:vAlign w:val="bottom"/>
            <w:gridSpan w:val="2"/>
          </w:tcPr>
          <w:p>
            <w:pPr>
              <w:ind w:left="120"/>
              <w:spacing w:after="0"/>
              <w:rPr>
                <w:sz w:val="20"/>
                <w:szCs w:val="20"/>
                <w:color w:val="auto"/>
              </w:rPr>
            </w:pPr>
            <w:r>
              <w:rPr>
                <w:rFonts w:ascii="Arial" w:cs="Arial" w:eastAsia="Arial" w:hAnsi="Arial"/>
                <w:sz w:val="18"/>
                <w:szCs w:val="18"/>
                <w:color w:val="auto"/>
              </w:rPr>
              <w:t>Current operating</w:t>
            </w:r>
          </w:p>
        </w:tc>
        <w:tc>
          <w:tcPr>
            <w:tcW w:w="3840" w:type="dxa"/>
            <w:vAlign w:val="bottom"/>
            <w:gridSpan w:val="2"/>
          </w:tcPr>
          <w:p>
            <w:pPr>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66,850</w:t>
            </w:r>
          </w:p>
        </w:tc>
      </w:tr>
      <w:tr>
        <w:trPr>
          <w:trHeight w:val="216"/>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Noncurrent operating</w:t>
            </w: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260,010</w:t>
            </w:r>
          </w:p>
        </w:tc>
      </w:tr>
      <w:tr>
        <w:trPr>
          <w:trHeight w:val="210"/>
        </w:trPr>
        <w:tc>
          <w:tcPr>
            <w:tcW w:w="31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326,860</w:t>
            </w:r>
          </w:p>
        </w:tc>
      </w:tr>
      <w:tr>
        <w:trPr>
          <w:trHeight w:val="20"/>
        </w:trPr>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the rate of interest implicit in the lease. Therefore, the Company uses its incremental borrowing rate based on the information available at commencement date in determining the present value of lease payments. For transition purposes, the incremental borrowing rate on February 1, 2019 was used for operating leases that commenced prior to that date.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lease costs of $24.4 million and $74.3 million during the three and nine months ended October 31, 2019, respectively. Lease costs are recorded within selling, general and administrative expenses in the Company’s condensed consolidated statements of income and comprehensive income. The Company recorded variable lease costs and short-term lease costs of $4.4 million and $11.9 million for the three and nine months ended October 31, 2019, respectively. Short-term lease costs are immaterial.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2019, the Company’s maturity of operating lease liabilities in the years ending up to January 31, 2024 and thereafter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20"/>
                <w:szCs w:val="20"/>
                <w:color w:val="auto"/>
              </w:rPr>
            </w:pPr>
            <w:r>
              <w:rPr>
                <w:rFonts w:ascii="Arial" w:cs="Arial" w:eastAsia="Arial" w:hAnsi="Arial"/>
                <w:sz w:val="14"/>
                <w:szCs w:val="14"/>
                <w:b w:val="1"/>
                <w:bCs w:val="1"/>
                <w:color w:val="auto"/>
              </w:rPr>
              <w:t>Year Ending January 31,</w:t>
            </w:r>
          </w:p>
        </w:tc>
        <w:tc>
          <w:tcPr>
            <w:tcW w:w="4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Amount</w:t>
            </w:r>
          </w:p>
        </w:tc>
      </w:tr>
      <w:tr>
        <w:trPr>
          <w:trHeight w:val="142"/>
        </w:trPr>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tcPr>
          <w:p>
            <w:pPr>
              <w:jc w:val="right"/>
              <w:ind w:right="71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89,483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66,550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97,891</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403,010</w:t>
            </w: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76,150</w:t>
            </w: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326,860</w:t>
            </w:r>
          </w:p>
        </w:tc>
      </w:tr>
      <w:tr>
        <w:trPr>
          <w:trHeight w:val="20"/>
        </w:trPr>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31, 2019, there are no material leases that are legally binding but have not yet commenced.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2019, the weighted average remaining lease term related to operating leases is 5.3 years. The weighted average discount rate related to operating leases is 7.8%.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measurement of operating lease liabilities is $75.9 million as of October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lease obligations were $21.3 million as of October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per Common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Basic net income per common share has been computed using the weighted average number of common shares outstanding during each period. Diluted net income per share is computed using the weighted average number of common shares and potential dilutive common shares, consisting of unvested restricted stock unit awards and unexercised stock options outstanding during the period. Approximately 846,200 and 344,000 unvested shares of common stock have been excluded from the diluted net income per share calculation for the three months ended October 31, 2019 and 2018, respectively. Approximately 680,700 and 330,000 unvested shares of common stock have been excluded from the diluted net income per share calculation for the nine months ended October 31, 2019 and 2018, respectively. All share-based payments outstanding that vest based on the achievement of performance and/or market price conditions, and for which the respective performance and/or market price conditions have not been achieved, have been excluded from the diluted per share calculation.</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October 31,</w:t>
            </w:r>
          </w:p>
        </w:tc>
        <w:tc>
          <w:tcPr>
            <w:tcW w:w="2160" w:type="dxa"/>
            <w:vAlign w:val="bottom"/>
            <w:gridSpan w:val="7"/>
          </w:tcPr>
          <w:p>
            <w:pPr>
              <w:jc w:val="right"/>
              <w:spacing w:after="0"/>
              <w:rPr>
                <w:sz w:val="20"/>
                <w:szCs w:val="20"/>
                <w:color w:val="auto"/>
              </w:rPr>
            </w:pPr>
            <w:r>
              <w:rPr>
                <w:rFonts w:ascii="Arial" w:cs="Arial" w:eastAsia="Arial" w:hAnsi="Arial"/>
                <w:sz w:val="14"/>
                <w:szCs w:val="14"/>
                <w:b w:val="1"/>
                <w:bCs w:val="1"/>
                <w:color w:val="auto"/>
                <w:w w:val="97"/>
              </w:rPr>
              <w:t>Nine Months Ended October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2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w w:val="96"/>
              </w:rPr>
              <w:t>(In thousands, except per share amounts)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118,549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113,987</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49,231</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49,176</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common shares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49,176</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w w:val="94"/>
              </w:rPr>
              <w:t>Diluted restricted stock unit awards and stock options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common shares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49,056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10"/>
        </w:trPr>
        <w:tc>
          <w:tcPr>
            <w:tcW w:w="4020" w:type="dxa"/>
            <w:vAlign w:val="bottom"/>
            <w:gridSpan w:val="3"/>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Note 6 – Notes Payable</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2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October 31, 2019</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6"/>
              </w:rPr>
              <w:t>October 31, 2018</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January 31, 2019</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15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6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279,880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309,599</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Unsecured loan</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707,828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734,599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line="216" w:lineRule="exact"/>
              <w:rPr>
                <w:sz w:val="20"/>
                <w:szCs w:val="20"/>
                <w:color w:val="auto"/>
              </w:rPr>
            </w:pPr>
            <w:r>
              <w:rPr>
                <w:rFonts w:ascii="Arial" w:cs="Arial" w:eastAsia="Arial" w:hAnsi="Arial"/>
                <w:sz w:val="17"/>
                <w:szCs w:val="17"/>
                <w:color w:val="auto"/>
              </w:rPr>
              <w:t xml:space="preserve">Less: Net debt issuance costs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(8,055)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8"/>
                <w:szCs w:val="18"/>
                <w:color w:val="auto"/>
              </w:rPr>
              <w:t>(10,667)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(10,014)</w:t>
            </w: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Debt discount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(24,377)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(29,655)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0" w:type="dxa"/>
            <w:vAlign w:val="bottom"/>
          </w:tcPr>
          <w:p>
            <w:pPr>
              <w:spacing w:after="0"/>
              <w:rPr>
                <w:sz w:val="1"/>
                <w:szCs w:val="1"/>
                <w:color w:val="auto"/>
              </w:rPr>
            </w:pPr>
          </w:p>
        </w:tc>
      </w:tr>
      <w:tr>
        <w:trPr>
          <w:trHeight w:val="216"/>
        </w:trPr>
        <w:tc>
          <w:tcPr>
            <w:tcW w:w="4020" w:type="dxa"/>
            <w:vAlign w:val="bottom"/>
            <w:gridSpan w:val="3"/>
          </w:tcPr>
          <w:p>
            <w:pPr>
              <w:ind w:left="4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674,741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694,277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386,604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40" w:hanging="331"/>
        <w:spacing w:after="0" w:line="235" w:lineRule="auto"/>
        <w:tabs>
          <w:tab w:leader="none" w:pos="34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Does not include debt issuance costs, net of amortization, totaling $5.2 million, $7.7 million and $7.1 million as of October 31, 2019, October 31, 2018 and January 31, 2019, respectively, related to the revolving credit facility. These debt issuance costs have been deferred and are classified in prepaid expenses and other current assets in the accompanying condensed consolidated balance sheets in accordance with Accounting Standards Update (“ASU”) 2015-15.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the Company borrowed $350.0 million under a senior secured term loan facility (the “Term Loan”). On December 1, 2016, the Company prepaid $50.0 million in principal amount of the Term Loan. The Term Loan will mature in December 2022.</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jc w:val="both"/>
        <w:ind w:firstLine="9"/>
        <w:spacing w:after="0" w:line="277" w:lineRule="auto"/>
        <w:tabs>
          <w:tab w:leader="none" w:pos="21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or (iii) the LIBOR rate for a borrowing with an interest period of one month) plus 4.25%, per annum, payable in cash. As of October 31, 2019, interest under the Term Loan was being paid at an average rate of 7.62% per annum.</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 Loan is secured by certain assets of the Company and certain of its subsidiaries. The Term Loan is required to be prepaid with the proceeds of certain asset sales if such proceeds are not applied as required by the Term Loan within specified deadlines. The Term Loan contains covenants that, among other things, restrict the Company’s ability, subject to certain exceptions, to incur additional debt; incur liens; sell or dispose of certain assets; merge with other companies; liquidate or dissolve the Company; acquire other companies; make loans, advances, or guarantees; and make certain investments. This loan also includes a mandatory prepayment provision based on excess cash flow as defined in the term loan agreement. A first lien leverage covenant requires the Company to maintain a level of debt to EBITDA at a ratio as defined in the term loan agreement. As of October 31, 2019, the Company was in compliance with these covenants.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closing of the acquisition of DKI, the Company’s prior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2" w:lineRule="exact"/>
        <w:rPr>
          <w:sz w:val="20"/>
          <w:szCs w:val="20"/>
          <w:color w:val="auto"/>
        </w:rPr>
      </w:pPr>
    </w:p>
    <w:p>
      <w:pPr>
        <w:jc w:val="both"/>
        <w:ind w:firstLine="9"/>
        <w:spacing w:after="0" w:line="252" w:lineRule="auto"/>
        <w:tabs>
          <w:tab w:leader="none" w:pos="34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LIBOR rate for a borrowing with an interest period of one month) plus a margin of 0.25% to 0.75%, with the applicable margin determined based on the availability under the revolving credit facility agreement. As of October 31, 2019, interest under the revolving credit agreement was being paid at an average rate of 3.30%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available commitments.</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2019, the Company had $279.9 million of borrowings outstanding under the revolving credit facility, all of which are classified as long-term liabilities. As of October 31, 2019, there were outstanding trade and standby letters of credit amounting to $3.6 million and $3.4 million, respectively.</w:t>
      </w:r>
    </w:p>
    <w:p>
      <w:pPr>
        <w:spacing w:after="0" w:line="1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October 31, 2019, the Company was in compliance with these covenants.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part of the consideration for the acquisition of DKI, the Company issued to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requires the note to be recorded at fair value at issuance. As a result, the Company recorded a $40.0 million debt discount. This discount is being amortized as interest expense using the effective interest method over the term of the LVMH Note.</w:t>
      </w:r>
    </w:p>
    <w:p>
      <w:pPr>
        <w:sectPr>
          <w:pgSz w:w="11900" w:h="16838" w:orient="portrait"/>
          <w:cols w:equalWidth="0" w:num="1">
            <w:col w:w="9060"/>
          </w:cols>
          <w:pgMar w:left="1420" w:top="517"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quarterly in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606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has elected to disclose its revenues by segment. Each segment has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Wholesale Operations Segment. </w:t>
      </w:r>
      <w:r>
        <w:rPr>
          <w:rFonts w:ascii="Arial" w:cs="Arial" w:eastAsia="Arial" w:hAnsi="Arial"/>
          <w:sz w:val="16"/>
          <w:szCs w:val="16"/>
          <w:color w:val="auto"/>
        </w:rPr>
        <w:t>Wholesale revenues include sales of products to retailers under owned, licensed and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label brands, as well as sales related to the Vilebrequin business.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royalty revenues from license agreements related to our owned trademarks including DKNY, Donna Karan, Vilebrequin, G.H. Bass and Andrew Marc. As of October 31, 2019, revenues from license agreements represented an insignificant portion of wholesale revenues.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Retail Operations Segment. </w:t>
      </w:r>
      <w:r>
        <w:rPr>
          <w:rFonts w:ascii="Arial" w:cs="Arial" w:eastAsia="Arial" w:hAnsi="Arial"/>
          <w:sz w:val="17"/>
          <w:szCs w:val="17"/>
          <w:color w:val="auto"/>
        </w:rPr>
        <w:t>Retail store revenues are generated by direct sales to consumers through company-operated</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and product sales through the Company’s owned websites for the DKNY, Donna Karan, Wilsons, G.H. Bass, Andrew Marc and Karl Lagerfeld Paris businesses. Retail stores primarily consist of Wilsons Leather, G.H. Bass and DKNY retail stores, substantially all of which are operated as outlet stores, as well as a small number of Karl Lagerfeld Paris and Calvin Klein Performance stores. Retail operations segment revenues are recognized at the point of sale when the customer takes possession of the goods and tenders payment. E-commerce revenues primarily consist of sales to consumers through the Company’s e-commerce platforms. E-commerce revenue is recognized when a customer takes possession of the goods. Retail sales are recorded net of applicable sales tax.</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$5.4 million, $4.2 million and $6.4 million at October 31, 2019, October 31, 2018 and January 31, 2019, respectively. The Company recognized $4.5 million in revenue for the three months ended October 31, 2019 related to contract liabilities that existed at July 31, 2019. The Company recognized $5.5 million in revenue for the nine months ended October 31, 2019 related to contract liabilities that existed at January 31, 2019. There were no contract assets recorded as of October 31, 2019, October 31, 2018 and January 31, 2019. Substantially all of the advance payments from licensees as of October 31, 2019 are expected to be recognized as revenue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 Segments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two reportable segments: wholesale operations and retail operations. The wholesale operations segment includes sales of products under the Company’s owned, licensed and private label brands, as well as sales related to the Vilebrequin business. Wholesale revenues also include royalty revenues from license agreements related to our owned trademarks including DKNY, Donna Karan, Vilebrequin, G.H. Bass and Andrew Marc. The retail operations segment consists primarily of direct sales to consumers through Company-operated stores, consisting primarily of Wilsons Leather, G.H. Bass and DKNY stores, substantially all of which are operated as outlet stores, as well as a smaller number of Karl Lagerfeld Paris and Calvin Klein Performance stores. This segment also includes sales through Company-owned websites for the DKNY, Donna Karan, Wilsons, G.H. Bass, Andrew Marc and Karl Lagerfeld Paris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segment information is presented for the three and nine-month periods indicated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October 31, 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left="37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1,067,858</w:t>
            </w:r>
          </w:p>
        </w:tc>
        <w:tc>
          <w:tcPr>
            <w:tcW w:w="4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(29,126)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1,128,403</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(29,126)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729,384</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354,795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399,019</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190,166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56,414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246,580</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Three Months Ended October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left="37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1,005,358</w:t>
            </w:r>
          </w:p>
        </w:tc>
        <w:tc>
          <w:tcPr>
            <w:tcW w:w="4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(43,310)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1,072,982</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677,011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(43,310)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690,882</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382,100</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232,052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20" w:type="dxa"/>
            <w:vAlign w:val="bottom"/>
            <w:shd w:val="clear" w:color="auto" w:fill="CCEEFF"/>
          </w:tcPr>
          <w:p>
            <w:pPr>
              <w:spacing w:after="0"/>
              <w:rPr>
                <w:sz w:val="18"/>
                <w:szCs w:val="18"/>
                <w:color w:val="auto"/>
              </w:rPr>
            </w:pPr>
          </w:p>
        </w:tc>
      </w:tr>
      <w:tr>
        <w:trPr>
          <w:trHeight w:val="210"/>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154,215</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140,015</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left="37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2,227,404</w:t>
            </w:r>
          </w:p>
        </w:tc>
        <w:tc>
          <w:tcPr>
            <w:tcW w:w="4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(76,839)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2,405,847</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1,480,678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135,156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(76,839)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1,538,995</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120,126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866,852</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478,964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165,923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644,887</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Gain on lease terminations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244,729</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195,348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October 31,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5"/>
              </w:rPr>
              <w:t>Wholesale</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Retail</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 xml:space="preserve">Elimination </w:t>
            </w: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5"/>
          </w:tcPr>
          <w:p>
            <w:pPr>
              <w:jc w:val="center"/>
              <w:ind w:left="374"/>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2,077,628</w:t>
            </w:r>
          </w:p>
        </w:tc>
        <w:tc>
          <w:tcPr>
            <w:tcW w:w="4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(90,320)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2,309,423</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1,381,342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170,230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(90,320)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1,461,252</w:t>
            </w:r>
          </w:p>
        </w:tc>
        <w:tc>
          <w:tcPr>
            <w:tcW w:w="20" w:type="dxa"/>
            <w:vAlign w:val="bottom"/>
          </w:tcPr>
          <w:p>
            <w:pPr>
              <w:spacing w:after="0"/>
              <w:rPr>
                <w:sz w:val="18"/>
                <w:szCs w:val="18"/>
                <w:color w:val="auto"/>
              </w:rPr>
            </w:pPr>
          </w:p>
        </w:tc>
      </w:tr>
      <w:tr>
        <w:trPr>
          <w:trHeight w:val="210"/>
        </w:trPr>
        <w:tc>
          <w:tcPr>
            <w:tcW w:w="4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696,286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848,171</w:t>
            </w:r>
          </w:p>
        </w:tc>
        <w:tc>
          <w:tcPr>
            <w:tcW w:w="20" w:type="dxa"/>
            <w:vAlign w:val="bottom"/>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439,014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193,969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632,983</w:t>
            </w:r>
          </w:p>
        </w:tc>
        <w:tc>
          <w:tcPr>
            <w:tcW w:w="2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w:t>
            </w:r>
          </w:p>
        </w:tc>
        <w:tc>
          <w:tcPr>
            <w:tcW w:w="20" w:type="dxa"/>
            <w:vAlign w:val="bottom"/>
          </w:tcPr>
          <w:p>
            <w:pPr>
              <w:spacing w:after="0"/>
              <w:rPr>
                <w:sz w:val="18"/>
                <w:szCs w:val="18"/>
                <w:color w:val="auto"/>
              </w:rPr>
            </w:pPr>
          </w:p>
        </w:tc>
      </w:tr>
      <w:tr>
        <w:trPr>
          <w:trHeight w:val="210"/>
        </w:trPr>
        <w:tc>
          <w:tcPr>
            <w:tcW w:w="4360" w:type="dxa"/>
            <w:vAlign w:val="bottom"/>
            <w:gridSpan w:val="3"/>
          </w:tcPr>
          <w:p>
            <w:pPr>
              <w:spacing w:after="0"/>
              <w:rPr>
                <w:sz w:val="20"/>
                <w:szCs w:val="20"/>
                <w:color w:val="auto"/>
              </w:rPr>
            </w:pPr>
            <w:r>
              <w:rPr>
                <w:rFonts w:ascii="Arial" w:cs="Arial" w:eastAsia="Arial" w:hAnsi="Arial"/>
                <w:sz w:val="18"/>
                <w:szCs w:val="18"/>
                <w:color w:val="auto"/>
              </w:rPr>
              <w:t>Operating profit (loss)</w:t>
            </w:r>
          </w:p>
        </w:tc>
        <w:tc>
          <w:tcPr>
            <w:tcW w:w="1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235,080</w:t>
            </w:r>
          </w:p>
        </w:tc>
        <w:tc>
          <w:tcPr>
            <w:tcW w:w="180" w:type="dxa"/>
            <w:vAlign w:val="bottom"/>
            <w:gridSpan w:val="2"/>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 w:lineRule="exact"/>
        <w:rPr>
          <w:sz w:val="20"/>
          <w:szCs w:val="20"/>
          <w:color w:val="auto"/>
        </w:rPr>
      </w:pPr>
    </w:p>
    <w:p>
      <w:pPr>
        <w:ind w:left="280" w:hanging="271"/>
        <w:spacing w:after="0"/>
        <w:tabs>
          <w:tab w:leader="none" w:pos="28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Represents intersegment sales to the Company’s retail operations segment.</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for each of the Company’s reportable segments, as well as assets not allocated to a segment,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October 31, 2019</w:t>
            </w:r>
          </w:p>
        </w:tc>
        <w:tc>
          <w:tcPr>
            <w:tcW w:w="14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October 31, 2018</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January 31, 2019</w:t>
            </w:r>
          </w:p>
        </w:tc>
      </w:tr>
      <w:tr>
        <w:trPr>
          <w:trHeight w:val="142"/>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2,155,840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1,834,610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348,898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224,593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182,452</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2,928,607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2,551,068</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2,208,058</w:t>
            </w:r>
          </w:p>
        </w:tc>
      </w:tr>
      <w:tr>
        <w:trPr>
          <w:trHeight w:val="20"/>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Stockholders’ Equity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stockholders’ equity for the three and nine months ended October 31, 2019 and 2018 are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940" w:type="dxa"/>
            <w:vAlign w:val="bottom"/>
          </w:tcPr>
          <w:p>
            <w:pPr>
              <w:spacing w:after="0"/>
              <w:rPr>
                <w:sz w:val="13"/>
                <w:szCs w:val="13"/>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3"/>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3"/>
                <w:szCs w:val="13"/>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31, 2019</w:t>
            </w:r>
          </w:p>
        </w:tc>
        <w:tc>
          <w:tcPr>
            <w:tcW w:w="22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$ 456,195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$ 772,463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(44,254)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$ 1,167,820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95,387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95,387</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October 31, 2019</w:t>
            </w:r>
          </w:p>
        </w:tc>
        <w:tc>
          <w:tcPr>
            <w:tcW w:w="22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$ 457,278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$ 867,850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(42,030)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$ 1,260,302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6"/>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Common</w:t>
            </w:r>
          </w:p>
        </w:tc>
        <w:tc>
          <w:tcPr>
            <w:tcW w:w="940" w:type="dxa"/>
            <w:vAlign w:val="bottom"/>
          </w:tcPr>
          <w:p>
            <w:pPr>
              <w:spacing w:after="0"/>
              <w:rPr>
                <w:sz w:val="24"/>
                <w:szCs w:val="24"/>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31, 2018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$ 460,000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$ 640,774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$ 1,087,217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80" w:type="dxa"/>
            <w:vAlign w:val="bottom"/>
            <w:gridSpan w:val="6"/>
          </w:tcPr>
          <w:p>
            <w:pPr>
              <w:jc w:val="right"/>
              <w:ind w:right="57"/>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6"/>
          </w:tcPr>
          <w:p>
            <w:pPr>
              <w:jc w:val="right"/>
              <w:ind w:right="57"/>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(1,979)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94,025</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October 31, 2018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$ 461,457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$ 734,800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$ 1,180,955</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6"/>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940" w:type="dxa"/>
            <w:vAlign w:val="bottom"/>
          </w:tcPr>
          <w:p>
            <w:pPr>
              <w:spacing w:after="0"/>
              <w:rPr>
                <w:sz w:val="24"/>
                <w:szCs w:val="24"/>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4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3"/>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Held In</w:t>
            </w:r>
          </w:p>
        </w:tc>
        <w:tc>
          <w:tcPr>
            <w:tcW w:w="940" w:type="dxa"/>
            <w:vAlign w:val="bottom"/>
          </w:tcPr>
          <w:p>
            <w:pPr>
              <w:spacing w:after="0"/>
              <w:rPr>
                <w:sz w:val="12"/>
                <w:szCs w:val="12"/>
                <w:color w:val="auto"/>
              </w:rPr>
            </w:pPr>
          </w:p>
        </w:tc>
      </w:tr>
      <w:tr>
        <w:trPr>
          <w:trHeight w:val="153"/>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Capital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3"/>
                <w:szCs w:val="13"/>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22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$ 464,112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$ 758,881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(19,054)</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$ 1,189,009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(12,124)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12,240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(8,367)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(8,367)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120"/>
              <w:spacing w:after="0"/>
              <w:rPr>
                <w:sz w:val="20"/>
                <w:szCs w:val="20"/>
                <w:color w:val="auto"/>
              </w:rPr>
            </w:pPr>
            <w:r>
              <w:rPr>
                <w:rFonts w:ascii="Arial" w:cs="Arial" w:eastAsia="Arial" w:hAnsi="Arial"/>
                <w:sz w:val="18"/>
                <w:szCs w:val="18"/>
                <w:color w:val="auto"/>
              </w:rPr>
              <w:t>(35,216)</w:t>
            </w:r>
          </w:p>
        </w:tc>
        <w:tc>
          <w:tcPr>
            <w:tcW w:w="940" w:type="dxa"/>
            <w:vAlign w:val="bottom"/>
          </w:tcPr>
          <w:p>
            <w:pPr>
              <w:jc w:val="right"/>
              <w:spacing w:after="0"/>
              <w:rPr>
                <w:sz w:val="20"/>
                <w:szCs w:val="20"/>
                <w:color w:val="auto"/>
              </w:rPr>
            </w:pPr>
            <w:r>
              <w:rPr>
                <w:rFonts w:ascii="Arial" w:cs="Arial" w:eastAsia="Arial" w:hAnsi="Arial"/>
                <w:sz w:val="18"/>
                <w:szCs w:val="18"/>
                <w:color w:val="auto"/>
              </w:rPr>
              <w:t>(35,216)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ASC 842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118,549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118,549</w:t>
            </w:r>
          </w:p>
        </w:tc>
      </w:tr>
      <w:tr>
        <w:trPr>
          <w:trHeight w:val="21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October 31, 2019</w:t>
            </w:r>
          </w:p>
        </w:tc>
        <w:tc>
          <w:tcPr>
            <w:tcW w:w="22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$ 457,278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$ 867,850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 (42,030)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$ 1,260,302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Common</w:t>
            </w:r>
          </w:p>
        </w:tc>
        <w:tc>
          <w:tcPr>
            <w:tcW w:w="940" w:type="dxa"/>
            <w:vAlign w:val="bottom"/>
          </w:tcPr>
          <w:p>
            <w:pPr>
              <w:spacing w:after="0"/>
              <w:rPr>
                <w:sz w:val="13"/>
                <w:szCs w:val="13"/>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94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Common</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Held In</w:t>
            </w:r>
          </w:p>
        </w:tc>
        <w:tc>
          <w:tcPr>
            <w:tcW w:w="940" w:type="dxa"/>
            <w:vAlign w:val="bottom"/>
          </w:tcPr>
          <w:p>
            <w:pPr>
              <w:spacing w:after="0"/>
              <w:rPr>
                <w:sz w:val="12"/>
                <w:szCs w:val="12"/>
                <w:color w:val="auto"/>
              </w:rPr>
            </w:pPr>
          </w:p>
        </w:tc>
      </w:tr>
      <w:tr>
        <w:trPr>
          <w:trHeight w:val="153"/>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8"/>
              </w:rPr>
              <w:t>Loss</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Earnings</w:t>
            </w: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Treasury</w:t>
            </w:r>
          </w:p>
        </w:tc>
        <w:tc>
          <w:tcPr>
            <w:tcW w:w="94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$ 451,844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$ 674,542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$ 1,120,689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Equity awards exercised/vested, net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14,876</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Taxes paid for net share settlements</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(4,843)</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(4,843)</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(10,044)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Cumulative effect of adoption of ASC 606</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(53,728)</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(53,728)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113,987</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Balance as of October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$ 461,457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(15,566)</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$ 734,800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$ 1,180,955</w:t>
            </w: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three months ended October 31, 2019, the Company issued no shares of common stock and utilized 80,353 shares of treasury stock in connection with the exercise or vesting of equity awards. For the three months ended October 31, 2018, the Company issued 117,774 shares of common stock and utilized 58,790 shares of treasury stock in connection with the vesting of equity awards. For the nine months ended October 31, 2019, the Company issued 8,851 shares of common stock and utilized 435,703 shares of treasury stock in connection with the exercise or vesting of equity awards. For the nine months ended October 31, 2018, the Company issued 137,050 shares of common stock and utilized 106,043 shares of treasury stock in connection with the exercise or vesting of equity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Canadian Customs Duty Examination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Canada Border Service Agency (“CBSA”) issued a final audit report to G-III Apparel Canada ULC (“G-III Canada”), a wholly-owned subsidiary of the Company. The report challenged the valuation used by G-III Canada for certain goods imported into Canada. The period covered by the examination is February 1, 2014 through October 27, 2017, the date of the final report.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2018, G-III Canada provided a bond to guarantee payment to the CBSA for additional duties payable as a result of the reassessment required by the final audit report. The Company secured a bond in the amount of CAD$26.9 million ($20.9 million) representing customs duty and interest through December 31, 2017 that is claimed to be owed to the CBSA. In March 2018, the Company amended the duties filed for the month of January 2018 based on the new valuation method. This amount was paid to the CBSA. Beginning February 1, 2018, the Company began paying duties based on the new valuation method. Amounts paid and deferred for the nine months ended October 31, 2019, related to the higher dutiable values, were CAD$2.2 million ($1.7 million). Cumulative amounts paid and deferred through October 31, 2019, related to the higher dutiable values, were CAD$12.7 million ($9.7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June 1, 2019, G-III commenced paying based on the dutiable value of G-III Canada’s imports based on the pre-audit levels. G-III continued to defer the additional duty paid through the month of May 2019 pending the final outcome of the appeal.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 Recent Adopted and Issued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2016-02, “Leases (Topic 842).”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certain adjustments. The Company adopted ASU 2016-02 during the first quarter of fiscal 2020 using the optional transition method to apply the standard as of the effective date. As a result of adopting this standard, as of February 1, 2019, the Company recognized operating lease liabilities of $384.5 million and corresponding operating lease assets of $341.2 million. In addition, the Company recorded a $9.6 million impairment of the operating lease assets, net of tax, at adoption. The impairment was recorded as a reduction to retained earnings.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2018, the FASB issued ASU 2018-07, “FASB Simplifies Guidance on Nonemployee Share-Based Payments,” which supersedes ASC 505-50 and expands the scope of ASC 718 to include all share-based payment arrangements related to the acquisition of goods and services from both nonemployees and employees. As a result, most of the guidance in ASC 718 associated with employee share-based payments, including most of its requirements related to classification and measurement, applies to nonemployee share-based payment arrangements. The Company adopted ASU 2018-07 during the first quarter of fiscal 2020. The adoption did not have an impact on the Company’s condensed consolidated financial statements.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Tax Cut and Jobs Act is recorded. The Company adopted ASU 2018-02 during the first quarter of fiscal 2020. The adoption did not have an impact on the Company’s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Subsequently, the FASB issued amendments to clarify the codification, in addition to also clarifying the implementation dates and the items that fall within the scope of the pronouncement. This pronouncement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may lead to a loss being realized, regardless of whether it is probable that the future event will occur. The “incurred loss” model considers past events and current conditions, while the “expected loss” model includes expectations for the future which have yet to occur. The new standard will require entities to record a cumulative-effect adjustment to the balance sheet as of the beginning of the first reporting period in which the guidance is effective. ASU 2016-13 is effective for all entities for fiscal years beginning after December 15, 2019, including interim periods within those fiscal years, with early adoption permitted. The Company is currently evaluating the potential impact of ASU 2016-13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which makes a number of changes meant to add, modify or remove certain disclosure requirements associated with the movement among or hierarchy associated with Level 1, Level 2 and Level 3 fair value measurements. The amendments in ASU 2018-13 modify the disclosure requirements with respect to fair value measurements based on the concepts in FASB Concepts Statement, Conceptual Framework for Financial Reporting —Chapter 8: Notes to Financial Statements, including the consideration of costs and benefits. The amendments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amendments are effective for all entities for fiscal years beginning after December 15, 2019, and interim periods within those fiscal years, with early adoption permitted. The Company is currently evaluating the potential impact of ASU 2018-13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Unless the context otherwise requires, “G-III,” “us,” “we” and “our” refer to G-III Apparel Group, Ltd. and its subsidiaries. References to fiscal years refer to the year ended or ending on January 31 of that year. For example, our fiscal year ending January 31, 2020 is referred to as “fiscal 2020.” Vilebrequin, KLH, KLNA and Fabco report results on a calendar year basis rather than on the January 31 fiscal year basis used by G-III. Accordingly, the results of Vilebrequin, KLH, KLNA and Fabco are, and will be, included in our financial statements for the quarter ended or ending closest to G-III’s fiscal quarter end. For example, with respect to our results for the nine-month period ended October 31, 2019, the results of Vilebrequin, KLH, KLNA and Fabco are included for the nine-month period ended September 30, 2019. We account for our investment in each of KLH, KLNA and Fabco using the equity method of accounting. The Company’s retail operations segment uses a 52/53-week fiscal year. The Company’s three and nine-month periods ended October 31, 2019 and 2018 were each a 13-week fiscal quarter and 39-week period, respectively, for the retail operations segment. For fiscal 2020 and 2019, the retail operations segment three and nine-month periods ended on November 2, 2019 and November 3, 2018, respectively.</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2" w:lineRule="exact"/>
        <w:rPr>
          <w:sz w:val="20"/>
          <w:szCs w:val="20"/>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retail operations segment;</w:t>
      </w:r>
    </w:p>
    <w:p>
      <w:pPr>
        <w:spacing w:after="0" w:line="9" w:lineRule="exact"/>
        <w:rPr>
          <w:rFonts w:ascii="Arial" w:cs="Arial" w:eastAsia="Arial" w:hAnsi="Arial"/>
          <w:sz w:val="18"/>
          <w:szCs w:val="18"/>
          <w:color w:val="auto"/>
        </w:rPr>
      </w:pPr>
    </w:p>
    <w:p>
      <w:pPr>
        <w:jc w:val="both"/>
        <w:ind w:left="680" w:right="20" w:hanging="320"/>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operating enhancements and cost reductions from the potential significant changes to our retail operations, as well as the impact on our business resulting from any related charges to our financial statements, which may be dilutive to our earnings in the short-term;</w:t>
      </w:r>
    </w:p>
    <w:p>
      <w:pPr>
        <w:spacing w:after="0" w:line="1" w:lineRule="exact"/>
        <w:rPr>
          <w:rFonts w:ascii="Arial" w:cs="Arial" w:eastAsia="Arial" w:hAnsi="Arial"/>
          <w:sz w:val="18"/>
          <w:szCs w:val="18"/>
          <w:color w:val="auto"/>
        </w:rPr>
      </w:pPr>
    </w:p>
    <w:p>
      <w:pPr>
        <w:ind w:left="680" w:hanging="320"/>
        <w:spacing w:after="0" w:line="250"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resulting from potential costs, obligations and charges related to the early closure of stores or the termination of long-term, non-cancellable leases;</w:t>
      </w: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9" w:lineRule="exact"/>
        <w:rPr>
          <w:rFonts w:ascii="Arial" w:cs="Arial" w:eastAsia="Arial" w:hAnsi="Arial"/>
          <w:sz w:val="18"/>
          <w:szCs w:val="18"/>
          <w:color w:val="auto"/>
        </w:rPr>
      </w:pPr>
    </w:p>
    <w:p>
      <w:pPr>
        <w:ind w:left="680" w:hanging="320"/>
        <w:spacing w:after="0" w:line="281"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redefinition of the retail store landscape in light of widespread retail store closings, the bankruptcy of a number of prominent retailers and the impact of online apparel purchases and innovations by e-commerce retailers;</w:t>
      </w:r>
    </w:p>
    <w:p>
      <w:pPr>
        <w:spacing w:after="0" w:line="1" w:lineRule="exact"/>
        <w:rPr>
          <w:rFonts w:ascii="Arial" w:cs="Arial" w:eastAsia="Arial" w:hAnsi="Arial"/>
          <w:sz w:val="16"/>
          <w:szCs w:val="16"/>
          <w:color w:val="auto"/>
        </w:rPr>
      </w:pPr>
    </w:p>
    <w:p>
      <w:pPr>
        <w:ind w:left="680" w:hanging="32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9" w:lineRule="exact"/>
        <w:rPr>
          <w:rFonts w:ascii="Arial" w:cs="Arial" w:eastAsia="Arial" w:hAnsi="Arial"/>
          <w:sz w:val="18"/>
          <w:szCs w:val="18"/>
          <w:color w:val="auto"/>
        </w:rPr>
      </w:pPr>
    </w:p>
    <w:p>
      <w:pPr>
        <w:ind w:left="680" w:right="20" w:hanging="320"/>
        <w:spacing w:after="0" w:line="261"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on our business of the imposition of tariffs by the United States government and the escalation of trade tensions between countries;</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9"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pacing w:after="0" w:line="9" w:lineRule="exact"/>
        <w:rPr>
          <w:rFonts w:ascii="Arial" w:cs="Arial" w:eastAsia="Arial" w:hAnsi="Arial"/>
          <w:sz w:val="18"/>
          <w:szCs w:val="18"/>
          <w:color w:val="auto"/>
        </w:rPr>
      </w:pPr>
    </w:p>
    <w:p>
      <w:pPr>
        <w:ind w:left="680" w:hanging="320"/>
        <w:spacing w:after="0" w:line="261"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strategies to realize the anticipated benefits of the acquisition of Donna Karan International Inc. (“DKI”).</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2019 and in Part II-Other Information, Item 1A. Risk Factors in this Quarterly Report on Form 10-Q. We undertake no obligation to publicly update or revise any forward-looking statements, whether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five global power brands: DKNY, Donna Karan, Calvin Klein, Tommy Hilfiger and Karl Lagerfeld Paris. We are not only licensees, but also brand owners, and we distribute our products through multiple brick and mortar and online channels.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own proprietary brands include DKNY, Donna Karan, Vilebrequin, G.H. Bass, Eliza J, Jessica Howard, Andrew Marc and Marc New York. We sell products under an extensive portfolio of well-known licensed brands, including Calvin Klein, Tommy Hilfiger, Karl Lagerfeld Paris, Kenneth Cole, Cole Haan, Guess?, Vince Camuto, Levi’s and Dockers. Through our team sports business, we have licenses with the National Football League, National Basketball Association, Major League Baseball, National Hockey League and over 150 U.S. colleges and universities. We also source and sell products to retailers under their private retail labels.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expanding our business globally through our distribution partners in key regions. Continued growth, brand development and marketing in these key markets is critical to driving global brand recognition. DKNY is currently being distributed in the Middle East, Russia, Indonesia, Philippines, South East Asia and Korea, as well as in China, where we operate through a joint venture.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segments: wholesale operations and retail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wholesale operations segment includes sales of products to retailers under owned, licensed and private label brands, as well as sales related to the Vilebrequin business. Wholesale revenues also include royalty revenues from license agreements related to our owned trademarks including DKNY, Donna Karan, Vilebrequin, G.H. Bass and Andrew Marc.</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retail operations segment consists primarily of direct sales to consumers through our company-operated stores, consisting primarily of Wilsons Leather, G.H. Bass and DKNY stores, substantially all of which are operated as outlet stores, as well as a smaller number of Karl Lagerfeld Paris and Calvin Klein Performance stores. This segment also includes sales through our owned websites for the DKNY, Donna Karan, Wilsons, G.H. Bass, Andrew Marc and Karl Lagerfeld Paris businesses. As of October 31, 2019, we operated 127 Wilsons Leather stores, 104 G.H. Bass stores, 40 DKNY stores, 13 Karl Lagerfeld Paris stores and 4 Calvin Klein Performance stores. In addition, as of October 31, 2019, we operated for the holiday season 5 short-term temporary Wilsons Leather stores, 6 short-term temporary G.H. Bass stores and 1 short-term temporary DKNY store.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than 25 years, the sale of licensed products has been a key element of our strategy. We have continually sought to increase our portfolio of name brands, product offerings and tiers of distribution because we believe that consumers prefer to buy brands that they know and brand owners prefer to engage licensees who have a successful track record of developing brands.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most significant licensor is Calvin Klein with whom we have eleven different license agreements in the United States and Canada. We also have distribution agreements with respect to Calvin Klein luggage in a number of foreign countries. In June 2019, we expanded our relationship with Calvin Klein by entering into a license agreement with an initial term of five years for the design, production and wholesale distribution of </w:t>
      </w:r>
      <w:r>
        <w:rPr>
          <w:rFonts w:ascii="Arial" w:cs="Arial" w:eastAsia="Arial" w:hAnsi="Arial"/>
          <w:sz w:val="18"/>
          <w:szCs w:val="18"/>
          <w:i w:val="1"/>
          <w:iCs w:val="1"/>
          <w:color w:val="auto"/>
        </w:rPr>
        <w:t>Calvin Klein Jeans</w:t>
      </w:r>
      <w:r>
        <w:rPr>
          <w:rFonts w:ascii="Arial" w:cs="Arial" w:eastAsia="Arial" w:hAnsi="Arial"/>
          <w:sz w:val="18"/>
          <w:szCs w:val="18"/>
          <w:color w:val="auto"/>
        </w:rPr>
        <w:t xml:space="preserve"> women’s jeanswear in the United States and Canada. This was our eleventh license agreement with Calvin Klein. Shipments of our first </w:t>
      </w:r>
      <w:r>
        <w:rPr>
          <w:rFonts w:ascii="Arial" w:cs="Arial" w:eastAsia="Arial" w:hAnsi="Arial"/>
          <w:sz w:val="18"/>
          <w:szCs w:val="18"/>
          <w:i w:val="1"/>
          <w:iCs w:val="1"/>
          <w:color w:val="auto"/>
        </w:rPr>
        <w:t>Calvin Klein Jeans</w:t>
      </w:r>
      <w:r>
        <w:rPr>
          <w:rFonts w:ascii="Arial" w:cs="Arial" w:eastAsia="Arial" w:hAnsi="Arial"/>
          <w:sz w:val="18"/>
          <w:szCs w:val="18"/>
          <w:color w:val="auto"/>
        </w:rPr>
        <w:t xml:space="preserve"> women’s jeanswear line began during our third fiscal quarter.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significant relationship with Tommy Hilfiger, with whom we have a multi-category womenswear license in the United States and Canada. This license for women’s sportswear, dresses, suit separates, performance and denim is in addition to our Tommy Hilfiger men’s and women’s outerwear license and Tommy Hilfiger luggage license, both also in the United States and Canada.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 49% interest in a joint venture that owns the trademarks for the Karl Lagerfeld brand in North America. As part of that relationship, we have a long-term license agreement with the joint venture for the Karl Lagerfeld Paris brand in North America, pursuant to which we produce and distribute women’s apparel, women’s footwear, women’s handbags, men’s apparel, men’s footwear and luggage under the Karl Lagerfeld Paris brand.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license our proprietary brands in a variety of categories and continue to seek new licensing opportunities for these brands to broaden the reach of these brands.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strong relationships with category leading license partners, including, but not limited to, Estee Lauder, Fossil, Marchon and Komar. The DKNY and Donna Karan brands have worldwide license agreements for a broad array of products including fragrance, hosiery, intimates, eyewear, jewelry, bedding and bath products and women’s sleepwear and loungewear. Additionally, we license the DKNY brand in the United States and internationally for children’s clothing, children’s footwear, men’s and women’s watches, men’s tailored clothing, men’s sportswear, men’s dress shirts, men’s neckwear, men’s underwear, men’s loungewear, men’s swimwear, men’s belts and small leather goods, women’s belts and cold weather accessories and men’s and women’s socks. We have also licensed the DKNY and Donna Karan brands for men’s and women’s apparel and accessories in China pursuant to a long-term license agreement with a joint venture of which we are a 49% owner. In July 2019, we signed a new license for DKNY furniture in the United States, Canada, Mexico and China.</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license the G.H. Bass brand in the United States and internationally for men’s, women’s and children’s footwear, men’s sportswear, men’s socks, women’s hosiery and men’s accessories, men’s belts and small leather goods, men’s underwear and loungewear and bedding and bath products.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license the Vilebrequin brand internationally for a denim line and the Andrew Marc brand in North America for men’s and boy’s tailored clothing.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the current retail environment and the losses being incurred in our retail operations segment, we intend to move more broadly with respect to store closures while remaining committed to mitigating losses from our retail operations as swiftly and efficiently as possible. In July 2019, we engaged outside advisors to assist us with this process. We are working diligently with our landlords and outside advisors to reshape and right-size our retail operations. Our strategy also includes continued execution of cost-cutting initiatives, revising our merchandising strategy to drive additional sales and repurposing certain Wilsons and G.H. Bass stores for the Karl Lagerfeld Paris or DKNY brands.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and providing convenience-driven fulfillment options, the continued consolidation of retail chains and the desire on the part of retailers to consolidate vendors supplying them. In addition, consumer shopping preferences have continued to shift from physical stores to online shopping and retail traffic remains under pressure. All of these factors have led to a more promotional retail environment that includes aggressive markdowns in an attempt to offset declines caused by a reduction in physical store traffic.</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sell our products over the web through retail partners such as macys.com and nordstrom.com, each of which has a substantial online business. As e-commerce sales of apparel continue to increase, we are developing additional digital marketing initiatives on our web sites and through social media. We are investing in digital personnel, marketing, logistics, planning and distribution to help us expand our online opportunities going forward. Our e-commerce business consists of our own web platforms at www.dkny.com, www.donnakaran.com, www.wilsonsleather.com, www.ghbass.com, www.vilebrequin.com and www.andrewmarc.com. We also sell Karl Lagerfeld Paris products on our website, www.karllagerfeldparis.com. In addition, we sell to pure play online retail partners such as Amazon and Fanatics.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retailers are experiencing financial difficulties, which in some cases have resulted in bankruptcies, liquidations and/or store closings, such as the announced store closing plans for Lord &amp; Taylor and last year’s bankruptcy of Bon-Ton.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Tariffs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apparel and accessories industry has been impacted by tariffs implemented by the United States government on goods imported from China. Tariffs on handbags and leather outerwear imported from China were effective beginning in September 2018, and were initially in the amount of 10% of the merchandise cost to us. The level of tariffs on these product categories was increased to 25% beginning May 10, 2019.</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initial tariffs imposed on products imported by us from China primarily impacted our handbag and leather outerwear categories. These specific categories represented approximately 7% of our net sales in fiscal 2019. If the incremental 15% increase in tariffs on these categories remain in place for the remainder of fiscal 2020, we estimate that our costs would increase by approximately $6.0 million.</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to go into effect would increase from 10% to 15%. The new 15% tariffs went into effect on September 1, 2019, although the additional tariffs on certain categories of products were delayed until December 15, 2019. The announcement follows an earlier proposal by the United States government that would have imposed 25% tariffs on the balance of inbound trade from China, but that were suspended pending trade negotiations with China. It is difficult to accurately estimate the impact on our business from these tariff actions or similar actions or when additional tariffs may become effective. For fiscal 2019, approximately 61% of the products that we sold were manufactured in China. For fiscal 2020, we estimate that approximately 50% of the products that we sell will have been manufactured in China. Assuming no offsets from price increases, sourcing changes or other changes to regulatory rulings, all of which are currently under review, we estimate that the additional 15% tariff effective as of September 1, 2019 will increase our costs in the second half of fiscal 2020 by approximately $12.0 million.</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States government continues to negotiate with China with respect to a trade deal, which could lead to the removal or postponement of the additional tariffs. If the U.S. and China are not able to resolve their differences, additional tariffs may be put in place and additional products may become subject to tariffs. Tariffs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engaged in a number of efforts to mitigate the effect on our results of operations of increases in tariffs on products imported by us from China, including accelerating the receipt of inventory, diversifying our sourcing network by arranging to move production out of China, negotiating with our vendors in China to receive vendor support to lessen the impact of increased tariffs on our cost of goods sold, and discussing with our customers the implementation of price increases that we believe our products can absorb because of the strength of our portfolio of brands.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2019 compared to three months ended October 31,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for the three months ended October 31, 2019 increased to $1.13 billion from $1.07 billion in the same period last year. Net sales of our segments are reported before intercompany eliminations.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our wholesale operations segment increased to $1.07 billion for the three months ended October 31, 2019 from $1.01 billion in the comparable period last year. This increase is primarily the result of a $37.8 million increase in net sales of Calvin Klein licensed products, a $28.5 million increase in net sales of Tommy Hilfiger licensed products and a $24.8 million increase in net sales of our DKNY and Donna Karan products. The increase in sales of Tommy Hilfiger products was primarily related to outerwear and sportswear, the increase in sales of Calvin Klein products was primarily related to performancewear, outerwear and dresses, as well as the introduction of jeanswear, and the increase in sales of DKNY/Donna Karan products was primarily related to sportswear, handbags and performancewear. These increases were offset, in part, by a $12.2 million decrease in sales of Ivanka Trump product in connection with the expiration of that license.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of our retail operations segment were $89.7 million for the three months ended October 31, 2019 compared to $110.9 million in the same period last year. Net sales decreased $11.3 million at our G.H. Bass store chain, $7.9 million at our Wilsons retail stores and $2.1 million at our DKNY retail stores. Same store sales decreased by 8.4% at Wilsons stores and 14.5% at G.H. Bass stores compared to the same period in the prior year. Same store sales increased by 0.3% at DKNY stores compared to the same period in the prior year. Net sales of our retail operations segment were negatively affected by the decrease in the number of stores operated by us from 343 at October 31, 2018 to 288 at October 31, 2019. In addition, as of October 31, 2019, we operated 12 short-term, temporary stores for the holiday season.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$399.0 million, or 35.4% of net sales, for the three months ended October 31, 2019, compared to $382.1 million, or 35.6% of net sales, in the same period last year. The gross profit percentage in our wholesale operations segment was 33.2% in the three months ended October 31, 2019 compared to 32.7% in the same period last year. The gross profit percentage in our retail operations segment was 49.3% for the three months ended October 31, 2019 compared to 48.5% for the same period last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increased to $246.6 million in the three months ended October 31, 2019 from $232.1 million in the same period last year. The increase in expenses was primarily due to increases of $8.8 million in third-party warehouse expenses and $6.3 million in advertising expenses as a result of increased spending related to the marketing of our DKNY brand and, to a lesser extent, an increase in contractual advertising under our license agreements. The increase was offset, in part, by a $3.0 million decrease in rent, personnel costs and other benefits primarily as a result of store closures.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was $9.7 million for the three months ended October 31, 2019 compared to $10.0 million in the same period last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was $0.7 million in the three months ended October 31, 2019 compared to $0.2 million for the same period last year. This increase is primarily the result of recording $0.2 million of foreign currency losses during the three months ended October 31, 2019 compared to $0.5 million during the three months ended October 31, 2018. In addition, we recorded $0.8 million in income from unconsolidated affiliates during the three months ended October 31, 2019 compared to $0.7 million in the same period last year.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financing charges, net, for the three months ended October 31, 2019 were $12.5 million compared to $12.3 million for the same period last year. Interest rates and borrowings were similar in both periods.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tax expense was $35.6 million for the three months ended October 31, 2019 compared to $33.8 million for the same period last year primarily as a result of recording additional pre-tax book income. Our effective tax rate increased to 27.2% in the current year’s quarter from 26.5% in last year’s comparable quarter. Our effective tax rate includes the effect of an income tax charge of $0.3 million in the three months ended October 31, 2019 and an income tax benefit of $0.7 million in the three months ended October 31, 2018 in connection with the vesting of equity awards.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2019 compared to nine months ended October 31, 2018</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for the nine months ended October 31, 2019 increased to $2.41 billion from $2.31 billion in the same period last year. Net sales of our segments are reported before intercompany eliminations.</w:t>
      </w: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of our wholesale operations segment increased to $2.23 billion for the nine months ended October 31, 2019 from $2.08 billion in the comparable period last year. This increase is primarily the result of a $95.9 million increase in net sales of Tommy Hilfiger licensed products, a $57.4 million increase in net sales of our DKNY and Donna Karan products and a $52.4 million increase in net sales of Calvin Klein licensed products. The increase in sales of Tommy Hilfiger products was primarily related to sportswear, dress, performancewear and outerwear, the increase in sales of DKNY/Donna Karan products was primarily related to handbags, sportswear, performancewear and footwear and the increase in sales of Calvin Klein products was primarily related to performancewear and outerwear, as well as the introduction of jeanswear. These increases were offset, in part, by a $32.9 million decrease in sales of Ivanka Trump product in connection with the expiration of that license.</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of our retail operations segment were $255.3 million for the nine months ended October 31, 2019 compared to $322.1 million in the same period last year. Net sales decreased $31.9 million at our G.H. Bass store chain, $28.4 million</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our Wilsons retail stores and $6.3 million at our DKNY retail stores. Same store sales decreased by 17.5% at Wilsons stores and 13.9% at G.H. Bass stores compared to the same period in the prior year. Same store sales increased by 0.8% at DKNY stores compared to the same period in the prior year. Net sales of our retail operations segment were negatively affected by the decrease in the number of stores operated by us from 343 at October 31, 2018 to 288 at October 31, 2019. In addition, as of October 31, 2019, we operated 12 short-term, temporary stores for the holiday season.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was $866.9 million, or 36.0% of net sales, for the nine months ended October 31, 2019, compared to $848.2 million, or 36.7% of net sales, in the same period last year. Retail sales generally have a higher gross profit percentage than wholesale sales. Accordingly, there is a negative impact on the gross profit percentage of our business as a whole as retail sales constitute a reduced percentage of our total sales. The gross profit percentage in our wholesale operations segment was 33.5% for each of the nine months ended October 31, 2019 and 2018. The gross profit percentage in our retail operations segment was 47.1% for the nine months ended October 31, 2019 compared to 47.2% for the same period last year.</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increased to $644.9 million in the nine months ended October 31, 2019 from $633.0 million in the same period last year. The increase in expenses was primarily due to increases of $14.1 million for third-party warehouse expenses and $8.5 million of advertising expenses. The increase was offset, in part, by a $12.6 million decrease in rent, personnel costs and other benefits primarily as a result of store closures.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was $29.0 million for the nine months ended October 31, 2019 compared to $28.9 million in the same period last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loss was $0.7 million in the nine months ended October 31, 2019 compared to $0.3 million in the same period last year. This increase is primarily the result of recording $1.1 million of foreign currency losses during the nine months ended October 31, 2019 compared to $0.8 million of foreign currency gains recorded during the nine months ended October 31, 2018, while also recording $0.4 million of income from unconsolidated affiliates during the nine months ended October 31, 2019 compared to $1.1 million of losses in the same period last year.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and financing charges, net, for the nine months ended October 31, 2019 were $33.6 million compared to $32.2 million for the same period last year. Interest rates and borrowings were similar in both periods.</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was $42.5 million for the nine months ended October 31, 2019 compared to $39.9 million for the same period last year. Our effective tax rate increased to 26.4% in the current period from 25.9% in the same period last year. Our effective tax rate includes the effect of an income tax benefit of $1.0 million in the nine months ended October 31, 2019 and $1.1 million in the nine months ended October 31, 2018 in connection with the vesting of equity awards.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 2016, we borrowed $350.0 million under a senior secured term loan facility (the “Term Loan”). Additionally, on December 1, 2016, we prepaid $50.0 million in principal amount of the Term Loan, reducing the principal balance of the Term Loan to $300.0 million. The Term Loan will mature in December 2022.</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on the outstanding principal amount of the Term Loan accrues at a rate equal to the London Interbank Offered Rate (“LIBOR”), subject to a 1% floor, plus an applicable margin of 5.25% or an alternate base rate (defined as the greatest of</w:t>
      </w:r>
    </w:p>
    <w:p>
      <w:pPr>
        <w:ind w:left="240" w:hanging="231"/>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“prime rate” as published by the Wall Street Journal from time to time, (ii) the federal funds rate plus 0.5% and</w:t>
      </w:r>
    </w:p>
    <w:p>
      <w:pPr>
        <w:spacing w:after="0" w:line="20" w:lineRule="exact"/>
        <w:rPr>
          <w:rFonts w:ascii="Arial" w:cs="Arial" w:eastAsia="Arial" w:hAnsi="Arial"/>
          <w:sz w:val="17"/>
          <w:szCs w:val="17"/>
          <w:color w:val="auto"/>
        </w:rPr>
      </w:pPr>
    </w:p>
    <w:p>
      <w:pPr>
        <w:ind w:right="20" w:firstLine="9"/>
        <w:spacing w:after="0" w:line="290" w:lineRule="auto"/>
        <w:tabs>
          <w:tab w:leader="none" w:pos="32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LIBOR rate for a borrowing with an interest period of one month) plus 4.25%, per annum, payable in cash. As of October 31, 2019, interest under the Term Loan was being paid at the average rate of 7.62% per annum.</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is secured (i) on a first-priority basis by a lien on, among other things, our real estate assets, equipment and fixtures, equity interests and intellectual property and certain related rights owned by us and by certain of our subsidiaries and (ii) by a second-priority security interest in our and certain of our subsidiaries other assets, which will secure on a first-priority basis our asset-based loan facility described below under the caption “Revolving Credit Facility.”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is required to be prepaid with the proceeds of certain asset sales if such proceeds are not applied as required by the agreement within specified deadlines. The Term Loan is also required to be prepaid in an amount equal to 75% of our Excess Cash Flow (as defined in the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contains covenants that, among other things, restrict our ability, subject to certain exceptions, to incur additional debt; incur liens; sell or dispose of certain assets; merge with other companies; liquidate or dissolve G-III; acquire other companies; make loans, advances, or guarantees; and make certain investments. As described above, the Term Loan also includes a mandatory prepayment provision with respect to Excess Cash Flow. A first lien leverage covenant requires the Company to maintain a level of debt to EBITDA at a ratio as defined in the term loan agreement. As of October 31, 2019, we were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1, 2016, our previous credit agreement was refinanced and replaced by a five-year senior secured revolving credit facility providing for borrowings in the aggregate principal amount of up to $650 million (the “revolving credit facility”). Amounts available under the revolving credit facility are subject to borrowing base formulas and over advances as specified in the revolving credit facility agreement. Borrowings bear interest, at our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availability under the revolving credit facility agreement. As of October 31, 2019, interest under the revolving credit agreement was being paid at the average rate of 3.30% per annum. The revolving credit facility is secured by specified assets of us and certain of our subsidiaries. In addition to paying interest on any outstanding borrowings under the revolving credit facility, we are required to pay a commitment fee to the lenders under the revolving credit facility agreement with respect to the unutilized commitments. The commitment fee accrues at a rate equal to 0.25% per annum on the average daily amount of the available commitment.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G-III; acquire other companies; make loans, advances, or guarantees; and make certain investments. In certain circumstances, the revolving credit facility also requires us to maintain a fixed charge coverage ratio, as defined in the agreement, that may not be less than 1.00 to 1.00 for each period of twelve consecutive fiscal months. As of October 31, 2019, we were in compliance with these covenants.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December 1, 2016, we issued to LVMH Moet Hennessy Louis Vuitton Inc. (“LVMH”), as a portion of the consideration for the acquisition of DKI,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Based on an independent valuation, it was determined that the LVMH Note should be treated as having been issued at a discount of $40.0 million in accordance with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This discount is being amortized as interest expense using the effective interest method over the term of the LVMH Note.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issuance of the LVMH Note, LVMH entered into (i) a subordination agreement providing that our obligations under the LVMH Note are subordinate and junior to our obligations under the revolving credit facility and the Term Loan, and (ii) a pledge and security agreement with us and our subsidiary,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the Term Loan.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15, 2019, T.R.B. International SA (“TRB”), a subsidiary of Vilebrequin, borrowed €3.0 million under an unsecured loan with Banque du Leman S.A (the “Unsecured Loan”). The Unsecured Loan matures on April 15, 2024. During the term of the Unsecured Loan, TRB is required to make quarterly installment payments of €0.2 million. Interest on the outstanding principal amount of the Unsecured Loan accrues at a fixed rate equal to 1.50% per annum, payable quarterly in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revolving credit facility during our third fiscal quarter. The primary sources to meet our operating cash requirements have been borrowings under our revolving credit facility and cash generated from operations.</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incurred significant additional debt in connection with our acquisition of DKI. We had borrowings outstanding under the revolving credit facility of $279.9 million and $309.6 million at October 31, 2019 and 2018, respectively. In addition, we had $300.0 million in borrowings outstanding under the Term Loan at both October 31, 2019 and 2018. Our contingent liability under open letters of credit was approximately $7.0 million and $12.0 million at October 31, 2019 and 2018, respectively. In addition to the amounts outstanding under these two loan agreements, at October 31, 2019 and 2018, we had $125.0 million of face value principal amount outstanding under the LVMH Note. As of September 30, 2019, we also had €2.7 million ($2.9 million) outstanding under the Unsecured Loan.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$55.8 million on October 31, 2019 and $66.1 million on October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We repurchased 1,327,566 shares of our common stock in the nine months ended October 31, 2019 for an aggregate purchase price of $35.2 million. We have 2,949,362 authorized shares remaining under this program. As of December 5, 2019, we had 47,825,398 shares of common stock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used $220.2 million of cash in operating activities during the nine months ended October 31, 2019, primarily due to increases of $397.0 million in accounts receivable and $74.3 million in inventories and a decrease of $61.1 million in operating lease liabilities. These items were offset, in part, by net income of $118.5 million and non-cash charges in the aggregate amount of $103.0 million relating primarily to operating lease costs ($55.0 million), depreciation and amortization ($29.0 million) and share-based compensation ($13.7 million). These items were further offset by increases of $28.6 million in our income tax liability and $26.6 million in accounts payable and accrued expenses.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changes in operating cash flow items are consistent with our seasonal pattern of building up inventory for the fall shipping season resulting in the increases in inventory and accounts receivable and payable. The fall shipping season begins during the latter half of our second quarter. In addition, we accelerated inventory receipts in anticipation of expected increases in tariffs on apparel products imported from China.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$34.0 million of cash in investing activities during the nine months ended October 31, 2019 for capital expenditures and initial direct costs of operating lease assets. Capital expenditures in the period primarily related to information technology expenditures and additional fixturing costs at department stores. Operating lease assets initial direct costs in the period primarily related to payments of key money and broker fees.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$239.5 million during nine months ended October 31, 2019 primarily as a result of the net proceeds of $280.0 million in borrowings under our revolving credit facility offset, in part, by $35.2 million of cash used to repurchase shares under our share repurchase program and $8.4 million for taxes paid in connection with net share settlements.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on hand and cash generated from operations over the full fiscal year, together with funds available under our revolving credit facility, are sufficient to meet our expected operating and capital expenditure requirements. We may seek to acquire other businesses in order to expand our business. We may need additional financing in order to complete one or more acquisitions. We cannot be certain that we will be able to obtain additional financing, if required, on acceptable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2019 are those that depend most heavily on these judgments and estimates. As of October 31, 2019, there have been no material changes to our critical accounting policies, other than the adoption of new lease accounting standards as discussed in Note 4 to the condensed consolidated financial statements.</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material changes to the disclosure made with respect to these matters in our Annual Report on Form 10-K for the year ended January 31, 2019.</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“Item 1A. Risk Factors” in our Annual Report on Form 10-K for the year ended January 31, 2019 (the “Annual Report”), which could materially affect our business, financial condition and/or future results. There have been no material changes in our risk factors from those disclosed in our Annual Report, except for the risk factors set forth below, which serve as an update to these two risk factors that were contained in our Annual Report. The risks described in our Annual Report and in this Quarterly Report on Form 10-Q are not the only risks facing our company. Additional risks and uncertainties not currently known to us or that we currently deem to be immaterial also may materially adversely affect our business, financial condition and/or future results.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retail operations segment may continue to incur losses if the potential significant revisions to our retail operations do not significantly improve our results of operations</w:t>
      </w:r>
      <w:r>
        <w:rPr>
          <w:rFonts w:ascii="Arial" w:cs="Arial" w:eastAsia="Arial" w:hAnsi="Arial"/>
          <w:sz w:val="18"/>
          <w:szCs w:val="18"/>
          <w:b w:val="1"/>
          <w:bCs w:val="1"/>
          <w:color w:val="auto"/>
        </w:rPr>
        <w: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retail operations segment reported an operating loss of $49.4 million in the nine months ended October 31, 2019, $49.0 million in fiscal 2019 and $49.1 million in fiscal 2018. Given the overall uncertainty of the retail landscape, we are continuing our efforts to significantly reduce the losses in our retail operations. We intend to move more broadly with respect to store closures and have engaged outside advisors to assist us with this process. Our strategy also includes overall cost cutting, revising our merchandising strategies to drive additional sales and re-purposing certain Wilsons and G.H. Bass stores for our Karl Lagerfeld Paris or DKNY brands. We need to successfully implement this strategy in order to significantly reduce the losses in our retail operations. There is no assurance that we can do so.</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record impairments of long-lived assets or incur other charges relating to our company-operated retail stores.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Impairment testing of our retail stores’ long-lived assets requires us to make estimates about our future performance and cash flows that are inherently uncertain. These estimates can be affected by numerous factors, including changes in economic conditions, our results of operations, and competitive conditions in the industry. Due to the fixed-cost structure associated with our retail operations, negative cash flows or the closure of a store could result in an impairment of leasehold improvements, operating lease assets or other long-lived assets, write-downs of inventory, severance costs, lease termination costs or the loss of working capital, which could adversely impact our business and financial results. We recorded impairments related to our retail operations of $2.8 million in fiscal 2019, $6.5 million in fiscal 2018 and $10.5 million in fiscal 2017 and may be required to record additional impairments or other charges relating to our retail operations in our financial statements. These impairment or other charges may increase as we continue to evaluate our retail operations. The recording of additional impairments or other charges in the future may have a material adverse impact on our business, financial condition and/or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provides information with respect to the Company’s common stock that the Company repurchased during the three months ended October 31, 2019. Included in this table are shares withheld during October 2019 in connection with the settlement of vested restricted stock units to satisfy tax withholding requirements.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 Purchased as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Average Price Paid Per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6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Purchased</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10"/>
                <w:szCs w:val="10"/>
                <w:b w:val="1"/>
                <w:bCs w:val="1"/>
                <w:color w:val="auto"/>
                <w:w w:val="91"/>
              </w:rPr>
              <w:t>(1)</w:t>
            </w:r>
          </w:p>
        </w:tc>
        <w:tc>
          <w:tcPr>
            <w:tcW w:w="1660" w:type="dxa"/>
            <w:vAlign w:val="bottom"/>
            <w:gridSpan w:val="3"/>
            <w:vMerge w:val="continue"/>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Announced Program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760" w:type="dxa"/>
            <w:vAlign w:val="bottom"/>
            <w:gridSpan w:val="2"/>
            <w:vMerge w:val="continue"/>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 xml:space="preserve">Share </w:t>
            </w:r>
            <w:r>
              <w:rPr>
                <w:rFonts w:ascii="Arial" w:cs="Arial" w:eastAsia="Arial" w:hAnsi="Arial"/>
                <w:sz w:val="10"/>
                <w:szCs w:val="10"/>
                <w:b w:val="1"/>
                <w:bCs w:val="1"/>
                <w:color w:val="auto"/>
                <w:w w:val="94"/>
              </w:rPr>
              <w:t>(1)</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0"/>
                <w:szCs w:val="10"/>
                <w:b w:val="1"/>
                <w:bCs w:val="1"/>
                <w:color w:val="auto"/>
                <w:w w:val="94"/>
              </w:rPr>
              <w:t>(2)</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1 - August 31, 2019</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w w:val="97"/>
              </w:rPr>
              <w:t>September 1 - September 30, 2019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40,797</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2,949,362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440" w:right="100" w:hanging="330"/>
        <w:spacing w:after="0" w:line="227"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Included are 40,797 shares withheld during October 2019 in connection with the settlement of vested restricted stock units to satisfy tax withholding requirements. The 2015 Long-Term Incentive Plan provides that shares withheld are valued at the closing price per share on the date withheld.</w:t>
      </w:r>
    </w:p>
    <w:p>
      <w:pPr>
        <w:jc w:val="both"/>
        <w:ind w:left="440" w:right="100" w:hanging="330"/>
        <w:spacing w:after="0" w:line="229"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 December 2015, our Board of Directors reapproved and increased a previously authorized share repurchase program from the 3,750,000 shares remaining under that plan to 5,000,000 shares. This program has no expiration date. Repurchases under the program may be made from time to time over the period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240" w:type="dxa"/>
            <w:vAlign w:val="bottom"/>
            <w:gridSpan w:val="4"/>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2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by Morris Goldfarb, Chief Executive Officer of G-III Apparel Group, Ltd., pursuant to Rule 13a -</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6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Group, Ltd.’s Quarterly Report on Form 10-Q for the fiscal quarter ended October 31, 2019.</w:t>
              </w:r>
            </w:hyperlink>
          </w:p>
        </w:tc>
        <w:tc>
          <w:tcPr>
            <w:tcW w:w="1600" w:type="dxa"/>
            <w:vAlign w:val="bottom"/>
            <w:gridSpan w:val="3"/>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8240" w:type="dxa"/>
            <w:vAlign w:val="bottom"/>
            <w:gridSpan w:val="4"/>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by Neal S. Nackman, Chief Financial Officer of G-III Apparel Group, Ltd., pursuant to Rule 13a -</w:t>
              </w:r>
            </w:hyperlink>
          </w:p>
        </w:tc>
      </w:tr>
      <w:tr>
        <w:trPr>
          <w:trHeight w:val="20"/>
        </w:trPr>
        <w:tc>
          <w:tcPr>
            <w:tcW w:w="820" w:type="dxa"/>
            <w:vAlign w:val="bottom"/>
          </w:tcPr>
          <w:p>
            <w:pPr>
              <w:spacing w:after="0" w:line="20" w:lineRule="exact"/>
              <w:rPr>
                <w:sz w:val="1"/>
                <w:szCs w:val="1"/>
                <w:color w:val="auto"/>
              </w:rPr>
            </w:pPr>
          </w:p>
        </w:tc>
        <w:tc>
          <w:tcPr>
            <w:tcW w:w="72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14(a) or Rule 15d - 14(a) of the Securities Exchange Act of 1934, as amended, in connection with G-III Apparel</w:t>
              </w:r>
            </w:hyperlink>
          </w:p>
        </w:tc>
      </w:tr>
      <w:tr>
        <w:trPr>
          <w:trHeight w:val="196"/>
        </w:trPr>
        <w:tc>
          <w:tcPr>
            <w:tcW w:w="820" w:type="dxa"/>
            <w:vAlign w:val="bottom"/>
          </w:tcPr>
          <w:p>
            <w:pPr>
              <w:spacing w:after="0"/>
              <w:rPr>
                <w:sz w:val="17"/>
                <w:szCs w:val="17"/>
                <w:color w:val="auto"/>
              </w:rPr>
            </w:pPr>
          </w:p>
        </w:tc>
        <w:tc>
          <w:tcPr>
            <w:tcW w:w="6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Group, Ltd.’s Quarterly Report on Form 10-Q for the fiscal quarter ended October 31, 2019.</w:t>
              </w:r>
            </w:hyperlink>
          </w:p>
        </w:tc>
        <w:tc>
          <w:tcPr>
            <w:tcW w:w="1600" w:type="dxa"/>
            <w:vAlign w:val="bottom"/>
            <w:gridSpan w:val="3"/>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Certification by Morris Goldfarb, Chief Executive Officer of G-III Apparel Group, Ltd., pursuant to 18 U.S.C.</w:t>
              </w:r>
            </w:hyperlink>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8240" w:type="dxa"/>
            <w:vAlign w:val="bottom"/>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Apparel Group, Ltd.’s Quarterly Report on Form 10-Q for the fiscal quarter ended October 31, 2019.</w:t>
              </w:r>
            </w:hyperlink>
          </w:p>
        </w:tc>
      </w:tr>
      <w:tr>
        <w:trPr>
          <w:trHeight w:val="20"/>
        </w:trPr>
        <w:tc>
          <w:tcPr>
            <w:tcW w:w="820" w:type="dxa"/>
            <w:vAlign w:val="bottom"/>
          </w:tcPr>
          <w:p>
            <w:pPr>
              <w:spacing w:after="0" w:line="20" w:lineRule="exact"/>
              <w:rPr>
                <w:sz w:val="1"/>
                <w:szCs w:val="1"/>
                <w:color w:val="auto"/>
              </w:rPr>
            </w:pPr>
          </w:p>
        </w:tc>
        <w:tc>
          <w:tcPr>
            <w:tcW w:w="72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240" w:type="dxa"/>
            <w:vAlign w:val="bottom"/>
            <w:gridSpan w:val="4"/>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Certification by Neal S. Nackman, Chief Financial Officer of G-III Apparel Group, Ltd., pursuant to 18 U.S.C.</w:t>
              </w:r>
            </w:hyperlink>
          </w:p>
        </w:tc>
      </w:tr>
      <w:tr>
        <w:trPr>
          <w:trHeight w:val="20"/>
        </w:trPr>
        <w:tc>
          <w:tcPr>
            <w:tcW w:w="820" w:type="dxa"/>
            <w:vAlign w:val="bottom"/>
          </w:tcPr>
          <w:p>
            <w:pPr>
              <w:spacing w:after="0" w:line="20" w:lineRule="exact"/>
              <w:rPr>
                <w:sz w:val="1"/>
                <w:szCs w:val="1"/>
                <w:color w:val="auto"/>
              </w:rPr>
            </w:pPr>
          </w:p>
        </w:tc>
        <w:tc>
          <w:tcPr>
            <w:tcW w:w="8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824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Section 1350, as adopted pursuant to Section 906 of the Sarbanes-Oxley Act of 2002, in connection with G-III</w:t>
              </w:r>
            </w:hyperlink>
          </w:p>
        </w:tc>
      </w:tr>
      <w:tr>
        <w:trPr>
          <w:trHeight w:val="196"/>
        </w:trPr>
        <w:tc>
          <w:tcPr>
            <w:tcW w:w="820" w:type="dxa"/>
            <w:vAlign w:val="bottom"/>
          </w:tcPr>
          <w:p>
            <w:pPr>
              <w:spacing w:after="0"/>
              <w:rPr>
                <w:sz w:val="17"/>
                <w:szCs w:val="17"/>
                <w:color w:val="auto"/>
              </w:rPr>
            </w:pPr>
          </w:p>
        </w:tc>
        <w:tc>
          <w:tcPr>
            <w:tcW w:w="824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Apparel Group, Ltd.’s Quarterly Report on Form 10-Q for the fiscal quarter ended October 31, 2019.</w:t>
              </w:r>
            </w:hyperlink>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72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980" w:type="dxa"/>
            <w:vAlign w:val="bottom"/>
            <w:gridSpan w:val="2"/>
          </w:tcPr>
          <w:p>
            <w:pPr>
              <w:spacing w:after="0"/>
              <w:rPr>
                <w:sz w:val="19"/>
                <w:szCs w:val="19"/>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2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bl>
    <w:p>
      <w:pPr>
        <w:ind w:left="820" w:hanging="81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G-III APPAREL GROUP, LTD.</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December 6, 2019</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 /s/ Morris Goldfarb</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December 6, 2019</w:t>
            </w:r>
          </w:p>
        </w:tc>
        <w:tc>
          <w:tcPr>
            <w:tcW w:w="5960" w:type="dxa"/>
            <w:vAlign w:val="bottom"/>
            <w:gridSpan w:val="2"/>
          </w:tcPr>
          <w:p>
            <w:pPr>
              <w:ind w:left="1440"/>
              <w:spacing w:after="0"/>
              <w:rPr>
                <w:sz w:val="20"/>
                <w:szCs w:val="20"/>
                <w:color w:val="auto"/>
              </w:rPr>
            </w:pPr>
            <w:r>
              <w:rPr>
                <w:rFonts w:ascii="Arial" w:cs="Arial" w:eastAsia="Arial" w:hAnsi="Arial"/>
                <w:sz w:val="18"/>
                <w:szCs w:val="18"/>
                <w:color w:val="auto"/>
              </w:rPr>
              <w:t>By: /s/ Neal S. Nackman</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1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4180" w:type="dxa"/>
            <w:vAlign w:val="bottom"/>
          </w:tcPr>
          <w:p>
            <w:pPr>
              <w:spacing w:after="0"/>
              <w:rPr>
                <w:sz w:val="24"/>
                <w:szCs w:val="24"/>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158"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915035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158"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157"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8"/>
          <w:szCs w:val="18"/>
          <w:color w:val="auto"/>
        </w:rPr>
      </w:pPr>
    </w:p>
    <w:p>
      <w:pPr>
        <w:jc w:val="both"/>
        <w:ind w:left="660" w:hanging="333"/>
        <w:spacing w:after="0" w:line="25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4"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jc w:val="both"/>
        <w:ind w:left="980" w:hanging="329"/>
        <w:spacing w:after="0" w:line="231"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4" w:lineRule="exact"/>
        <w:rPr>
          <w:rFonts w:ascii="Arial" w:cs="Arial" w:eastAsia="Arial" w:hAnsi="Arial"/>
          <w:sz w:val="18"/>
          <w:szCs w:val="18"/>
          <w:color w:val="auto"/>
        </w:rPr>
      </w:pPr>
    </w:p>
    <w:p>
      <w:pPr>
        <w:jc w:val="both"/>
        <w:ind w:left="66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980" w:hanging="329"/>
        <w:spacing w:after="0" w:line="235"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980" w:hanging="329"/>
        <w:spacing w:after="0" w:line="246"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906145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24"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b w:val="1"/>
          <w:bCs w:val="1"/>
          <w:color w:val="auto"/>
        </w:rPr>
        <w:t>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October 31, 2019,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871855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6"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October 31, 2019,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871855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lowerRoman"/>
      <w:start w:val="3"/>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2019-12-28T01:12:08Z</dcterms:created>
  <dcterms:modified xsi:type="dcterms:W3CDTF">2019-12-28T01:12:08Z</dcterms:modified>
</cp:coreProperties>
</file>