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318"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Washington, D.C. 20549</w:t>
      </w:r>
    </w:p>
    <w:p>
      <w:pPr>
        <w:spacing w:after="0" w:line="91" w:lineRule="exact"/>
        <w:rPr>
          <w:sz w:val="24"/>
          <w:szCs w:val="24"/>
          <w:color w:val="auto"/>
        </w:rPr>
      </w:pPr>
    </w:p>
    <w:p>
      <w:pPr>
        <w:jc w:val="center"/>
        <w:ind w:right="-1"/>
        <w:spacing w:after="0"/>
        <w:rPr>
          <w:sz w:val="20"/>
          <w:szCs w:val="20"/>
          <w:color w:val="auto"/>
        </w:rPr>
      </w:pPr>
      <w:r>
        <w:rPr>
          <w:rFonts w:ascii="Arial" w:cs="Arial" w:eastAsia="Arial" w:hAnsi="Arial"/>
          <w:sz w:val="29"/>
          <w:szCs w:val="29"/>
          <w:b w:val="1"/>
          <w:bCs w:val="1"/>
          <w:color w:val="auto"/>
        </w:rPr>
        <w:t>FORM 10-Q</w:t>
      </w:r>
    </w:p>
    <w:p>
      <w:pPr>
        <w:spacing w:after="0" w:line="130"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322" w:hanging="319"/>
        <w:spacing w:after="0"/>
        <w:tabs>
          <w:tab w:leader="none" w:pos="322"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For the quarterly period ended July 31, 2019</w:t>
      </w:r>
    </w:p>
    <w:p>
      <w:pPr>
        <w:spacing w:after="0" w:line="127"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302" w:hanging="302"/>
        <w:spacing w:after="0"/>
        <w:tabs>
          <w:tab w:leader="none" w:pos="302"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21" w:lineRule="exact"/>
        <w:rPr>
          <w:sz w:val="24"/>
          <w:szCs w:val="24"/>
          <w:color w:val="auto"/>
        </w:rPr>
      </w:pPr>
    </w:p>
    <w:p>
      <w:pPr>
        <w:ind w:left="3742"/>
        <w:spacing w:after="0"/>
        <w:tabs>
          <w:tab w:leader="none" w:pos="6222"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3728720</wp:posOffset>
            </wp:positionH>
            <wp:positionV relativeFrom="paragraph">
              <wp:posOffset>-4445</wp:posOffset>
            </wp:positionV>
            <wp:extent cx="205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4071620</wp:posOffset>
            </wp:positionH>
            <wp:positionV relativeFrom="paragraph">
              <wp:posOffset>-4445</wp:posOffset>
            </wp:positionV>
            <wp:extent cx="154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07"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2472055</wp:posOffset>
            </wp:positionH>
            <wp:positionV relativeFrom="paragraph">
              <wp:posOffset>80645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3" w:lineRule="exact"/>
        <w:rPr>
          <w:sz w:val="24"/>
          <w:szCs w:val="24"/>
          <w:color w:val="auto"/>
        </w:rPr>
      </w:pPr>
    </w:p>
    <w:p>
      <w:pPr>
        <w:jc w:val="center"/>
        <w:ind w:right="-1"/>
        <w:spacing w:after="0"/>
        <w:rPr>
          <w:sz w:val="20"/>
          <w:szCs w:val="20"/>
          <w:color w:val="auto"/>
        </w:rPr>
      </w:pPr>
      <w:r>
        <w:rPr>
          <w:rFonts w:ascii="Arial" w:cs="Arial" w:eastAsia="Arial" w:hAnsi="Arial"/>
          <w:sz w:val="36"/>
          <w:szCs w:val="36"/>
          <w:b w:val="1"/>
          <w:bCs w:val="1"/>
          <w:color w:val="auto"/>
        </w:rPr>
        <w:t>G-III APPAREL GROUP, LTD.</w:t>
      </w:r>
    </w:p>
    <w:p>
      <w:pPr>
        <w:spacing w:after="0" w:line="48" w:lineRule="exact"/>
        <w:rPr>
          <w:sz w:val="24"/>
          <w:szCs w:val="24"/>
          <w:color w:val="auto"/>
        </w:rPr>
      </w:pPr>
    </w:p>
    <w:p>
      <w:pPr>
        <w:jc w:val="center"/>
        <w:ind w:right="38"/>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2472055</wp:posOffset>
            </wp:positionH>
            <wp:positionV relativeFrom="paragraph">
              <wp:posOffset>69215</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91" w:lineRule="exact"/>
        <w:rPr>
          <w:sz w:val="24"/>
          <w:szCs w:val="24"/>
          <w:color w:val="auto"/>
        </w:rPr>
      </w:pPr>
    </w:p>
    <w:tbl>
      <w:tblPr>
        <w:tblLayout w:type="fixed"/>
        <w:tblInd w:w="1142" w:type="dxa"/>
        <w:tblCellMar>
          <w:top w:w="0" w:type="dxa"/>
          <w:left w:w="0" w:type="dxa"/>
          <w:bottom w:w="0" w:type="dxa"/>
          <w:right w:w="0" w:type="dxa"/>
        </w:tblCellMar>
      </w:tblPr>
      <w:tr>
        <w:trPr>
          <w:trHeight w:val="203"/>
        </w:trPr>
        <w:tc>
          <w:tcPr>
            <w:tcW w:w="4520" w:type="dxa"/>
            <w:vAlign w:val="bottom"/>
          </w:tcPr>
          <w:p>
            <w:pPr>
              <w:jc w:val="center"/>
              <w:ind w:right="1519"/>
              <w:spacing w:after="0"/>
              <w:rPr>
                <w:sz w:val="20"/>
                <w:szCs w:val="20"/>
                <w:color w:val="auto"/>
              </w:rPr>
            </w:pPr>
            <w:r>
              <w:rPr>
                <w:rFonts w:ascii="Arial" w:cs="Arial" w:eastAsia="Arial" w:hAnsi="Arial"/>
                <w:sz w:val="16"/>
                <w:szCs w:val="16"/>
                <w:b w:val="1"/>
                <w:bCs w:val="1"/>
                <w:color w:val="auto"/>
                <w:w w:val="91"/>
              </w:rPr>
              <w:t>Delaware</w:t>
            </w:r>
          </w:p>
        </w:tc>
        <w:tc>
          <w:tcPr>
            <w:tcW w:w="2860" w:type="dxa"/>
            <w:vAlign w:val="bottom"/>
          </w:tcPr>
          <w:p>
            <w:pPr>
              <w:jc w:val="right"/>
              <w:ind w:right="159"/>
              <w:spacing w:after="0"/>
              <w:rPr>
                <w:sz w:val="20"/>
                <w:szCs w:val="20"/>
                <w:color w:val="auto"/>
              </w:rPr>
            </w:pPr>
            <w:r>
              <w:rPr>
                <w:rFonts w:ascii="Arial" w:cs="Arial" w:eastAsia="Arial" w:hAnsi="Arial"/>
                <w:sz w:val="16"/>
                <w:szCs w:val="16"/>
                <w:b w:val="1"/>
                <w:bCs w:val="1"/>
                <w:color w:val="auto"/>
              </w:rPr>
              <w:t>41-1590959</w:t>
            </w:r>
          </w:p>
        </w:tc>
      </w:tr>
      <w:tr>
        <w:trPr>
          <w:trHeight w:val="203"/>
        </w:trPr>
        <w:tc>
          <w:tcPr>
            <w:tcW w:w="4520" w:type="dxa"/>
            <w:vAlign w:val="bottom"/>
          </w:tcPr>
          <w:p>
            <w:pPr>
              <w:jc w:val="center"/>
              <w:ind w:right="1519"/>
              <w:spacing w:after="0"/>
              <w:rPr>
                <w:sz w:val="20"/>
                <w:szCs w:val="20"/>
                <w:color w:val="auto"/>
              </w:rPr>
            </w:pPr>
            <w:r>
              <w:rPr>
                <w:rFonts w:ascii="Arial" w:cs="Arial" w:eastAsia="Arial" w:hAnsi="Arial"/>
                <w:sz w:val="16"/>
                <w:szCs w:val="16"/>
                <w:b w:val="1"/>
                <w:bCs w:val="1"/>
                <w:color w:val="auto"/>
                <w:w w:val="92"/>
              </w:rPr>
              <w:t>(State or other jurisdiction of</w:t>
            </w:r>
          </w:p>
        </w:tc>
        <w:tc>
          <w:tcPr>
            <w:tcW w:w="2860" w:type="dxa"/>
            <w:vAlign w:val="bottom"/>
          </w:tcPr>
          <w:p>
            <w:pPr>
              <w:jc w:val="center"/>
              <w:ind w:left="151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4520" w:type="dxa"/>
            <w:vAlign w:val="bottom"/>
          </w:tcPr>
          <w:p>
            <w:pPr>
              <w:jc w:val="center"/>
              <w:ind w:right="1519"/>
              <w:spacing w:after="0"/>
              <w:rPr>
                <w:sz w:val="20"/>
                <w:szCs w:val="20"/>
                <w:color w:val="auto"/>
              </w:rPr>
            </w:pPr>
            <w:r>
              <w:rPr>
                <w:rFonts w:ascii="Arial" w:cs="Arial" w:eastAsia="Arial" w:hAnsi="Arial"/>
                <w:sz w:val="16"/>
                <w:szCs w:val="16"/>
                <w:b w:val="1"/>
                <w:bCs w:val="1"/>
                <w:color w:val="auto"/>
                <w:w w:val="92"/>
              </w:rPr>
              <w:t>incorporation or organization)</w:t>
            </w:r>
          </w:p>
        </w:tc>
        <w:tc>
          <w:tcPr>
            <w:tcW w:w="2860" w:type="dxa"/>
            <w:vAlign w:val="bottom"/>
          </w:tcPr>
          <w:p>
            <w:pPr>
              <w:jc w:val="center"/>
              <w:ind w:left="1519"/>
              <w:spacing w:after="0"/>
              <w:rPr>
                <w:sz w:val="20"/>
                <w:szCs w:val="20"/>
                <w:color w:val="auto"/>
              </w:rPr>
            </w:pPr>
            <w:r>
              <w:rPr>
                <w:rFonts w:ascii="Arial" w:cs="Arial" w:eastAsia="Arial" w:hAnsi="Arial"/>
                <w:sz w:val="16"/>
                <w:szCs w:val="16"/>
                <w:b w:val="1"/>
                <w:bCs w:val="1"/>
                <w:color w:val="auto"/>
                <w:w w:val="93"/>
              </w:rPr>
              <w:t>Identification No.)</w:t>
            </w:r>
          </w:p>
        </w:tc>
      </w:tr>
      <w:tr>
        <w:trPr>
          <w:trHeight w:val="303"/>
        </w:trPr>
        <w:tc>
          <w:tcPr>
            <w:tcW w:w="4520" w:type="dxa"/>
            <w:vAlign w:val="bottom"/>
          </w:tcPr>
          <w:p>
            <w:pPr>
              <w:jc w:val="center"/>
              <w:ind w:right="1519"/>
              <w:spacing w:after="0"/>
              <w:rPr>
                <w:sz w:val="20"/>
                <w:szCs w:val="20"/>
                <w:color w:val="auto"/>
              </w:rPr>
            </w:pPr>
            <w:r>
              <w:rPr>
                <w:rFonts w:ascii="Arial" w:cs="Arial" w:eastAsia="Arial" w:hAnsi="Arial"/>
                <w:sz w:val="16"/>
                <w:szCs w:val="16"/>
                <w:b w:val="1"/>
                <w:bCs w:val="1"/>
                <w:color w:val="auto"/>
                <w:w w:val="91"/>
              </w:rPr>
              <w:t>512 Seventh Avenue, New York, New York</w:t>
            </w:r>
          </w:p>
        </w:tc>
        <w:tc>
          <w:tcPr>
            <w:tcW w:w="2860" w:type="dxa"/>
            <w:vAlign w:val="bottom"/>
          </w:tcPr>
          <w:p>
            <w:pPr>
              <w:jc w:val="right"/>
              <w:ind w:right="339"/>
              <w:spacing w:after="0"/>
              <w:rPr>
                <w:sz w:val="20"/>
                <w:szCs w:val="20"/>
                <w:color w:val="auto"/>
              </w:rPr>
            </w:pPr>
            <w:r>
              <w:rPr>
                <w:rFonts w:ascii="Arial" w:cs="Arial" w:eastAsia="Arial" w:hAnsi="Arial"/>
                <w:sz w:val="16"/>
                <w:szCs w:val="16"/>
                <w:b w:val="1"/>
                <w:bCs w:val="1"/>
                <w:color w:val="auto"/>
              </w:rPr>
              <w:t>10018</w:t>
            </w:r>
          </w:p>
        </w:tc>
      </w:tr>
      <w:tr>
        <w:trPr>
          <w:trHeight w:val="210"/>
        </w:trPr>
        <w:tc>
          <w:tcPr>
            <w:tcW w:w="4520" w:type="dxa"/>
            <w:vAlign w:val="bottom"/>
          </w:tcPr>
          <w:p>
            <w:pPr>
              <w:jc w:val="center"/>
              <w:ind w:right="151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860" w:type="dxa"/>
            <w:vAlign w:val="bottom"/>
          </w:tcPr>
          <w:p>
            <w:pPr>
              <w:jc w:val="center"/>
              <w:ind w:left="1539"/>
              <w:spacing w:after="0"/>
              <w:rPr>
                <w:sz w:val="20"/>
                <w:szCs w:val="20"/>
                <w:color w:val="auto"/>
              </w:rPr>
            </w:pPr>
            <w:r>
              <w:rPr>
                <w:rFonts w:ascii="Arial" w:cs="Arial" w:eastAsia="Arial" w:hAnsi="Arial"/>
                <w:sz w:val="16"/>
                <w:szCs w:val="16"/>
                <w:b w:val="1"/>
                <w:bCs w:val="1"/>
                <w:color w:val="auto"/>
                <w:w w:val="96"/>
              </w:rPr>
              <w:t>(Zip Code)</w:t>
            </w:r>
          </w:p>
        </w:tc>
      </w:tr>
    </w:tbl>
    <w:p>
      <w:pPr>
        <w:spacing w:after="0" w:line="195"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(212) 403-0500</w:t>
      </w:r>
    </w:p>
    <w:p>
      <w:pPr>
        <w:spacing w:after="0" w:line="26"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9"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2472055</wp:posOffset>
            </wp:positionH>
            <wp:positionV relativeFrom="paragraph">
              <wp:posOffset>80645</wp:posOffset>
            </wp:positionV>
            <wp:extent cx="16554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300" w:lineRule="exact"/>
        <w:rPr>
          <w:sz w:val="24"/>
          <w:szCs w:val="24"/>
          <w:color w:val="auto"/>
        </w:rPr>
      </w:pPr>
    </w:p>
    <w:p>
      <w:pPr>
        <w:jc w:val="center"/>
        <w:ind w:righ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7" w:lineRule="exact"/>
        <w:rPr>
          <w:sz w:val="24"/>
          <w:szCs w:val="24"/>
          <w:color w:val="auto"/>
        </w:rPr>
      </w:pPr>
    </w:p>
    <w:tbl>
      <w:tblPr>
        <w:tblLayout w:type="fixed"/>
        <w:tblInd w:w="542" w:type="dxa"/>
        <w:tblCellMar>
          <w:top w:w="0" w:type="dxa"/>
          <w:left w:w="0" w:type="dxa"/>
          <w:bottom w:w="0" w:type="dxa"/>
          <w:right w:w="0" w:type="dxa"/>
        </w:tblCellMar>
      </w:tblPr>
      <w:tr>
        <w:trPr>
          <w:trHeight w:val="162"/>
        </w:trPr>
        <w:tc>
          <w:tcPr>
            <w:tcW w:w="3260" w:type="dxa"/>
            <w:vAlign w:val="bottom"/>
          </w:tcPr>
          <w:p>
            <w:pPr>
              <w:jc w:val="center"/>
              <w:ind w:right="788"/>
              <w:spacing w:after="0"/>
              <w:rPr>
                <w:sz w:val="20"/>
                <w:szCs w:val="20"/>
                <w:color w:val="auto"/>
              </w:rPr>
            </w:pPr>
            <w:r>
              <w:rPr>
                <w:rFonts w:ascii="Arial" w:cs="Arial" w:eastAsia="Arial" w:hAnsi="Arial"/>
                <w:sz w:val="14"/>
                <w:szCs w:val="14"/>
                <w:color w:val="auto"/>
                <w:w w:val="92"/>
              </w:rPr>
              <w:t>Title of each class</w:t>
            </w:r>
          </w:p>
        </w:tc>
        <w:tc>
          <w:tcPr>
            <w:tcW w:w="2760" w:type="dxa"/>
            <w:vAlign w:val="bottom"/>
          </w:tcPr>
          <w:p>
            <w:pPr>
              <w:jc w:val="center"/>
              <w:spacing w:after="0"/>
              <w:rPr>
                <w:sz w:val="20"/>
                <w:szCs w:val="20"/>
                <w:color w:val="auto"/>
              </w:rPr>
            </w:pPr>
            <w:r>
              <w:rPr>
                <w:rFonts w:ascii="Arial" w:cs="Arial" w:eastAsia="Arial" w:hAnsi="Arial"/>
                <w:sz w:val="14"/>
                <w:szCs w:val="14"/>
                <w:color w:val="auto"/>
                <w:w w:val="94"/>
              </w:rPr>
              <w:t>Trading Symbol(s)</w:t>
            </w:r>
          </w:p>
        </w:tc>
        <w:tc>
          <w:tcPr>
            <w:tcW w:w="3380" w:type="dxa"/>
            <w:vAlign w:val="bottom"/>
          </w:tcPr>
          <w:p>
            <w:pPr>
              <w:jc w:val="center"/>
              <w:ind w:left="748"/>
              <w:spacing w:after="0"/>
              <w:rPr>
                <w:sz w:val="20"/>
                <w:szCs w:val="20"/>
                <w:color w:val="auto"/>
              </w:rPr>
            </w:pPr>
            <w:r>
              <w:rPr>
                <w:rFonts w:ascii="Arial" w:cs="Arial" w:eastAsia="Arial" w:hAnsi="Arial"/>
                <w:sz w:val="14"/>
                <w:szCs w:val="14"/>
                <w:color w:val="auto"/>
                <w:w w:val="92"/>
              </w:rPr>
              <w:t>Name of each exchange on which registered</w:t>
            </w:r>
          </w:p>
        </w:tc>
      </w:tr>
      <w:tr>
        <w:trPr>
          <w:trHeight w:val="182"/>
        </w:trPr>
        <w:tc>
          <w:tcPr>
            <w:tcW w:w="3260" w:type="dxa"/>
            <w:vAlign w:val="bottom"/>
          </w:tcPr>
          <w:p>
            <w:pPr>
              <w:jc w:val="center"/>
              <w:ind w:right="768"/>
              <w:spacing w:after="0"/>
              <w:rPr>
                <w:sz w:val="20"/>
                <w:szCs w:val="20"/>
                <w:color w:val="auto"/>
              </w:rPr>
            </w:pPr>
            <w:r>
              <w:rPr>
                <w:rFonts w:ascii="Arial" w:cs="Arial" w:eastAsia="Arial" w:hAnsi="Arial"/>
                <w:sz w:val="14"/>
                <w:szCs w:val="14"/>
                <w:color w:val="auto"/>
                <w:w w:val="91"/>
              </w:rPr>
              <w:t>Common Stock, $0.01 par value per share</w:t>
            </w:r>
          </w:p>
        </w:tc>
        <w:tc>
          <w:tcPr>
            <w:tcW w:w="2760" w:type="dxa"/>
            <w:vAlign w:val="bottom"/>
          </w:tcPr>
          <w:p>
            <w:pPr>
              <w:jc w:val="center"/>
              <w:spacing w:after="0"/>
              <w:rPr>
                <w:sz w:val="20"/>
                <w:szCs w:val="20"/>
                <w:color w:val="auto"/>
              </w:rPr>
            </w:pPr>
            <w:r>
              <w:rPr>
                <w:rFonts w:ascii="Arial" w:cs="Arial" w:eastAsia="Arial" w:hAnsi="Arial"/>
                <w:sz w:val="14"/>
                <w:szCs w:val="14"/>
                <w:color w:val="auto"/>
              </w:rPr>
              <w:t>GIII</w:t>
            </w:r>
          </w:p>
        </w:tc>
        <w:tc>
          <w:tcPr>
            <w:tcW w:w="3380" w:type="dxa"/>
            <w:vAlign w:val="bottom"/>
          </w:tcPr>
          <w:p>
            <w:pPr>
              <w:jc w:val="center"/>
              <w:ind w:left="748"/>
              <w:spacing w:after="0"/>
              <w:rPr>
                <w:sz w:val="20"/>
                <w:szCs w:val="20"/>
                <w:color w:val="auto"/>
              </w:rPr>
            </w:pPr>
            <w:r>
              <w:rPr>
                <w:rFonts w:ascii="Arial" w:cs="Arial" w:eastAsia="Arial" w:hAnsi="Arial"/>
                <w:sz w:val="14"/>
                <w:szCs w:val="14"/>
                <w:color w:val="auto"/>
                <w:w w:val="93"/>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-214630</wp:posOffset>
            </wp:positionV>
            <wp:extent cx="659511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5110" cy="214630"/>
                    </a:xfrm>
                    <a:prstGeom prst="rect">
                      <a:avLst/>
                    </a:prstGeom>
                    <a:noFill/>
                  </pic:spPr>
                </pic:pic>
              </a:graphicData>
            </a:graphic>
          </wp:anchor>
        </w:drawing>
      </w:r>
    </w:p>
    <w:p>
      <w:pPr>
        <w:spacing w:after="0" w:line="50" w:lineRule="exact"/>
        <w:rPr>
          <w:sz w:val="24"/>
          <w:szCs w:val="24"/>
          <w:color w:val="auto"/>
        </w:rPr>
      </w:pPr>
    </w:p>
    <w:p>
      <w:pPr>
        <w:jc w:val="both"/>
        <w:ind w:left="2"/>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88" w:lineRule="exact"/>
        <w:rPr>
          <w:sz w:val="24"/>
          <w:szCs w:val="24"/>
          <w:color w:val="auto"/>
        </w:rPr>
      </w:pPr>
    </w:p>
    <w:p>
      <w:pPr>
        <w:jc w:val="both"/>
        <w:ind w:left="2"/>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88" w:lineRule="exact"/>
        <w:rPr>
          <w:sz w:val="24"/>
          <w:szCs w:val="24"/>
          <w:color w:val="auto"/>
        </w:rPr>
      </w:pPr>
    </w:p>
    <w:p>
      <w:pPr>
        <w:jc w:val="both"/>
        <w:ind w:left="2"/>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2" w:type="dxa"/>
        <w:tblCellMar>
          <w:top w:w="0" w:type="dxa"/>
          <w:left w:w="0" w:type="dxa"/>
          <w:bottom w:w="0" w:type="dxa"/>
          <w:right w:w="0" w:type="dxa"/>
        </w:tblCellMar>
      </w:tblPr>
      <w:tr>
        <w:trPr>
          <w:trHeight w:val="203"/>
        </w:trPr>
        <w:tc>
          <w:tcPr>
            <w:tcW w:w="20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60" w:type="dxa"/>
            <w:vAlign w:val="bottom"/>
          </w:tcPr>
          <w:p>
            <w:pPr>
              <w:ind w:left="2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60" w:type="dxa"/>
            <w:vAlign w:val="bottom"/>
          </w:tcPr>
          <w:p>
            <w:pPr>
              <w:ind w:left="2140"/>
              <w:spacing w:after="0"/>
              <w:rPr>
                <w:sz w:val="20"/>
                <w:szCs w:val="20"/>
                <w:color w:val="auto"/>
              </w:rPr>
            </w:pPr>
            <w:r>
              <w:rPr>
                <w:rFonts w:ascii="Arial" w:cs="Arial" w:eastAsia="Arial" w:hAnsi="Arial"/>
                <w:sz w:val="16"/>
                <w:szCs w:val="16"/>
                <w:color w:val="auto"/>
              </w:rPr>
              <w:t>Accelerated filer</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03"/>
        </w:trPr>
        <w:tc>
          <w:tcPr>
            <w:tcW w:w="2060" w:type="dxa"/>
            <w:vAlign w:val="bottom"/>
          </w:tcPr>
          <w:p>
            <w:pPr>
              <w:spacing w:after="0"/>
              <w:rPr>
                <w:sz w:val="20"/>
                <w:szCs w:val="20"/>
                <w:color w:val="auto"/>
              </w:rPr>
            </w:pPr>
            <w:r>
              <w:rPr>
                <w:rFonts w:ascii="Arial" w:cs="Arial" w:eastAsia="Arial" w:hAnsi="Arial"/>
                <w:sz w:val="16"/>
                <w:szCs w:val="16"/>
                <w:color w:val="auto"/>
              </w:rPr>
              <w:t>Non-accelerated filer</w:t>
            </w:r>
          </w:p>
        </w:tc>
        <w:tc>
          <w:tcPr>
            <w:tcW w:w="2560" w:type="dxa"/>
            <w:vAlign w:val="bottom"/>
          </w:tcPr>
          <w:p>
            <w:pPr>
              <w:ind w:left="2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60" w:type="dxa"/>
            <w:vAlign w:val="bottom"/>
          </w:tcPr>
          <w:p>
            <w:pPr>
              <w:ind w:left="2140"/>
              <w:spacing w:after="0"/>
              <w:rPr>
                <w:sz w:val="20"/>
                <w:szCs w:val="20"/>
                <w:color w:val="auto"/>
              </w:rPr>
            </w:pPr>
            <w:r>
              <w:rPr>
                <w:rFonts w:ascii="Arial" w:cs="Arial" w:eastAsia="Arial" w:hAnsi="Arial"/>
                <w:sz w:val="16"/>
                <w:szCs w:val="16"/>
                <w:color w:val="auto"/>
              </w:rPr>
              <w:t>Smaller reporting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54"/>
        </w:trPr>
        <w:tc>
          <w:tcPr>
            <w:tcW w:w="20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560" w:type="dxa"/>
            <w:vAlign w:val="bottom"/>
          </w:tcPr>
          <w:p>
            <w:pPr>
              <w:ind w:left="2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60" w:type="dxa"/>
            <w:vAlign w:val="bottom"/>
          </w:tcPr>
          <w:p>
            <w:pPr>
              <w:spacing w:after="0"/>
              <w:rPr>
                <w:sz w:val="22"/>
                <w:szCs w:val="22"/>
                <w:color w:val="auto"/>
              </w:rPr>
            </w:pPr>
          </w:p>
        </w:tc>
        <w:tc>
          <w:tcPr>
            <w:tcW w:w="1000" w:type="dxa"/>
            <w:vAlign w:val="bottom"/>
          </w:tcPr>
          <w:p>
            <w:pPr>
              <w:spacing w:after="0"/>
              <w:rPr>
                <w:sz w:val="22"/>
                <w:szCs w:val="22"/>
                <w:color w:val="auto"/>
              </w:rPr>
            </w:pPr>
          </w:p>
        </w:tc>
      </w:tr>
    </w:tbl>
    <w:p>
      <w:pPr>
        <w:spacing w:after="0" w:line="86" w:lineRule="exact"/>
        <w:rPr>
          <w:sz w:val="24"/>
          <w:szCs w:val="24"/>
          <w:color w:val="auto"/>
        </w:rPr>
      </w:pPr>
    </w:p>
    <w:p>
      <w:pPr>
        <w:jc w:val="both"/>
        <w:ind w:left="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57" w:lineRule="exact"/>
        <w:rPr>
          <w:sz w:val="24"/>
          <w:szCs w:val="24"/>
          <w:color w:val="auto"/>
        </w:rPr>
      </w:pPr>
    </w:p>
    <w:p>
      <w:pPr>
        <w:ind w:left="2" w:right="198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No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As of September 3, 2019, there were 47,745,045 shares of issuer’s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553085</wp:posOffset>
            </wp:positionV>
            <wp:extent cx="6595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73025</wp:posOffset>
            </wp:positionV>
            <wp:extent cx="65951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115570</wp:posOffset>
            </wp:positionV>
            <wp:extent cx="659511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382"/>
          </w:cols>
          <w:pgMar w:left="758" w:top="665" w:right="7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gridSpan w:val="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0" w:type="dxa"/>
            <w:vAlign w:val="bottom"/>
            <w:gridSpan w:val="1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76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0" w:type="dxa"/>
            <w:vAlign w:val="bottom"/>
            <w:gridSpan w:val="15"/>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590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July 31, 2019, July 31, 2018 and January 31, 2019</w:t>
              </w:r>
            </w:hyperlink>
          </w:p>
        </w:tc>
        <w:tc>
          <w:tcPr>
            <w:tcW w:w="660" w:type="dxa"/>
            <w:vAlign w:val="bottom"/>
            <w:gridSpan w:val="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and Comprehensive Income (Loss) - For the Three and</w:t>
              </w:r>
            </w:hyperlink>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Six Months Ended July 31, 2019 and 2018 (Unaudited)</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gridSpan w:val="15"/>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Cash Flows - For the Six Months Ended July 31, 2019 and</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2018 (Unaudited)</w:t>
              </w:r>
            </w:hyperlink>
          </w:p>
        </w:tc>
        <w:tc>
          <w:tcPr>
            <w:tcW w:w="5680" w:type="dxa"/>
            <w:vAlign w:val="bottom"/>
            <w:tcBorders>
              <w:top w:val="single" w:sz="8" w:color="0000EE"/>
            </w:tcBorders>
            <w:gridSpan w:val="10"/>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8060" w:type="dxa"/>
            <w:vAlign w:val="bottom"/>
            <w:gridSpan w:val="2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tcBorders>
              <w:right w:val="single" w:sz="8" w:color="0000EE"/>
            </w:tcBorders>
            <w:gridSpan w:val="4"/>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806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3.  Quantitative and Qualitative Disclosures About Market Risk</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tcBorders>
              <w:right w:val="single" w:sz="8" w:color="0000EE"/>
            </w:tcBorders>
            <w:gridSpan w:val="4"/>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806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4.  Controls and Procedures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Part II</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0" w:type="dxa"/>
            <w:vAlign w:val="bottom"/>
            <w:gridSpan w:val="1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806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806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2.  Unregistered Sales of Equity Securities and Use of Proceeds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6.</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3760" w:type="dxa"/>
            <w:vAlign w:val="bottom"/>
            <w:tcBorders>
              <w:top w:val="single" w:sz="8" w:color="0000EE"/>
            </w:tcBorders>
            <w:gridSpan w:val="9"/>
          </w:tcPr>
          <w:p>
            <w:pPr>
              <w:spacing w:after="0"/>
              <w:rPr>
                <w:sz w:val="17"/>
                <w:szCs w:val="17"/>
                <w:color w:val="auto"/>
              </w:rPr>
            </w:pPr>
          </w:p>
        </w:tc>
        <w:tc>
          <w:tcPr>
            <w:tcW w:w="3040" w:type="dxa"/>
            <w:vAlign w:val="bottom"/>
            <w:gridSpan w:val="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4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July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July 31,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January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8"/>
          </w:tcPr>
          <w:p>
            <w:pPr>
              <w:jc w:val="right"/>
              <w:ind w:right="475"/>
              <w:spacing w:after="0"/>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42,306</w:t>
            </w:r>
          </w:p>
        </w:tc>
        <w:tc>
          <w:tcPr>
            <w:tcW w:w="2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Arial" w:cs="Arial" w:eastAsia="Arial" w:hAnsi="Arial"/>
                <w:sz w:val="17"/>
                <w:szCs w:val="17"/>
                <w:color w:val="auto"/>
              </w:rPr>
              <w:t>Accounts receivable, net of allowance for doubtful accounts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464,663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447,576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502,133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Inventories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842,136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678,571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Arial" w:cs="Arial" w:eastAsia="Arial" w:hAnsi="Arial"/>
                <w:sz w:val="17"/>
                <w:szCs w:val="17"/>
                <w:color w:val="auto"/>
              </w:rPr>
              <w:t>Prepaid income taxes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12,500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6,962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8,308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93,353</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100,688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Pr>
          <w:p>
            <w:pPr>
              <w:ind w:left="200"/>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1,452,220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1,276,103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1,253,895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affiliates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63,773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59,048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85,548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92,133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86,407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assets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309,421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Other assets, net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35,681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34,242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intangibles, net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40,444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44,193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Deferred income tax assets, net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25,253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28,360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Trademarks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439,409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440,878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439,742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Goodwill</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260,687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261,677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261,137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2,712,436</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2,236,634</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2,208,058</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1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Arial" w:cs="Arial" w:eastAsia="Arial" w:hAnsi="Arial"/>
                <w:sz w:val="17"/>
                <w:szCs w:val="17"/>
                <w:color w:val="auto"/>
              </w:rPr>
              <w:t>Income tax payable</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6,966</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8,859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Accounts payable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346,642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301,427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Arial" w:cs="Arial" w:eastAsia="Arial" w:hAnsi="Arial"/>
                <w:sz w:val="17"/>
                <w:szCs w:val="17"/>
                <w:color w:val="auto"/>
              </w:rPr>
              <w:t>Accrued expenses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89,137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95,464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102,841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Customer refund liabilities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179,078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204,360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243,589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Arial" w:cs="Arial" w:eastAsia="Arial" w:hAnsi="Arial"/>
                <w:sz w:val="17"/>
                <w:szCs w:val="17"/>
                <w:color w:val="auto"/>
              </w:rPr>
              <w:t>Current operating lease liabilities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74,297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notes payable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Arial" w:cs="Arial" w:eastAsia="Arial" w:hAnsi="Arial"/>
                <w:sz w:val="17"/>
                <w:szCs w:val="17"/>
                <w:color w:val="auto"/>
              </w:rPr>
              <w:t>Other current liabilities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697,228</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601,251</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Notes payable, net of discount and unamortized issuance costs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553,118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494,206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386,604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 net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15,393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Noncurrent operating lease liabilities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272,632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38,567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1,544,616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1,149,417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1,019,049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Stockholders' Equity</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Preferred stock; 1,000 shares authorized; no shares issued</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00" w:type="dxa"/>
            <w:vAlign w:val="bottom"/>
          </w:tcPr>
          <w:p>
            <w:pPr>
              <w:ind w:left="100"/>
              <w:spacing w:after="0" w:line="185" w:lineRule="exact"/>
              <w:rPr>
                <w:sz w:val="20"/>
                <w:szCs w:val="20"/>
                <w:color w:val="auto"/>
              </w:rPr>
            </w:pPr>
            <w:r>
              <w:rPr>
                <w:rFonts w:ascii="Arial" w:cs="Arial" w:eastAsia="Arial" w:hAnsi="Arial"/>
                <w:sz w:val="17"/>
                <w:szCs w:val="17"/>
                <w:color w:val="auto"/>
                <w:w w:val="95"/>
              </w:rPr>
              <w:t>Common stock - $0.01 par value; 120,000 shares authorized; 49,394,</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7"/>
                <w:szCs w:val="17"/>
                <w:color w:val="auto"/>
              </w:rPr>
              <w:t>49,238 and, 49,387 shares issued, respectively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Additional paid-in capital</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456,195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460,000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(16,848)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(13,587)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Retained earnings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772,463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640,774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758,881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00" w:type="dxa"/>
            <w:vAlign w:val="bottom"/>
          </w:tcPr>
          <w:p>
            <w:pPr>
              <w:ind w:left="100"/>
              <w:spacing w:after="0" w:line="185" w:lineRule="exact"/>
              <w:rPr>
                <w:sz w:val="20"/>
                <w:szCs w:val="20"/>
                <w:color w:val="auto"/>
              </w:rPr>
            </w:pPr>
            <w:r>
              <w:rPr>
                <w:rFonts w:ascii="Arial" w:cs="Arial" w:eastAsia="Arial" w:hAnsi="Arial"/>
                <w:sz w:val="17"/>
                <w:szCs w:val="17"/>
                <w:color w:val="auto"/>
                <w:w w:val="98"/>
              </w:rPr>
              <w:t>Common stock held in treasury, at cost - 1,649, 59 and 678 shares,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respectively</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(44,254)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(19,054)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1,167,820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1,087,217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1,189,009</w:t>
            </w:r>
          </w:p>
        </w:tc>
        <w:tc>
          <w:tcPr>
            <w:tcW w:w="0" w:type="dxa"/>
            <w:vAlign w:val="bottom"/>
          </w:tcPr>
          <w:p>
            <w:pPr>
              <w:spacing w:after="0"/>
              <w:rPr>
                <w:sz w:val="1"/>
                <w:szCs w:val="1"/>
                <w:color w:val="auto"/>
              </w:rPr>
            </w:pPr>
          </w:p>
        </w:tc>
      </w:tr>
      <w:tr>
        <w:trPr>
          <w:trHeight w:val="196"/>
        </w:trPr>
        <w:tc>
          <w:tcPr>
            <w:tcW w:w="5120" w:type="dxa"/>
            <w:vAlign w:val="bottom"/>
            <w:gridSpan w:val="2"/>
          </w:tcPr>
          <w:p>
            <w:pPr>
              <w:spacing w:after="0"/>
              <w:rPr>
                <w:sz w:val="20"/>
                <w:szCs w:val="20"/>
                <w:color w:val="auto"/>
              </w:rPr>
            </w:pPr>
            <w:r>
              <w:rPr>
                <w:rFonts w:ascii="Arial" w:cs="Arial" w:eastAsia="Arial" w:hAnsi="Arial"/>
                <w:sz w:val="17"/>
                <w:szCs w:val="17"/>
                <w:color w:val="auto"/>
              </w:rPr>
              <w:t>Total liabilities and stockholders' equity</w:t>
            </w:r>
          </w:p>
        </w:tc>
        <w:tc>
          <w:tcPr>
            <w:tcW w:w="2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2,712,436</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2,236,634</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2,208,058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 (LOSS)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Three Months Ended July 31,</w:t>
            </w:r>
          </w:p>
        </w:tc>
        <w:tc>
          <w:tcPr>
            <w:tcW w:w="120" w:type="dxa"/>
            <w:vAlign w:val="bottom"/>
          </w:tcPr>
          <w:p>
            <w:pPr>
              <w:spacing w:after="0"/>
              <w:rPr>
                <w:sz w:val="16"/>
                <w:szCs w:val="16"/>
                <w:color w:val="auto"/>
              </w:rPr>
            </w:pPr>
          </w:p>
        </w:tc>
        <w:tc>
          <w:tcPr>
            <w:tcW w:w="192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w w:val="96"/>
              </w:rPr>
              <w:t>Six Months Ended July 31,</w:t>
            </w:r>
          </w:p>
        </w:tc>
      </w:tr>
      <w:tr>
        <w:trPr>
          <w:trHeight w:val="26"/>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r>
      <w:tr>
        <w:trPr>
          <w:trHeight w:val="190"/>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3"/>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gridSpan w:val="8"/>
          </w:tcPr>
          <w:p>
            <w:pPr>
              <w:jc w:val="right"/>
              <w:spacing w:after="0"/>
              <w:rPr>
                <w:sz w:val="20"/>
                <w:szCs w:val="20"/>
                <w:color w:val="auto"/>
              </w:rPr>
            </w:pPr>
            <w:r>
              <w:rPr>
                <w:rFonts w:ascii="Arial" w:cs="Arial" w:eastAsia="Arial" w:hAnsi="Arial"/>
                <w:sz w:val="14"/>
                <w:szCs w:val="14"/>
                <w:b w:val="1"/>
                <w:bCs w:val="1"/>
                <w:color w:val="auto"/>
              </w:rPr>
              <w:t>(In thousands, except per share amounts)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6"/>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643,892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1,277,444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1,236,441</w:t>
            </w:r>
          </w:p>
        </w:tc>
      </w:tr>
      <w:tr>
        <w:trPr>
          <w:trHeight w:val="216"/>
        </w:trPr>
        <w:tc>
          <w:tcPr>
            <w:tcW w:w="46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412,123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393,154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809,611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770,370</w:t>
            </w:r>
          </w:p>
        </w:tc>
      </w:tr>
      <w:tr>
        <w:trPr>
          <w:trHeight w:val="210"/>
        </w:trPr>
        <w:tc>
          <w:tcPr>
            <w:tcW w:w="12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231,769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466,071</w:t>
            </w:r>
          </w:p>
        </w:tc>
      </w:tr>
      <w:tr>
        <w:trPr>
          <w:trHeight w:val="216"/>
        </w:trPr>
        <w:tc>
          <w:tcPr>
            <w:tcW w:w="460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196,448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198,860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398,307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400,931</w:t>
            </w:r>
          </w:p>
        </w:tc>
      </w:tr>
      <w:tr>
        <w:trPr>
          <w:trHeight w:val="216"/>
        </w:trPr>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18,835</w:t>
            </w:r>
          </w:p>
        </w:tc>
      </w:tr>
      <w:tr>
        <w:trPr>
          <w:trHeight w:val="216"/>
        </w:trPr>
        <w:tc>
          <w:tcPr>
            <w:tcW w:w="4600" w:type="dxa"/>
            <w:vAlign w:val="bottom"/>
            <w:gridSpan w:val="4"/>
          </w:tcPr>
          <w:p>
            <w:pPr>
              <w:spacing w:after="0"/>
              <w:rPr>
                <w:sz w:val="20"/>
                <w:szCs w:val="20"/>
                <w:color w:val="auto"/>
              </w:rPr>
            </w:pPr>
            <w:r>
              <w:rPr>
                <w:rFonts w:ascii="Arial" w:cs="Arial" w:eastAsia="Arial" w:hAnsi="Arial"/>
                <w:sz w:val="18"/>
                <w:szCs w:val="18"/>
                <w:color w:val="auto"/>
              </w:rPr>
              <w:t>Gain on lease terminations</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(1,393)</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(2,222)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Operating profit</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46,305</w:t>
            </w:r>
          </w:p>
        </w:tc>
      </w:tr>
      <w:tr>
        <w:trPr>
          <w:trHeight w:val="216"/>
        </w:trPr>
        <w:tc>
          <w:tcPr>
            <w:tcW w:w="4600" w:type="dxa"/>
            <w:vAlign w:val="bottom"/>
            <w:gridSpan w:val="4"/>
          </w:tcPr>
          <w:p>
            <w:pPr>
              <w:spacing w:after="0"/>
              <w:rPr>
                <w:sz w:val="20"/>
                <w:szCs w:val="20"/>
                <w:color w:val="auto"/>
              </w:rPr>
            </w:pPr>
            <w:r>
              <w:rPr>
                <w:rFonts w:ascii="Arial" w:cs="Arial" w:eastAsia="Arial" w:hAnsi="Arial"/>
                <w:sz w:val="18"/>
                <w:szCs w:val="18"/>
                <w:color w:val="auto"/>
              </w:rPr>
              <w:t>Other loss</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(751)</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(1,399)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16"/>
        </w:trPr>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and financing charges, net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(10,785)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(10,210)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(21,105)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(19,830)</w:t>
            </w:r>
          </w:p>
        </w:tc>
      </w:tr>
      <w:tr>
        <w:trPr>
          <w:trHeight w:val="210"/>
        </w:trPr>
        <w:tc>
          <w:tcPr>
            <w:tcW w:w="120" w:type="dxa"/>
            <w:vAlign w:val="bottom"/>
          </w:tcPr>
          <w:p>
            <w:pPr>
              <w:spacing w:after="0"/>
              <w:rPr>
                <w:sz w:val="18"/>
                <w:szCs w:val="18"/>
                <w:color w:val="auto"/>
              </w:rPr>
            </w:pPr>
          </w:p>
        </w:tc>
        <w:tc>
          <w:tcPr>
            <w:tcW w:w="4480" w:type="dxa"/>
            <w:vAlign w:val="bottom"/>
            <w:gridSpan w:val="3"/>
          </w:tcPr>
          <w:p>
            <w:pPr>
              <w:ind w:left="10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15,389</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29,982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25,996</w:t>
            </w:r>
          </w:p>
        </w:tc>
      </w:tr>
      <w:tr>
        <w:trPr>
          <w:trHeight w:val="216"/>
        </w:trPr>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w:t>
            </w:r>
          </w:p>
        </w:tc>
      </w:tr>
      <w:tr>
        <w:trPr>
          <w:trHeight w:val="250"/>
        </w:trPr>
        <w:tc>
          <w:tcPr>
            <w:tcW w:w="46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11,119</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19,962</w:t>
            </w:r>
          </w:p>
        </w:tc>
      </w:tr>
      <w:tr>
        <w:trPr>
          <w:trHeight w:val="197"/>
        </w:trPr>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4600" w:type="dxa"/>
            <w:vAlign w:val="bottom"/>
            <w:gridSpan w:val="4"/>
          </w:tcPr>
          <w:p>
            <w:pPr>
              <w:spacing w:after="0"/>
              <w:rPr>
                <w:sz w:val="20"/>
                <w:szCs w:val="20"/>
                <w:color w:val="auto"/>
              </w:rPr>
            </w:pPr>
            <w:r>
              <w:rPr>
                <w:rFonts w:ascii="Arial" w:cs="Arial" w:eastAsia="Arial" w:hAnsi="Arial"/>
                <w:sz w:val="18"/>
                <w:szCs w:val="18"/>
                <w:b w:val="1"/>
                <w:bCs w:val="1"/>
                <w:color w:val="auto"/>
              </w:rPr>
              <w:t>NET INCOME PER COMMON SHARE: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76"/>
        </w:trPr>
        <w:tc>
          <w:tcPr>
            <w:tcW w:w="120" w:type="dxa"/>
            <w:vAlign w:val="bottom"/>
            <w:shd w:val="clear" w:color="auto" w:fill="CCEEFF"/>
          </w:tcPr>
          <w:p>
            <w:pPr>
              <w:spacing w:after="0"/>
              <w:rPr>
                <w:sz w:val="15"/>
                <w:szCs w:val="15"/>
                <w:color w:val="auto"/>
              </w:rPr>
            </w:pPr>
          </w:p>
        </w:tc>
        <w:tc>
          <w:tcPr>
            <w:tcW w:w="44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256"/>
        </w:trPr>
        <w:tc>
          <w:tcPr>
            <w:tcW w:w="120" w:type="dxa"/>
            <w:vAlign w:val="bottom"/>
            <w:tcBorders>
              <w:bottom w:val="single" w:sz="8" w:color="CCEEFF"/>
            </w:tcBorders>
          </w:tcPr>
          <w:p>
            <w:pPr>
              <w:spacing w:after="0"/>
              <w:rPr>
                <w:sz w:val="22"/>
                <w:szCs w:val="22"/>
                <w:color w:val="auto"/>
              </w:rPr>
            </w:pPr>
          </w:p>
        </w:tc>
        <w:tc>
          <w:tcPr>
            <w:tcW w:w="448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Net income per common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r>
      <w:tr>
        <w:trPr>
          <w:trHeight w:val="197"/>
        </w:trPr>
        <w:tc>
          <w:tcPr>
            <w:tcW w:w="120" w:type="dxa"/>
            <w:vAlign w:val="bottom"/>
            <w:tcBorders>
              <w:bottom w:val="single" w:sz="8" w:color="CCEEFF"/>
            </w:tcBorders>
            <w:shd w:val="clear" w:color="auto" w:fill="CCEEFF"/>
          </w:tcPr>
          <w:p>
            <w:pPr>
              <w:spacing w:after="0"/>
              <w:rPr>
                <w:sz w:val="17"/>
                <w:szCs w:val="17"/>
                <w:color w:val="auto"/>
              </w:rPr>
            </w:pPr>
          </w:p>
        </w:tc>
        <w:tc>
          <w:tcPr>
            <w:tcW w:w="4480" w:type="dxa"/>
            <w:vAlign w:val="bottom"/>
            <w:tcBorders>
              <w:bottom w:val="single" w:sz="8" w:color="CCEEFF"/>
            </w:tcBorders>
            <w:gridSpan w:val="3"/>
            <w:shd w:val="clear" w:color="auto" w:fill="CCEEFF"/>
          </w:tcPr>
          <w:p>
            <w:pPr>
              <w:ind w:left="100"/>
              <w:spacing w:after="0" w:line="196" w:lineRule="exact"/>
              <w:rPr>
                <w:sz w:val="20"/>
                <w:szCs w:val="20"/>
                <w:color w:val="auto"/>
              </w:rPr>
            </w:pPr>
            <w:r>
              <w:rPr>
                <w:rFonts w:ascii="Arial" w:cs="Arial" w:eastAsia="Arial" w:hAnsi="Arial"/>
                <w:sz w:val="18"/>
                <w:szCs w:val="18"/>
                <w:color w:val="auto"/>
              </w:rPr>
              <w:t>Weighted average number of shares outstanding</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48,450</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49,169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48,619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49,148</w:t>
            </w: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120" w:type="dxa"/>
            <w:vAlign w:val="bottom"/>
            <w:shd w:val="clear" w:color="auto" w:fill="CCEEFF"/>
          </w:tcPr>
          <w:p>
            <w:pPr>
              <w:spacing w:after="0"/>
              <w:rPr>
                <w:sz w:val="15"/>
                <w:szCs w:val="15"/>
                <w:color w:val="auto"/>
              </w:rPr>
            </w:pPr>
          </w:p>
        </w:tc>
        <w:tc>
          <w:tcPr>
            <w:tcW w:w="44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256"/>
        </w:trPr>
        <w:tc>
          <w:tcPr>
            <w:tcW w:w="120" w:type="dxa"/>
            <w:vAlign w:val="bottom"/>
            <w:tcBorders>
              <w:bottom w:val="single" w:sz="8" w:color="CCEEFF"/>
            </w:tcBorders>
          </w:tcPr>
          <w:p>
            <w:pPr>
              <w:spacing w:after="0"/>
              <w:rPr>
                <w:sz w:val="22"/>
                <w:szCs w:val="22"/>
                <w:color w:val="auto"/>
              </w:rPr>
            </w:pPr>
          </w:p>
        </w:tc>
        <w:tc>
          <w:tcPr>
            <w:tcW w:w="448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Net income per common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r>
      <w:tr>
        <w:trPr>
          <w:trHeight w:val="197"/>
        </w:trPr>
        <w:tc>
          <w:tcPr>
            <w:tcW w:w="120" w:type="dxa"/>
            <w:vAlign w:val="bottom"/>
            <w:tcBorders>
              <w:bottom w:val="single" w:sz="8" w:color="CCEEFF"/>
            </w:tcBorders>
            <w:shd w:val="clear" w:color="auto" w:fill="CCEEFF"/>
          </w:tcPr>
          <w:p>
            <w:pPr>
              <w:spacing w:after="0"/>
              <w:rPr>
                <w:sz w:val="17"/>
                <w:szCs w:val="17"/>
                <w:color w:val="auto"/>
              </w:rPr>
            </w:pPr>
          </w:p>
        </w:tc>
        <w:tc>
          <w:tcPr>
            <w:tcW w:w="4480" w:type="dxa"/>
            <w:vAlign w:val="bottom"/>
            <w:tcBorders>
              <w:bottom w:val="single" w:sz="8" w:color="CCEEFF"/>
            </w:tcBorders>
            <w:gridSpan w:val="3"/>
            <w:shd w:val="clear" w:color="auto" w:fill="CCEEFF"/>
          </w:tcPr>
          <w:p>
            <w:pPr>
              <w:ind w:left="100"/>
              <w:spacing w:after="0" w:line="196" w:lineRule="exact"/>
              <w:rPr>
                <w:sz w:val="20"/>
                <w:szCs w:val="20"/>
                <w:color w:val="auto"/>
              </w:rPr>
            </w:pPr>
            <w:r>
              <w:rPr>
                <w:rFonts w:ascii="Arial" w:cs="Arial" w:eastAsia="Arial" w:hAnsi="Arial"/>
                <w:sz w:val="18"/>
                <w:szCs w:val="18"/>
                <w:color w:val="auto"/>
              </w:rPr>
              <w:t>Weighted average number of shares outstanding</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49,116</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50,415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49,436</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50,272</w:t>
            </w: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4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19,962</w:t>
            </w:r>
          </w:p>
        </w:tc>
      </w:tr>
      <w:tr>
        <w:trPr>
          <w:trHeight w:val="216"/>
        </w:trPr>
        <w:tc>
          <w:tcPr>
            <w:tcW w:w="4600" w:type="dxa"/>
            <w:vAlign w:val="bottom"/>
            <w:gridSpan w:val="4"/>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4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w:t>
            </w:r>
          </w:p>
        </w:tc>
      </w:tr>
      <w:tr>
        <w:trPr>
          <w:trHeight w:val="210"/>
        </w:trPr>
        <w:tc>
          <w:tcPr>
            <w:tcW w:w="46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(8,065)</w:t>
            </w:r>
          </w:p>
        </w:tc>
      </w:tr>
      <w:tr>
        <w:trPr>
          <w:trHeight w:val="210"/>
        </w:trPr>
        <w:tc>
          <w:tcPr>
            <w:tcW w:w="46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11,897</w:t>
            </w: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4"/>
                <w:szCs w:val="14"/>
                <w:b w:val="1"/>
                <w:bCs w:val="1"/>
                <w:color w:val="auto"/>
                <w:w w:val="93"/>
              </w:rPr>
              <w:t>Six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0"/>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gridSpan w:val="4"/>
          </w:tcPr>
          <w:p>
            <w:pPr>
              <w:jc w:val="center"/>
              <w:ind w:right="50"/>
              <w:spacing w:after="0" w:line="119"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jc w:val="center"/>
              <w:ind w:right="5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23,162</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disposal of fixed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Non-cash operating lease costs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lease terminations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Dividend received from unconsolidated affiliate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(gain)/loss in unconsolidated affiliates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financing charges and debt discount amortization</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(265,753)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20"/>
              <w:spacing w:after="0"/>
              <w:rPr>
                <w:sz w:val="20"/>
                <w:szCs w:val="20"/>
                <w:color w:val="auto"/>
              </w:rPr>
            </w:pPr>
            <w:r>
              <w:rPr>
                <w:rFonts w:ascii="Arial" w:cs="Arial" w:eastAsia="Arial" w:hAnsi="Arial"/>
                <w:sz w:val="18"/>
                <w:szCs w:val="18"/>
                <w:color w:val="auto"/>
              </w:rPr>
              <w:t>Customer refund liabilities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(64,512)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lease liabilities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Accounts payable, accrued expenses and other liabilities</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108,838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(132,907)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Arial" w:cs="Arial" w:eastAsia="Arial" w:hAnsi="Arial"/>
                <w:sz w:val="18"/>
                <w:szCs w:val="18"/>
                <w:color w:val="auto"/>
              </w:rPr>
              <w:t>Operating lease assets initial direct costs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expenditures</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Repayment of borrowings - revolving facility</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(942,973)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Arial" w:cs="Arial" w:eastAsia="Arial" w:hAnsi="Arial"/>
                <w:sz w:val="18"/>
                <w:szCs w:val="18"/>
                <w:color w:val="auto"/>
              </w:rPr>
              <w:t>Proceeds from borrowings - revolving facility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1,102,973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999,143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Repayment of borrowings - unsecured term loan</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Arial" w:cs="Arial" w:eastAsia="Arial" w:hAnsi="Arial"/>
                <w:sz w:val="18"/>
                <w:szCs w:val="18"/>
                <w:color w:val="auto"/>
              </w:rPr>
              <w:t>Proceeds from borrowings - unsecured term loan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exercise of equity awards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Arial" w:cs="Arial" w:eastAsia="Arial" w:hAnsi="Arial"/>
                <w:sz w:val="18"/>
                <w:szCs w:val="18"/>
                <w:color w:val="auto"/>
              </w:rPr>
              <w:t>Purchase of treasury shares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Taxes paid for net share settlements</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120,771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adjustments</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decrease in cash and cash equivalents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70,138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Arial" w:cs="Arial" w:eastAsia="Arial" w:hAnsi="Arial"/>
                <w:sz w:val="18"/>
                <w:szCs w:val="18"/>
                <w:color w:val="auto"/>
              </w:rPr>
              <w:t>Cash payments: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15,735</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Income tax payments, net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12,791</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18,465</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 Basis of Presentation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consolidates the accounts of its wholly-owned and majority-owned subsidiaries. KL North America B.V. (“KLNA”) and Fabco Holding B.V. (“Fabco”) are Dutch joint venture limited liability companies that are 49% owned by the Company. Karl Lagerfeld Holding B.V. (“KLH”) is a Dutch limited liability company that is 19% owned by the Company. These investments are accounted for using the equity method of accounting. All material intercompany balances and transactions have been eliminated.</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Vilebrequin International SA (“Vilebrequin”), a Swiss corporation that is wholly-owned by the Company, KLH, KLNA and Fabco report results on a calendar year basis rather than on the January 31 fiscal year basis used by the Company. Accordingly, the results of Vilebrequin, KLH, KLNA and Fabco are, and will be, included in the financial statements for the quarter ended or ending closest to the Company’s fiscal quarter end. For example, with respect to the Company’s results for the six-month period ended July 31, 2019, the results of Vilebrequin, KLH, KLNA and Fabco are included for the six-month period ended June 30, 2019. The Company’s retail operations segment reports on a 52/53-week fiscal year. The Company’s three and six-month periods ended July 31, 2019 and 2018 were each a 13-week fiscal quarter and 26-week period, respectively, for the retail operations segment. For fiscal 2020 and 2019, the three and six-month periods for the retail operations segment ended on August 3, 2019 and August 4, 2018, respectively.</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results for the three and six-month periods ended July 31, 2019 are not necessarily indicative of the results expected for the entire fiscal year, given the seasonal nature of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financial statements should be read in conjunction with the financial statements and notes included in the Company’s Annual Report on Form 10-K for the fiscal year ended January 31, 2019 filed with the Securities and Exchange Commission (the “SEC”).</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Assets and liabilities of the Company’s foreign operations, where the functional currency is not the U.S. Dollar (reporting currency), are translated from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 Inventories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Wholesale inventories, which comprise a significant portion of the Company’s inventory, are stated at the lower of cost (determined by the first-in, first-out method) or net realizable value. Retail inventories are valued at the lower of cost or market as determined by the retail inventory method. Vilebrequin inventories are stated at the lower of cost (determined by the weighted average method) or net realizable value. Substantially all of the Company’s inventories consist of finished goods.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inventory return asset, which consists of the amount of goods that are anticipated to be returned by customers, represented $24.8 million, $36.2 million and $42.4 million as of July 31, 2019, July 31, 2018 and January 31, 2019 respectively. The inventory return asset is recorded within prepaid expenses and other current assets.</w:t>
      </w:r>
    </w:p>
    <w:p>
      <w:pPr>
        <w:spacing w:after="0" w:line="16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Inventory held on consignment by the Company’s customers totaled $3.9 million, $3.7 million and $4.9 million at July 31, 2019, July 31, 2018 and January 31, 2019, respectively. Consignment inventory is stored at the facilities of the Company’s customers. The Company reflects this inventory on its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 Fair Value of Financial Instruments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158" w:lineRule="exact"/>
        <w:rPr>
          <w:sz w:val="20"/>
          <w:szCs w:val="20"/>
          <w:color w:val="auto"/>
        </w:rPr>
      </w:pPr>
    </w:p>
    <w:p>
      <w:pPr>
        <w:ind w:left="680" w:hanging="320"/>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based on quoted prices (unadjusted) for identical assets or liabilities in active markets.</w:t>
      </w:r>
    </w:p>
    <w:p>
      <w:pPr>
        <w:spacing w:after="0" w:line="170" w:lineRule="exact"/>
        <w:rPr>
          <w:rFonts w:ascii="Arial" w:cs="Arial" w:eastAsia="Arial" w:hAnsi="Arial"/>
          <w:sz w:val="18"/>
          <w:szCs w:val="18"/>
          <w:color w:val="auto"/>
        </w:rPr>
      </w:pPr>
    </w:p>
    <w:p>
      <w:pPr>
        <w:jc w:val="both"/>
        <w:ind w:left="680" w:hanging="320"/>
        <w:spacing w:after="0" w:line="259"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186" w:lineRule="exact"/>
        <w:rPr>
          <w:rFonts w:ascii="Arial" w:cs="Arial" w:eastAsia="Arial" w:hAnsi="Arial"/>
          <w:sz w:val="18"/>
          <w:szCs w:val="18"/>
          <w:color w:val="auto"/>
        </w:rPr>
      </w:pPr>
    </w:p>
    <w:p>
      <w:pPr>
        <w:ind w:left="680" w:right="20" w:hanging="320"/>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based on unobservable prices or valuation techniques that are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carrying values and the estimated fair values of the Company’s debt instruments: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Carrying Value</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Instrument</w:t>
            </w: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88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rPr>
              <w:t>July 31,</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July 31,</w:t>
            </w: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40" w:type="dxa"/>
            <w:vAlign w:val="bottom"/>
          </w:tcPr>
          <w:p>
            <w:pPr>
              <w:spacing w:after="0"/>
              <w:rPr>
                <w:sz w:val="10"/>
                <w:szCs w:val="10"/>
                <w:color w:val="auto"/>
              </w:rPr>
            </w:pPr>
          </w:p>
        </w:tc>
        <w:tc>
          <w:tcPr>
            <w:tcW w:w="920" w:type="dxa"/>
            <w:vAlign w:val="bottom"/>
          </w:tcPr>
          <w:p>
            <w:pPr>
              <w:jc w:val="right"/>
              <w:ind w:right="137"/>
              <w:spacing w:after="0" w:line="119" w:lineRule="exact"/>
              <w:rPr>
                <w:sz w:val="20"/>
                <w:szCs w:val="20"/>
                <w:color w:val="auto"/>
              </w:rPr>
            </w:pPr>
            <w:r>
              <w:rPr>
                <w:rFonts w:ascii="Arial" w:cs="Arial" w:eastAsia="Arial" w:hAnsi="Arial"/>
                <w:sz w:val="13"/>
                <w:szCs w:val="13"/>
                <w:b w:val="1"/>
                <w:bCs w:val="1"/>
                <w:color w:val="auto"/>
              </w:rPr>
              <w:t>July 31,</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July 31,</w:t>
            </w: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80" w:type="dxa"/>
            <w:vAlign w:val="bottom"/>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920" w:type="dxa"/>
            <w:vAlign w:val="bottom"/>
          </w:tcPr>
          <w:p>
            <w:pPr>
              <w:jc w:val="right"/>
              <w:ind w:right="21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920" w:type="dxa"/>
            <w:vAlign w:val="bottom"/>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940" w:type="dxa"/>
            <w:vAlign w:val="bottom"/>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3"/>
          </w:tcPr>
          <w:p>
            <w:pPr>
              <w:jc w:val="right"/>
              <w:ind w:right="457"/>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300,000</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  300,000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300,000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300,000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300,000</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160,000</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111,426</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160,000</w:t>
            </w:r>
          </w:p>
        </w:tc>
        <w:tc>
          <w:tcPr>
            <w:tcW w:w="960" w:type="dxa"/>
            <w:vAlign w:val="bottom"/>
          </w:tcPr>
          <w:p>
            <w:pPr>
              <w:jc w:val="right"/>
              <w:spacing w:after="0"/>
              <w:rPr>
                <w:sz w:val="20"/>
                <w:szCs w:val="20"/>
                <w:color w:val="auto"/>
              </w:rPr>
            </w:pPr>
            <w:r>
              <w:rPr>
                <w:rFonts w:ascii="Arial" w:cs="Arial" w:eastAsia="Arial" w:hAnsi="Arial"/>
                <w:sz w:val="18"/>
                <w:szCs w:val="18"/>
                <w:color w:val="auto"/>
              </w:rPr>
              <w:t>111,426</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issued to LVMH</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99,266</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94,100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96,618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88,608</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Unsecured loan</w:t>
            </w: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3,243</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3,243</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debt instruments are recorded at their carrying values in its condensed consolidated balance sheets, which may differ from their respective fair values.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2% note issued to LVMH Moet Hennessy Louis Vuitton Inc. (“LVMH”) in connection with the acquisition of Donna Karan International (“DKI”) was issued at a discount of $40.0 million in accordance with Accounting Standards Codification (“ASC”) 820 – </w:t>
      </w:r>
      <w:r>
        <w:rPr>
          <w:rFonts w:ascii="Arial" w:cs="Arial" w:eastAsia="Arial" w:hAnsi="Arial"/>
          <w:sz w:val="17"/>
          <w:szCs w:val="17"/>
          <w:i w:val="1"/>
          <w:iCs w:val="1"/>
          <w:color w:val="auto"/>
        </w:rPr>
        <w:t>Fair Value Measurements</w:t>
      </w:r>
      <w:r>
        <w:rPr>
          <w:rFonts w:ascii="Arial" w:cs="Arial" w:eastAsia="Arial" w:hAnsi="Arial"/>
          <w:sz w:val="17"/>
          <w:szCs w:val="17"/>
          <w:color w:val="auto"/>
        </w:rPr>
        <w:t>. For purposes of this fair value disclosure, the Company based its fair value estimate for the note issued to LVMH on the initial fair value as determined at the date of the acquisition of DKI and records the amortization using the effective interest method over the term of the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Non-Financial Assets and Liabilities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Company’s non-financial assets, which primarily consist of operating lease assets, goodwill, other intangible assets and property and equipment, are not required to be measured at fair value on a recurring basis and are reported at carrying value. However, whenever events or changes in circumstances indicate that their carrying value may not be fully recoverable (and at least annually for goodwill and indefinite-lived intangible assets), non-financial instruments are assessed for impairment and, if applicable, written down to and recorded at fair value, considering external market participant assumptions. During the first quarter of fiscal 2020, the Company recorded an impairment of $9.6 million, net of tax, in connection with the adoption of ASC 842 –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that was recognized through retained earnings.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 Leases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1, 2019, the Company adopted ASC 842 using the optional transition method to apply the standard as of the effective date and, therefore, the standard has not been applied retroactively to the comparative periods presented in its financial statements. The Company has elected the transition package of three practical expedients permitted within the standard, which eliminates the requirements to reassess prior conclusions about lease identification, lease classification and initial direct costs. The hindsight practical expedient, which permits the use of hindsight when determining lease term and impairment of right-of-use assets, has not been elected. Further, the Company elected the short-term lease exception policy, permitting it to not apply the recognition requirements of this standard to short-term leases (i.e. leases with terms of 12 months or less) and an accounting policy to account for lease and non-lease components as a single component.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whether an arrangement is, or contains, a lease at contract inception. The Company leases certain retail stores, warehouses, distribution centers, office space and equipment. Leases with an initial term of 12 months or less are not recorded on the balance sheet. The Company recognizes lease expense for these leases on a straight-line basis over the lease term.</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Total rent payable is recorded during the lease term, including rent escalations in which the amount of future rent is certain or fixed on the straight-line basis over the term of the lease (including any rent holiday periods beginning upon control of the premises and any fixed payments stated in the lease). For leases with an initial term greater than 12 months, a lease liability is recorded on the balance sheet at the present value of future payments discounted at the incremental borrowing rate (discount rate) corresponding with the lease term. An operating lease asset is recorded based on the initial amount of the lease liability, plus any lease payments made to the lessor before or at the lease commencement date and any initial direct costs incurred, less any tenant improvement allowance incentives received. The difference between the minimum rents paid and the straight-line rent (deferred rent) is reflected within the associated operating lease asset.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lease classification evaluation begins at the commencement date. The lease term used in the evaluation includes the non-cancellable period for which the Company has the right to use the underlying asset, together with renewal option periods when the exercise of the renewal option is reasonably certain or the failure to exercise such option would result in an economic penalty. All retail store, warehouse, distribution center and office leases are classified as operating leases. The Company does not have any finance leases. Operating lease expense is generally recognized on a straight-line basis over the lease term.</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Certain leases contain provisions that require contingent rent payments based upon sales volume (variable lease cost).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Contingent rent is accrued each period as the liabilities are incurred.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sectPr>
          <w:pgSz w:w="11900" w:h="16838" w:orient="portrait"/>
          <w:cols w:equalWidth="0" w:num="1">
            <w:col w:w="9060"/>
          </w:cols>
          <w:pgMar w:left="1420" w:top="517"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assets and liabilities as of July 31, 2019 consist of the following: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Leases</w:t>
            </w: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340" w:type="dxa"/>
            <w:vAlign w:val="bottom"/>
          </w:tcPr>
          <w:p>
            <w:pPr>
              <w:spacing w:after="0"/>
              <w:rPr>
                <w:sz w:val="14"/>
                <w:szCs w:val="14"/>
                <w:color w:val="auto"/>
              </w:rPr>
            </w:pPr>
          </w:p>
        </w:tc>
        <w:tc>
          <w:tcPr>
            <w:tcW w:w="1700" w:type="dxa"/>
            <w:vAlign w:val="bottom"/>
          </w:tcPr>
          <w:p>
            <w:pPr>
              <w:jc w:val="right"/>
              <w:ind w:right="535"/>
              <w:spacing w:after="0"/>
              <w:rPr>
                <w:sz w:val="20"/>
                <w:szCs w:val="20"/>
                <w:color w:val="auto"/>
              </w:rPr>
            </w:pPr>
            <w:r>
              <w:rPr>
                <w:rFonts w:ascii="Arial" w:cs="Arial" w:eastAsia="Arial" w:hAnsi="Arial"/>
                <w:sz w:val="14"/>
                <w:szCs w:val="14"/>
                <w:b w:val="1"/>
                <w:bCs w:val="1"/>
                <w:color w:val="auto"/>
              </w:rPr>
              <w:t>July 31, 2019</w:t>
            </w:r>
          </w:p>
        </w:tc>
      </w:tr>
      <w:tr>
        <w:trPr>
          <w:trHeight w:val="142"/>
        </w:trPr>
        <w:tc>
          <w:tcPr>
            <w:tcW w:w="28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5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3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Operating</w:t>
            </w: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lease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309,421</w:t>
            </w:r>
          </w:p>
        </w:tc>
      </w:tr>
      <w:tr>
        <w:trPr>
          <w:trHeight w:val="210"/>
        </w:trPr>
        <w:tc>
          <w:tcPr>
            <w:tcW w:w="3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assets</w:t>
            </w:r>
          </w:p>
        </w:tc>
        <w:tc>
          <w:tcPr>
            <w:tcW w:w="35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309,421</w:t>
            </w:r>
          </w:p>
        </w:tc>
      </w:tr>
      <w:tr>
        <w:trPr>
          <w:trHeight w:val="20"/>
        </w:trPr>
        <w:tc>
          <w:tcPr>
            <w:tcW w:w="2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7"/>
        </w:trPr>
        <w:tc>
          <w:tcPr>
            <w:tcW w:w="2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3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3180" w:type="dxa"/>
            <w:vAlign w:val="bottom"/>
            <w:gridSpan w:val="2"/>
          </w:tcPr>
          <w:p>
            <w:pPr>
              <w:ind w:left="120"/>
              <w:spacing w:after="0"/>
              <w:rPr>
                <w:sz w:val="20"/>
                <w:szCs w:val="20"/>
                <w:color w:val="auto"/>
              </w:rPr>
            </w:pPr>
            <w:r>
              <w:rPr>
                <w:rFonts w:ascii="Arial" w:cs="Arial" w:eastAsia="Arial" w:hAnsi="Arial"/>
                <w:sz w:val="18"/>
                <w:szCs w:val="18"/>
                <w:color w:val="auto"/>
              </w:rPr>
              <w:t>Current operating</w:t>
            </w:r>
          </w:p>
        </w:tc>
        <w:tc>
          <w:tcPr>
            <w:tcW w:w="3840" w:type="dxa"/>
            <w:vAlign w:val="bottom"/>
            <w:gridSpan w:val="2"/>
          </w:tcPr>
          <w:p>
            <w:pPr>
              <w:spacing w:after="0"/>
              <w:rPr>
                <w:sz w:val="20"/>
                <w:szCs w:val="20"/>
                <w:color w:val="auto"/>
              </w:rPr>
            </w:pPr>
            <w:r>
              <w:rPr>
                <w:rFonts w:ascii="Arial" w:cs="Arial" w:eastAsia="Arial" w:hAnsi="Arial"/>
                <w:sz w:val="18"/>
                <w:szCs w:val="18"/>
                <w:color w:val="auto"/>
              </w:rPr>
              <w:t>Current operating lease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74,297</w:t>
            </w:r>
          </w:p>
        </w:tc>
      </w:tr>
      <w:tr>
        <w:trPr>
          <w:trHeight w:val="216"/>
        </w:trPr>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Noncurrent operating</w:t>
            </w: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272,632</w:t>
            </w:r>
          </w:p>
        </w:tc>
      </w:tr>
      <w:tr>
        <w:trPr>
          <w:trHeight w:val="210"/>
        </w:trPr>
        <w:tc>
          <w:tcPr>
            <w:tcW w:w="318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3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346,929</w:t>
            </w:r>
          </w:p>
        </w:tc>
      </w:tr>
      <w:tr>
        <w:trPr>
          <w:trHeight w:val="20"/>
        </w:trPr>
        <w:tc>
          <w:tcPr>
            <w:tcW w:w="2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leases do not provide the rate of interest implicit in the lease. Therefore, the Company uses its incremental borrowing rate based on the information available at commencement date in determining the present value of lease payments. For transition purposes, the incremental borrowing rate on February 1, 2019 was used for operating leases that commenced prior to that date.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lease costs of $24.9 million and $49.9 million during the three and six months ended July 31, 2019, respectively. Lease costs are recorded within selling, general and administrative expenses in the Company’s condensed consolidated statements of income and comprehensive income. The Company recorded variable lease costs and short-term lease costs of $2.7 million and $5.0 million for the three and six months ended July 31, 2019, respectively. Short-term lease costs are immaterial.</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July 31, 2019, the Company’s maturity of operating lease liabilities in the years ending up to January 31, 2024 and thereafter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20"/>
                <w:szCs w:val="20"/>
                <w:color w:val="auto"/>
              </w:rPr>
            </w:pPr>
            <w:r>
              <w:rPr>
                <w:rFonts w:ascii="Arial" w:cs="Arial" w:eastAsia="Arial" w:hAnsi="Arial"/>
                <w:sz w:val="14"/>
                <w:szCs w:val="14"/>
                <w:b w:val="1"/>
                <w:bCs w:val="1"/>
                <w:color w:val="auto"/>
              </w:rPr>
              <w:t>Year Ending January 31,</w:t>
            </w:r>
          </w:p>
        </w:tc>
        <w:tc>
          <w:tcPr>
            <w:tcW w:w="4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Amount</w:t>
            </w:r>
          </w:p>
        </w:tc>
      </w:tr>
      <w:tr>
        <w:trPr>
          <w:trHeight w:val="142"/>
        </w:trPr>
        <w:tc>
          <w:tcPr>
            <w:tcW w:w="6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tcPr>
          <w:p>
            <w:pPr>
              <w:jc w:val="right"/>
              <w:ind w:right="713"/>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88,868</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66,147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52,795</w:t>
            </w:r>
          </w:p>
        </w:tc>
      </w:tr>
      <w:tr>
        <w:trPr>
          <w:trHeight w:val="216"/>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2024</w:t>
            </w:r>
          </w:p>
        </w:tc>
        <w:tc>
          <w:tcPr>
            <w:tcW w:w="4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95,291</w:t>
            </w: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428,052</w:t>
            </w:r>
          </w:p>
        </w:tc>
      </w:tr>
      <w:tr>
        <w:trPr>
          <w:trHeight w:val="216"/>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4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81,123</w:t>
            </w:r>
          </w:p>
        </w:tc>
      </w:tr>
      <w:tr>
        <w:trPr>
          <w:trHeight w:val="210"/>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346,929</w:t>
            </w:r>
          </w:p>
        </w:tc>
      </w:tr>
      <w:tr>
        <w:trPr>
          <w:trHeight w:val="20"/>
        </w:trPr>
        <w:tc>
          <w:tcPr>
            <w:tcW w:w="6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July 31, 2019, there are no material leases that are legally binding but have not yet commenced.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31, 2019, the weighted average remaining lease term related to operating leases is 5.3 years. The weighted average discount rate related to operating leases is 7.8%.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is $51.9 million as of July 31, 2019. Right-of-use assets obtained in exchange for lease obligations were $15.6 million as of July 31,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 Net Income per Common Share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Basic net income per common share has been computed using the weighted average number of common shares outstanding during each period. Diluted net income per share is computed using the weighted average number of common shares and potential dilutive common shares, consisting of unvested restricted stock unit awards and unexercised stock options outstanding during the period. Approximately 794,400 and 327,000 unvested shares of common stock have been excluded from the diluted net income per share calculation for the three months ended July 31, 2019 and 2018, respectively. Approximately 606,500 and 322,000 unvested shares of common stock have been excluded from the diluted net income per share calculation for the six months ended July 31, 2019 and 2018, respectively. All share-based payments outstanding that vest based on the achievement of performance and/or market price conditions, and for which the respective performance and/or market price conditions have not been achieved, have been excluded from the diluted per share calculation.</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July 31,</w:t>
            </w:r>
          </w:p>
        </w:tc>
        <w:tc>
          <w:tcPr>
            <w:tcW w:w="160" w:type="dxa"/>
            <w:vAlign w:val="bottom"/>
          </w:tcPr>
          <w:p>
            <w:pPr>
              <w:spacing w:after="0"/>
              <w:rPr>
                <w:sz w:val="14"/>
                <w:szCs w:val="14"/>
                <w:color w:val="auto"/>
              </w:rPr>
            </w:pPr>
          </w:p>
        </w:tc>
        <w:tc>
          <w:tcPr>
            <w:tcW w:w="196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7"/>
              </w:rPr>
              <w:t>Six Months Ended July 31,</w:t>
            </w:r>
          </w:p>
        </w:tc>
      </w:tr>
      <w:tr>
        <w:trPr>
          <w:trHeight w:val="142"/>
        </w:trPr>
        <w:tc>
          <w:tcPr>
            <w:tcW w:w="4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gridSpan w:val="8"/>
          </w:tcPr>
          <w:p>
            <w:pPr>
              <w:spacing w:after="0" w:line="142" w:lineRule="exact"/>
              <w:rPr>
                <w:sz w:val="20"/>
                <w:szCs w:val="20"/>
                <w:color w:val="auto"/>
              </w:rPr>
            </w:pPr>
            <w:r>
              <w:rPr>
                <w:rFonts w:ascii="Arial" w:cs="Arial" w:eastAsia="Arial" w:hAnsi="Arial"/>
                <w:sz w:val="14"/>
                <w:szCs w:val="14"/>
                <w:b w:val="1"/>
                <w:bCs w:val="1"/>
                <w:color w:val="auto"/>
                <w:w w:val="97"/>
              </w:rPr>
              <w:t>(In thousands, except per share amounts)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11,119</w:t>
            </w:r>
          </w:p>
        </w:tc>
        <w:tc>
          <w:tcPr>
            <w:tcW w:w="4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19,962</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48,450</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49,148</w:t>
            </w:r>
          </w:p>
        </w:tc>
      </w:tr>
      <w:tr>
        <w:trPr>
          <w:trHeight w:val="250"/>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net income per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r>
      <w:tr>
        <w:trPr>
          <w:trHeight w:val="197"/>
        </w:trPr>
        <w:tc>
          <w:tcPr>
            <w:tcW w:w="4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49,148</w:t>
            </w:r>
          </w:p>
        </w:tc>
      </w:tr>
      <w:tr>
        <w:trPr>
          <w:trHeight w:val="216"/>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Diluted restricted stock unit awards and stock options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49,116</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50,272</w:t>
            </w: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6 – Notes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July 31, 2019</w:t>
            </w: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July 31, 2018</w:t>
            </w: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January 31, 2019</w:t>
            </w:r>
          </w:p>
        </w:tc>
      </w:tr>
      <w:tr>
        <w:trPr>
          <w:trHeight w:val="142"/>
        </w:trPr>
        <w:tc>
          <w:tcPr>
            <w:tcW w:w="2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160,000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111,426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issued to LVMH</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Unsecured loan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0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588,243</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536,426</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425,000</w:t>
            </w:r>
          </w:p>
        </w:tc>
      </w:tr>
      <w:tr>
        <w:trPr>
          <w:trHeight w:val="216"/>
        </w:trPr>
        <w:tc>
          <w:tcPr>
            <w:tcW w:w="402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Less: Net debt issuance costs </w:t>
            </w:r>
            <w:r>
              <w:rPr>
                <w:rFonts w:ascii="Arial" w:cs="Arial" w:eastAsia="Arial" w:hAnsi="Arial"/>
                <w:sz w:val="25"/>
                <w:szCs w:val="25"/>
                <w:color w:val="auto"/>
                <w:vertAlign w:val="superscript"/>
              </w:rPr>
              <w:t>(1)</w:t>
            </w:r>
          </w:p>
        </w:tc>
        <w:tc>
          <w:tcPr>
            <w:tcW w:w="2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(8,708)</w:t>
            </w:r>
          </w:p>
        </w:tc>
        <w:tc>
          <w:tcPr>
            <w:tcW w:w="2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(11,320)</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(10,014)</w:t>
            </w: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 discount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(25,734)</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(30,900)</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(28,382)</w:t>
            </w: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(683)</w:t>
            </w:r>
          </w:p>
        </w:tc>
        <w:tc>
          <w:tcPr>
            <w:tcW w:w="20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553,118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494,206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386,604</w:t>
            </w:r>
          </w:p>
        </w:tc>
      </w:tr>
      <w:tr>
        <w:trPr>
          <w:trHeight w:val="20"/>
        </w:trPr>
        <w:tc>
          <w:tcPr>
            <w:tcW w:w="2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r>
    </w:tbl>
    <w:p>
      <w:pPr>
        <w:spacing w:after="0" w:line="71" w:lineRule="exact"/>
        <w:rPr>
          <w:sz w:val="20"/>
          <w:szCs w:val="20"/>
          <w:color w:val="auto"/>
        </w:rPr>
      </w:pPr>
    </w:p>
    <w:p>
      <w:pPr>
        <w:jc w:val="both"/>
        <w:ind w:left="340" w:hanging="331"/>
        <w:spacing w:after="0" w:line="235" w:lineRule="auto"/>
        <w:tabs>
          <w:tab w:leader="none" w:pos="34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Does not include debt issuance costs, net of amortization, totaling $5.8 million, $8.3 million and $7.1 million as of July 31, 2019, July 31, 2018 and January 31, 2019, respectively, related to the revolving credit facility. These debt issuance costs have been deferred and are classified in prepaid expenses and other current assets in the accompanying Condensed Consolidated Balance Sheets in accordance with Accounting Standards Update (“ASU”) 2015-15.</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acquisition of DKI, the Company borrowed $350.0 million under a senior secured term loan facility (the “Term Loan”). On December 1, 2016, the Company prepaid $50.0 million in principal amount of the Term Loan. The Term Loan will mature in December 2022.</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on the outstanding principal amount of the Term Loan accrues at a rate equal to the London Interbank Offered Rate (“LIBOR”), subject to a 1% floor, plus an applicable margin of 5.25% or an alternate base rate (defined as the greatest of</w:t>
      </w:r>
    </w:p>
    <w:p>
      <w:pPr>
        <w:jc w:val="both"/>
        <w:ind w:firstLine="9"/>
        <w:spacing w:after="0" w:line="255" w:lineRule="auto"/>
        <w:tabs>
          <w:tab w:leader="none" w:pos="21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“prime rate” as published by the Wall Street Journal from time to time, (ii) the federal funds rate plus 0.5% or (iii) the LIBOR rate for a borrowing with an interest period of one month) plus 4.25%, per annum, payable in cash. As of July 31, 2019, interest under the Term Loan was being paid at an average rate of 7.73% per annum.</w:t>
      </w:r>
    </w:p>
    <w:p>
      <w:pPr>
        <w:spacing w:after="0" w:line="1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Term Loan is secured by certain assets of the Company and certain of its subsidiaries. The Term Loan is required to be prepaid with the proceeds of certain asset sales if such proceeds are not applied as required by the Term Loan within specified deadlines. The Term Loan contains covenants that, among other things, restrict the Company’s ability, subject to certain exceptions, to incur additional debt; incur liens; sell or dispose of certain assets; merge with other companies; liquidate or dissolve the Company; acquire other companies; make loans, advances, or guarantees; and make certain investments. This loan also includes a mandatory prepayment provision based on excess cash flow as defined within the agreement. A first lien leverage covenant requires the Company to maintain a level of debt to EBITDA at a ratio as defined over the term of the agreement. As of July 31, 2019, the Company was in compliance with these covenants.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Upon closing of the acquisition of DKI, the Company’s prior credit agreement was refinanced and replaced by a $650 million amended and restated credit agreement (the “revolving credit facility”). Amounts available under the revolving credit facility are subject to borrowing base formulas and over advances as specified in the revolving credit facility agreement. Borrowings bear interest, at the Company’s option, at LIBOR plus a margin of 1.25% to 1.75% or an alternate base rate (defined as the greatest of (i) the “prime rate” of JPMorgan Chase Bank, N.A. from time to time, (ii) the federal funds rate plus 0.5% or</w:t>
      </w:r>
    </w:p>
    <w:p>
      <w:pPr>
        <w:spacing w:after="0" w:line="2" w:lineRule="exact"/>
        <w:rPr>
          <w:sz w:val="20"/>
          <w:szCs w:val="20"/>
          <w:color w:val="auto"/>
        </w:rPr>
      </w:pPr>
    </w:p>
    <w:p>
      <w:pPr>
        <w:jc w:val="both"/>
        <w:ind w:firstLine="9"/>
        <w:spacing w:after="0" w:line="252" w:lineRule="auto"/>
        <w:tabs>
          <w:tab w:leader="none" w:pos="34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LIBOR rate for a borrowing with an interest period of one month) plus a margin of 0.25% to 0.75%, with the applicable margin determined based on the availability under the revolving credit facility agreement. As of July 31, 2019, interest under the revolving credit agreement was being paid at an average rate of 3.68% per annum. The revolving credit facility has a five-year term ending December 1, 2021. In addition to paying interest on any outstanding borrowings under the revolving credit facility, the Company is required to pay a commitment fee to the lenders under the credit agreement with respect to the unutilized commitments. The commitment fee accrues at a rate equal to 0.25% per annum on the average daily amount of the available commitments.</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July 31, 2019, the Company had $160.0 million of borrowings outstanding under the revolving credit facility, all of which are classified as long-term liabilities. As of July 31, 2019, there were outstanding trade and standby letters of credit amounting to $10.0 million and $3.4 million, respectively.</w:t>
      </w:r>
    </w:p>
    <w:p>
      <w:pPr>
        <w:spacing w:after="0" w:line="1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revolving credit facility contains covenants that, among other things, restrict the Company’s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July 31, 2019, the Company was in compliance with these covenants.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LVMH Note</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As part of the consideration for the acquisition of DKI, the Company issued to LVMH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 Accounting Standards Codification (“ASC”) 820 -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requires the note to be recorded at fair value at issuance. As a result, the Company recorded a $40.0 million debt discount. This discount is being amortized as interest expense using the effective interest method over the term of the LVMH Note.</w:t>
      </w:r>
    </w:p>
    <w:p>
      <w:pPr>
        <w:sectPr>
          <w:pgSz w:w="11900" w:h="16838" w:orient="portrait"/>
          <w:cols w:equalWidth="0" w:num="1">
            <w:col w:w="9060"/>
          </w:cols>
          <w:pgMar w:left="1420" w:top="517" w:right="141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Loan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15, 2019, T.R.B. International SA (“TRB”), a subsidiary of Vilebrequin, borrowed €3.0 million under an unsecured loan with Banque du Leman S.A (the “Unsecured Loan”). The Unsecured Loan matures on April 15, 2024. During the term of the Unsecured Loan, TRB is required to make quarterly installment payments of €0.2 million. Interest on the outstanding principal amount of the Unsecured Loan accrues at a fixed rate equal to 1.50% per annum, payable in cash.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7 – 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accordance with ASC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elected to disclose its revenues by segment. Each segment has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Wholesale Operations Segment. </w:t>
      </w:r>
      <w:r>
        <w:rPr>
          <w:rFonts w:ascii="Arial" w:cs="Arial" w:eastAsia="Arial" w:hAnsi="Arial"/>
          <w:sz w:val="16"/>
          <w:szCs w:val="16"/>
          <w:color w:val="auto"/>
        </w:rPr>
        <w:t>Wholesale revenues include sales of products to retailers under owned, licensed and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label brands, as well as sales related to the Vilebrequin business.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Wholesale revenues also include royalty revenues from license agreements related to our owned trademarks including DKNY, Donna Karan, Vilebrequin, G.H. Bass and Andrew Marc. As of July 31, 2019, revenues from license agreements represented an insignificant portion of wholesale revenues.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Retail Operations Segment. </w:t>
      </w:r>
      <w:r>
        <w:rPr>
          <w:rFonts w:ascii="Arial" w:cs="Arial" w:eastAsia="Arial" w:hAnsi="Arial"/>
          <w:sz w:val="17"/>
          <w:szCs w:val="17"/>
          <w:color w:val="auto"/>
        </w:rPr>
        <w:t>Retail store revenues are generated by direct sales to consumers through company-operated</w:t>
      </w:r>
      <w:r>
        <w:rPr>
          <w:rFonts w:ascii="Arial" w:cs="Arial" w:eastAsia="Arial" w:hAnsi="Arial"/>
          <w:sz w:val="17"/>
          <w:szCs w:val="17"/>
          <w:i w:val="1"/>
          <w:iCs w:val="1"/>
          <w:color w:val="auto"/>
        </w:rPr>
        <w:t xml:space="preserve"> </w:t>
      </w:r>
      <w:r>
        <w:rPr>
          <w:rFonts w:ascii="Arial" w:cs="Arial" w:eastAsia="Arial" w:hAnsi="Arial"/>
          <w:sz w:val="17"/>
          <w:szCs w:val="17"/>
          <w:color w:val="auto"/>
        </w:rPr>
        <w:t>stores and product sales through the Company’s owned websites for the DKNY, Donna Karan, Wilsons, G.H. Bass, Andrew Marc and Karl Lagerfeld Paris businesses. Retail stores primarily consist of Wilsons Leather, G.H. Bass and DKNY retail stores, substantially all of which are operated as outlet stores, as well as a small number of Karl Lagerfeld Paris and Calvin Klein Performance stores. Retail operations segment revenues are recognized at the point of sale when the customer takes possession of the goods and tenders payment. E-commerce revenues primarily consist of sales to consumers through the Company’s e-commerce platforms. E-commerce revenue is recognized when a customer takes possession of the goods. Retail sales are recorded net of applicable sales tax.</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$6.6 million, $5.2 million and $6.4 million at July 31, 2019, July 31, 2018 and January 31, 2019, respectively. The Company recognized $4.4 million in revenue for the three months ended July 31, 2019 related to contract liabilities that existed at April 30, 2019. The Company recognized $5.2 million in revenue for the six months ended July 31, 2019 related to contract liabilities that existed at January 31, 2019. There were no contract assets recorded as of July 31, 2019, July 31, 2018 and January 31, 2019. Substantially all of the advance payments from licensees as of July 31, 2019 are expected to be recognized as revenue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8 – Segments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reportable segments: wholesale operations and retail operations. The wholesale operations segment includes sales of products under the Company’s owned, licensed and private label brands, as well as sales related to the Vilebrequin business. Wholesale revenues also include royalty revenues from license agreements related to our owned trademarks including Donna Karan, DKNY, Vilebrequin, G.H. Bass and Andrew Marc. The retail operations segment consists primarily of the Wilsons Leather, G.H. Bass and DKNY stores, substantially all of which are operated as outlet stores, as well as a smaller number of Karl Lagerfeld Paris and Calvin Klein Performance stores. Sales through the Company’s owned websites, with the exception of Vilebrequin, are also included in the retail operations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segment information is presented for the three and six-month periods indicated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b w:val="1"/>
                <w:bCs w:val="1"/>
                <w:color w:val="auto"/>
                <w:w w:val="93"/>
              </w:rPr>
              <w:t>Three Months Ended July 31, 2019</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Wholesale</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Retail</w:t>
            </w:r>
          </w:p>
        </w:tc>
        <w:tc>
          <w:tcPr>
            <w:tcW w:w="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 xml:space="preserve">Elimination </w:t>
            </w:r>
            <w:r>
              <w:rPr>
                <w:rFonts w:ascii="Arial" w:cs="Arial" w:eastAsia="Arial" w:hAnsi="Arial"/>
                <w:sz w:val="10"/>
                <w:szCs w:val="10"/>
                <w:b w:val="1"/>
                <w:bCs w:val="1"/>
                <w:color w:val="auto"/>
              </w:rPr>
              <w:t>(1)</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center"/>
              <w:ind w:left="455"/>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(28,415)</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643,892</w:t>
            </w:r>
          </w:p>
        </w:tc>
        <w:tc>
          <w:tcPr>
            <w:tcW w:w="2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395,728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(28,415)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412,123</w:t>
            </w:r>
          </w:p>
        </w:tc>
        <w:tc>
          <w:tcPr>
            <w:tcW w:w="20" w:type="dxa"/>
            <w:vAlign w:val="bottom"/>
          </w:tcPr>
          <w:p>
            <w:pPr>
              <w:spacing w:after="0"/>
              <w:rPr>
                <w:sz w:val="18"/>
                <w:szCs w:val="18"/>
                <w:color w:val="auto"/>
              </w:rPr>
            </w:pPr>
          </w:p>
        </w:tc>
      </w:tr>
      <w:tr>
        <w:trPr>
          <w:trHeight w:val="210"/>
        </w:trPr>
        <w:tc>
          <w:tcPr>
            <w:tcW w:w="43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192,873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231,769</w:t>
            </w:r>
          </w:p>
        </w:tc>
        <w:tc>
          <w:tcPr>
            <w:tcW w:w="2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141,540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196,448</w:t>
            </w:r>
          </w:p>
        </w:tc>
        <w:tc>
          <w:tcPr>
            <w:tcW w:w="2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2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Gain on lease terminations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(1,393)</w:t>
            </w:r>
          </w:p>
        </w:tc>
        <w:tc>
          <w:tcPr>
            <w:tcW w:w="20" w:type="dxa"/>
            <w:vAlign w:val="bottom"/>
          </w:tcPr>
          <w:p>
            <w:pPr>
              <w:spacing w:after="0"/>
              <w:rPr>
                <w:sz w:val="18"/>
                <w:szCs w:val="18"/>
                <w:color w:val="auto"/>
              </w:rPr>
            </w:pPr>
          </w:p>
        </w:tc>
      </w:tr>
      <w:tr>
        <w:trPr>
          <w:trHeight w:val="210"/>
        </w:trPr>
        <w:tc>
          <w:tcPr>
            <w:tcW w:w="43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b w:val="1"/>
                <w:bCs w:val="1"/>
                <w:color w:val="auto"/>
                <w:w w:val="93"/>
              </w:rPr>
              <w:t>Three Months Ended July 31, 2018</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Wholesale</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Retail</w:t>
            </w:r>
          </w:p>
        </w:tc>
        <w:tc>
          <w:tcPr>
            <w:tcW w:w="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 xml:space="preserve">Elimination </w:t>
            </w:r>
            <w:r>
              <w:rPr>
                <w:rFonts w:ascii="Arial" w:cs="Arial" w:eastAsia="Arial" w:hAnsi="Arial"/>
                <w:sz w:val="10"/>
                <w:szCs w:val="10"/>
                <w:b w:val="1"/>
                <w:bCs w:val="1"/>
                <w:color w:val="auto"/>
              </w:rPr>
              <w:t>(1)</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center"/>
              <w:ind w:left="455"/>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544,597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(26,561)</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624,698</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362,756</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56,959</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2"/>
              </w:rPr>
              <w:t>(26,561)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393,154</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231,544</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136,178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198,860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20" w:type="dxa"/>
            <w:vAlign w:val="bottom"/>
            <w:shd w:val="clear" w:color="auto" w:fill="CCEEFF"/>
          </w:tcPr>
          <w:p>
            <w:pPr>
              <w:spacing w:after="0"/>
              <w:rPr>
                <w:sz w:val="18"/>
                <w:szCs w:val="18"/>
                <w:color w:val="auto"/>
              </w:rPr>
            </w:pPr>
          </w:p>
        </w:tc>
      </w:tr>
      <w:tr>
        <w:trPr>
          <w:trHeight w:val="210"/>
        </w:trPr>
        <w:tc>
          <w:tcPr>
            <w:tcW w:w="4360" w:type="dxa"/>
            <w:vAlign w:val="bottom"/>
            <w:gridSpan w:val="3"/>
          </w:tcPr>
          <w:p>
            <w:pPr>
              <w:spacing w:after="0"/>
              <w:rPr>
                <w:sz w:val="20"/>
                <w:szCs w:val="20"/>
                <w:color w:val="auto"/>
              </w:rPr>
            </w:pPr>
            <w:r>
              <w:rPr>
                <w:rFonts w:ascii="Arial" w:cs="Arial" w:eastAsia="Arial" w:hAnsi="Arial"/>
                <w:sz w:val="18"/>
                <w:szCs w:val="18"/>
                <w:color w:val="auto"/>
              </w:rPr>
              <w:t>Operating profit (loss)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38,315</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(15,086)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23,229</w:t>
            </w:r>
          </w:p>
        </w:tc>
        <w:tc>
          <w:tcPr>
            <w:tcW w:w="20" w:type="dxa"/>
            <w:vAlign w:val="bottom"/>
            <w:tcBorders>
              <w:top w:val="single" w:sz="8" w:color="auto"/>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3"/>
              </w:rPr>
              <w:t>Six Months Ended July 31, 2019</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Wholesale</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Retail</w:t>
            </w:r>
          </w:p>
        </w:tc>
        <w:tc>
          <w:tcPr>
            <w:tcW w:w="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 xml:space="preserve">Elimination </w:t>
            </w:r>
            <w:r>
              <w:rPr>
                <w:rFonts w:ascii="Arial" w:cs="Arial" w:eastAsia="Arial" w:hAnsi="Arial"/>
                <w:sz w:val="10"/>
                <w:szCs w:val="10"/>
                <w:b w:val="1"/>
                <w:bCs w:val="1"/>
                <w:color w:val="auto"/>
              </w:rPr>
              <w:t>(1)</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center"/>
              <w:ind w:left="455"/>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(47,406)</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1,277,444</w:t>
            </w:r>
          </w:p>
        </w:tc>
        <w:tc>
          <w:tcPr>
            <w:tcW w:w="2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767,308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89,709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(47,406)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809,611</w:t>
            </w:r>
          </w:p>
        </w:tc>
        <w:tc>
          <w:tcPr>
            <w:tcW w:w="20" w:type="dxa"/>
            <w:vAlign w:val="bottom"/>
          </w:tcPr>
          <w:p>
            <w:pPr>
              <w:spacing w:after="0"/>
              <w:rPr>
                <w:sz w:val="18"/>
                <w:szCs w:val="18"/>
                <w:color w:val="auto"/>
              </w:rPr>
            </w:pPr>
          </w:p>
        </w:tc>
      </w:tr>
      <w:tr>
        <w:trPr>
          <w:trHeight w:val="210"/>
        </w:trPr>
        <w:tc>
          <w:tcPr>
            <w:tcW w:w="43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391,932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467,833</w:t>
            </w:r>
          </w:p>
        </w:tc>
        <w:tc>
          <w:tcPr>
            <w:tcW w:w="2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288,797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109,510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398,307</w:t>
            </w:r>
          </w:p>
        </w:tc>
        <w:tc>
          <w:tcPr>
            <w:tcW w:w="2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19,262</w:t>
            </w:r>
          </w:p>
        </w:tc>
        <w:tc>
          <w:tcPr>
            <w:tcW w:w="2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Gain on lease terminations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(2,222)</w:t>
            </w:r>
          </w:p>
        </w:tc>
        <w:tc>
          <w:tcPr>
            <w:tcW w:w="20" w:type="dxa"/>
            <w:vAlign w:val="bottom"/>
          </w:tcPr>
          <w:p>
            <w:pPr>
              <w:spacing w:after="0"/>
              <w:rPr>
                <w:sz w:val="18"/>
                <w:szCs w:val="18"/>
                <w:color w:val="auto"/>
              </w:rPr>
            </w:pPr>
          </w:p>
        </w:tc>
      </w:tr>
      <w:tr>
        <w:trPr>
          <w:trHeight w:val="210"/>
        </w:trPr>
        <w:tc>
          <w:tcPr>
            <w:tcW w:w="43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3"/>
              </w:rPr>
              <w:t>Six Months Ended July 31, 2018</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Wholesale</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Retail</w:t>
            </w:r>
          </w:p>
        </w:tc>
        <w:tc>
          <w:tcPr>
            <w:tcW w:w="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 xml:space="preserve">Elimination </w:t>
            </w:r>
            <w:r>
              <w:rPr>
                <w:rFonts w:ascii="Arial" w:cs="Arial" w:eastAsia="Arial" w:hAnsi="Arial"/>
                <w:sz w:val="10"/>
                <w:szCs w:val="10"/>
                <w:b w:val="1"/>
                <w:bCs w:val="1"/>
                <w:color w:val="auto"/>
              </w:rPr>
              <w:t>(1)</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center"/>
              <w:ind w:left="455"/>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(47,010)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1,236,441</w:t>
            </w:r>
          </w:p>
        </w:tc>
        <w:tc>
          <w:tcPr>
            <w:tcW w:w="2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704,331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113,049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(47,010)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770,370</w:t>
            </w:r>
          </w:p>
        </w:tc>
        <w:tc>
          <w:tcPr>
            <w:tcW w:w="20" w:type="dxa"/>
            <w:vAlign w:val="bottom"/>
          </w:tcPr>
          <w:p>
            <w:pPr>
              <w:spacing w:after="0"/>
              <w:rPr>
                <w:sz w:val="18"/>
                <w:szCs w:val="18"/>
                <w:color w:val="auto"/>
              </w:rPr>
            </w:pPr>
          </w:p>
        </w:tc>
      </w:tr>
      <w:tr>
        <w:trPr>
          <w:trHeight w:val="210"/>
        </w:trPr>
        <w:tc>
          <w:tcPr>
            <w:tcW w:w="43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367,939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98,132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466,071</w:t>
            </w:r>
          </w:p>
        </w:tc>
        <w:tc>
          <w:tcPr>
            <w:tcW w:w="2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272,591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128,340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400,931</w:t>
            </w:r>
          </w:p>
        </w:tc>
        <w:tc>
          <w:tcPr>
            <w:tcW w:w="2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18,835</w:t>
            </w:r>
          </w:p>
        </w:tc>
        <w:tc>
          <w:tcPr>
            <w:tcW w:w="20" w:type="dxa"/>
            <w:vAlign w:val="bottom"/>
          </w:tcPr>
          <w:p>
            <w:pPr>
              <w:spacing w:after="0"/>
              <w:rPr>
                <w:sz w:val="18"/>
                <w:szCs w:val="18"/>
                <w:color w:val="auto"/>
              </w:rPr>
            </w:pPr>
          </w:p>
        </w:tc>
      </w:tr>
      <w:tr>
        <w:trPr>
          <w:trHeight w:val="210"/>
        </w:trPr>
        <w:tc>
          <w:tcPr>
            <w:tcW w:w="4360" w:type="dxa"/>
            <w:vAlign w:val="bottom"/>
            <w:gridSpan w:val="3"/>
          </w:tcPr>
          <w:p>
            <w:pPr>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46,305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 w:lineRule="exact"/>
        <w:rPr>
          <w:sz w:val="20"/>
          <w:szCs w:val="20"/>
          <w:color w:val="auto"/>
        </w:rPr>
      </w:pPr>
    </w:p>
    <w:p>
      <w:pPr>
        <w:ind w:left="280" w:hanging="271"/>
        <w:spacing w:after="0"/>
        <w:tabs>
          <w:tab w:leader="none" w:pos="28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Represents intersegment sales to the Company’s retail operations segment.</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The total assets for each of the Company’s reportable segments, as well as assets not allocated to a segment,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July 31, 2019</w:t>
            </w: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July 31, 2018</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January 31, 2019</w:t>
            </w:r>
          </w:p>
        </w:tc>
      </w:tr>
      <w:tr>
        <w:trPr>
          <w:trHeight w:val="142"/>
        </w:trPr>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2,109,198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1,880,348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1,834,610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Retail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362,595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205,268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190,996</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240,643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151,018</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182,452</w:t>
            </w: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2,712,436</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2,236,634</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2,208,058</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9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stockholders’ equity for the three and six months ended July 31, 2019 and 2018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8"/>
              </w:rPr>
              <w:t>Common</w:t>
            </w:r>
          </w:p>
        </w:tc>
        <w:tc>
          <w:tcPr>
            <w:tcW w:w="940" w:type="dxa"/>
            <w:vAlign w:val="bottom"/>
          </w:tcPr>
          <w:p>
            <w:pPr>
              <w:spacing w:after="0"/>
              <w:rPr>
                <w:sz w:val="13"/>
                <w:szCs w:val="13"/>
                <w:color w:val="auto"/>
              </w:rPr>
            </w:pPr>
          </w:p>
        </w:tc>
      </w:tr>
      <w:tr>
        <w:trPr>
          <w:trHeight w:val="149"/>
        </w:trPr>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1"/>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4"/>
              </w:rPr>
              <w:t>Stock</w:t>
            </w:r>
          </w:p>
        </w:tc>
        <w:tc>
          <w:tcPr>
            <w:tcW w:w="940" w:type="dxa"/>
            <w:vAlign w:val="bottom"/>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7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Common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Paid-In</w:t>
            </w:r>
          </w:p>
        </w:tc>
        <w:tc>
          <w:tcPr>
            <w:tcW w:w="980" w:type="dxa"/>
            <w:vAlign w:val="bottom"/>
            <w:gridSpan w:val="5"/>
          </w:tcPr>
          <w:p>
            <w:pPr>
              <w:ind w:left="20"/>
              <w:spacing w:after="0"/>
              <w:rPr>
                <w:sz w:val="20"/>
                <w:szCs w:val="20"/>
                <w:color w:val="auto"/>
              </w:rPr>
            </w:pPr>
            <w:r>
              <w:rPr>
                <w:rFonts w:ascii="Arial" w:cs="Arial" w:eastAsia="Arial" w:hAnsi="Arial"/>
                <w:sz w:val="13"/>
                <w:szCs w:val="13"/>
                <w:b w:val="1"/>
                <w:bCs w:val="1"/>
                <w:color w:val="auto"/>
                <w:w w:val="96"/>
              </w:rPr>
              <w:t>Comprehensive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3"/>
              </w:rPr>
              <w:t>Retained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6"/>
              </w:rPr>
              <w:t>Held In</w:t>
            </w:r>
          </w:p>
        </w:tc>
        <w:tc>
          <w:tcPr>
            <w:tcW w:w="940" w:type="dxa"/>
            <w:vAlign w:val="bottom"/>
          </w:tcPr>
          <w:p>
            <w:pPr>
              <w:spacing w:after="0"/>
              <w:rPr>
                <w:sz w:val="12"/>
                <w:szCs w:val="12"/>
                <w:color w:val="auto"/>
              </w:rPr>
            </w:pPr>
          </w:p>
        </w:tc>
      </w:tr>
      <w:tr>
        <w:trPr>
          <w:trHeight w:val="153"/>
        </w:trPr>
        <w:tc>
          <w:tcPr>
            <w:tcW w:w="3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4"/>
              </w:rPr>
              <w:t>Stock</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Capital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5"/>
              </w:rPr>
              <w:t>Loss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6"/>
              </w:rPr>
              <w:t>Earnings</w:t>
            </w:r>
          </w:p>
        </w:tc>
        <w:tc>
          <w:tcPr>
            <w:tcW w:w="20" w:type="dxa"/>
            <w:vAlign w:val="bottom"/>
          </w:tcPr>
          <w:p>
            <w:pPr>
              <w:spacing w:after="0"/>
              <w:rPr>
                <w:sz w:val="13"/>
                <w:szCs w:val="13"/>
                <w:color w:val="auto"/>
              </w:rPr>
            </w:pPr>
          </w:p>
        </w:tc>
        <w:tc>
          <w:tcPr>
            <w:tcW w:w="8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Treasury</w:t>
            </w: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Total</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April 30, 2019</w:t>
            </w:r>
          </w:p>
        </w:tc>
        <w:tc>
          <w:tcPr>
            <w:tcW w:w="220" w:type="dxa"/>
            <w:vAlign w:val="bottom"/>
            <w:tcBorders>
              <w:top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264</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$ 456,835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(18,421)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$ 761,344</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 (13,196)</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$ 1,186,826</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Equity awards exercised/vested,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(4,082)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4,158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Taxes paid for net share settlements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(1,680)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ind w:right="120"/>
              <w:spacing w:after="0"/>
              <w:rPr>
                <w:sz w:val="20"/>
                <w:szCs w:val="20"/>
                <w:color w:val="auto"/>
              </w:rPr>
            </w:pPr>
            <w:r>
              <w:rPr>
                <w:rFonts w:ascii="Arial" w:cs="Arial" w:eastAsia="Arial" w:hAnsi="Arial"/>
                <w:sz w:val="18"/>
                <w:szCs w:val="18"/>
                <w:color w:val="auto"/>
              </w:rPr>
              <w:t>(35,216)</w:t>
            </w:r>
          </w:p>
        </w:tc>
        <w:tc>
          <w:tcPr>
            <w:tcW w:w="940" w:type="dxa"/>
            <w:vAlign w:val="bottom"/>
          </w:tcPr>
          <w:p>
            <w:pPr>
              <w:jc w:val="right"/>
              <w:spacing w:after="0"/>
              <w:rPr>
                <w:sz w:val="20"/>
                <w:szCs w:val="20"/>
                <w:color w:val="auto"/>
              </w:rPr>
            </w:pPr>
            <w:r>
              <w:rPr>
                <w:rFonts w:ascii="Arial" w:cs="Arial" w:eastAsia="Arial" w:hAnsi="Arial"/>
                <w:sz w:val="18"/>
                <w:szCs w:val="18"/>
                <w:color w:val="auto"/>
              </w:rPr>
              <w:t>(35,216)</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11,119</w:t>
            </w:r>
          </w:p>
        </w:tc>
      </w:tr>
      <w:tr>
        <w:trPr>
          <w:trHeight w:val="210"/>
        </w:trPr>
        <w:tc>
          <w:tcPr>
            <w:tcW w:w="3660" w:type="dxa"/>
            <w:vAlign w:val="bottom"/>
          </w:tcPr>
          <w:p>
            <w:pPr>
              <w:spacing w:after="0"/>
              <w:rPr>
                <w:sz w:val="20"/>
                <w:szCs w:val="20"/>
                <w:color w:val="auto"/>
              </w:rPr>
            </w:pPr>
            <w:r>
              <w:rPr>
                <w:rFonts w:ascii="Arial" w:cs="Arial" w:eastAsia="Arial" w:hAnsi="Arial"/>
                <w:sz w:val="18"/>
                <w:szCs w:val="18"/>
                <w:color w:val="auto"/>
              </w:rPr>
              <w:t>Balance as of July 31, 2019</w:t>
            </w:r>
          </w:p>
        </w:tc>
        <w:tc>
          <w:tcPr>
            <w:tcW w:w="220" w:type="dxa"/>
            <w:vAlign w:val="bottom"/>
            <w:tcBorders>
              <w:top w:val="single" w:sz="8" w:color="auto"/>
              <w:bottom w:val="single" w:sz="8" w:color="auto"/>
            </w:tcBorders>
            <w:gridSpan w:val="2"/>
          </w:tcPr>
          <w:p>
            <w:pPr>
              <w:jc w:val="right"/>
              <w:ind w:right="4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264</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$ 456,195</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(16,848)</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$ 772,463</w:t>
            </w: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0"/>
              </w:rPr>
              <w:t>$ (44,254)</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$ 1,167,820</w:t>
            </w:r>
          </w:p>
        </w:tc>
      </w:tr>
      <w:tr>
        <w:trPr>
          <w:trHeight w:val="20"/>
        </w:trPr>
        <w:tc>
          <w:tcPr>
            <w:tcW w:w="3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6"/>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Common</w:t>
            </w:r>
          </w:p>
        </w:tc>
        <w:tc>
          <w:tcPr>
            <w:tcW w:w="940" w:type="dxa"/>
            <w:vAlign w:val="bottom"/>
          </w:tcPr>
          <w:p>
            <w:pPr>
              <w:spacing w:after="0"/>
              <w:rPr>
                <w:sz w:val="24"/>
                <w:szCs w:val="24"/>
                <w:color w:val="auto"/>
              </w:rPr>
            </w:pPr>
          </w:p>
        </w:tc>
      </w:tr>
      <w:tr>
        <w:trPr>
          <w:trHeight w:val="149"/>
        </w:trPr>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w:t>
            </w:r>
          </w:p>
        </w:tc>
        <w:tc>
          <w:tcPr>
            <w:tcW w:w="940" w:type="dxa"/>
            <w:vAlign w:val="bottom"/>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9"/>
              </w:rPr>
              <w:t>Common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6"/>
              </w:rPr>
              <w:t>Comprehensive</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Held In</w:t>
            </w:r>
          </w:p>
        </w:tc>
        <w:tc>
          <w:tcPr>
            <w:tcW w:w="940" w:type="dxa"/>
            <w:vAlign w:val="bottom"/>
          </w:tcPr>
          <w:p>
            <w:pPr>
              <w:spacing w:after="0"/>
              <w:rPr>
                <w:sz w:val="12"/>
                <w:szCs w:val="12"/>
                <w:color w:val="auto"/>
              </w:rPr>
            </w:pPr>
          </w:p>
        </w:tc>
      </w:tr>
      <w:tr>
        <w:trPr>
          <w:trHeight w:val="153"/>
        </w:trPr>
        <w:tc>
          <w:tcPr>
            <w:tcW w:w="3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0"/>
              </w:rPr>
              <w:t>Stock</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78"/>
              </w:rPr>
              <w:t>Loss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Treasury</w:t>
            </w: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Total</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April 30, 2018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$ 454,398</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$ 630,633</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$ 1,082,924</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Equity awards exercised/vested,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80" w:type="dxa"/>
            <w:vAlign w:val="bottom"/>
            <w:gridSpan w:val="6"/>
          </w:tcPr>
          <w:p>
            <w:pPr>
              <w:jc w:val="right"/>
              <w:ind w:right="57"/>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5,666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Taxes paid for net share settlements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6"/>
          </w:tcPr>
          <w:p>
            <w:pPr>
              <w:jc w:val="right"/>
              <w:ind w:right="57"/>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(11,501)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10,077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10,077</w:t>
            </w:r>
          </w:p>
        </w:tc>
      </w:tr>
      <w:tr>
        <w:trPr>
          <w:trHeight w:val="210"/>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July 31, 2018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$ 460,000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$ 640,774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$ 1,087,217</w:t>
            </w:r>
          </w:p>
        </w:tc>
      </w:tr>
      <w:tr>
        <w:trPr>
          <w:trHeight w:val="20"/>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6"/>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8"/>
              </w:rPr>
              <w:t>Common</w:t>
            </w:r>
          </w:p>
        </w:tc>
        <w:tc>
          <w:tcPr>
            <w:tcW w:w="940" w:type="dxa"/>
            <w:vAlign w:val="bottom"/>
          </w:tcPr>
          <w:p>
            <w:pPr>
              <w:spacing w:after="0"/>
              <w:rPr>
                <w:sz w:val="24"/>
                <w:szCs w:val="24"/>
                <w:color w:val="auto"/>
              </w:rPr>
            </w:pPr>
          </w:p>
        </w:tc>
      </w:tr>
      <w:tr>
        <w:trPr>
          <w:trHeight w:val="149"/>
        </w:trPr>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1"/>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4"/>
              </w:rPr>
              <w:t>Stock</w:t>
            </w:r>
          </w:p>
        </w:tc>
        <w:tc>
          <w:tcPr>
            <w:tcW w:w="940" w:type="dxa"/>
            <w:vAlign w:val="bottom"/>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7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Common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Paid-In</w:t>
            </w:r>
          </w:p>
        </w:tc>
        <w:tc>
          <w:tcPr>
            <w:tcW w:w="980" w:type="dxa"/>
            <w:vAlign w:val="bottom"/>
            <w:gridSpan w:val="5"/>
          </w:tcPr>
          <w:p>
            <w:pPr>
              <w:ind w:left="20"/>
              <w:spacing w:after="0"/>
              <w:rPr>
                <w:sz w:val="20"/>
                <w:szCs w:val="20"/>
                <w:color w:val="auto"/>
              </w:rPr>
            </w:pPr>
            <w:r>
              <w:rPr>
                <w:rFonts w:ascii="Arial" w:cs="Arial" w:eastAsia="Arial" w:hAnsi="Arial"/>
                <w:sz w:val="13"/>
                <w:szCs w:val="13"/>
                <w:b w:val="1"/>
                <w:bCs w:val="1"/>
                <w:color w:val="auto"/>
                <w:w w:val="96"/>
              </w:rPr>
              <w:t>Comprehensive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3"/>
              </w:rPr>
              <w:t>Retained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6"/>
              </w:rPr>
              <w:t>Held In</w:t>
            </w:r>
          </w:p>
        </w:tc>
        <w:tc>
          <w:tcPr>
            <w:tcW w:w="940" w:type="dxa"/>
            <w:vAlign w:val="bottom"/>
          </w:tcPr>
          <w:p>
            <w:pPr>
              <w:spacing w:after="0"/>
              <w:rPr>
                <w:sz w:val="12"/>
                <w:szCs w:val="12"/>
                <w:color w:val="auto"/>
              </w:rPr>
            </w:pPr>
          </w:p>
        </w:tc>
      </w:tr>
      <w:tr>
        <w:trPr>
          <w:trHeight w:val="153"/>
        </w:trPr>
        <w:tc>
          <w:tcPr>
            <w:tcW w:w="3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4"/>
              </w:rPr>
              <w:t>Stock</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Capital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5"/>
              </w:rPr>
              <w:t>Loss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6"/>
              </w:rPr>
              <w:t>Earnings</w:t>
            </w:r>
          </w:p>
        </w:tc>
        <w:tc>
          <w:tcPr>
            <w:tcW w:w="20" w:type="dxa"/>
            <w:vAlign w:val="bottom"/>
          </w:tcPr>
          <w:p>
            <w:pPr>
              <w:spacing w:after="0"/>
              <w:rPr>
                <w:sz w:val="13"/>
                <w:szCs w:val="13"/>
                <w:color w:val="auto"/>
              </w:rPr>
            </w:pPr>
          </w:p>
        </w:tc>
        <w:tc>
          <w:tcPr>
            <w:tcW w:w="8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Treasury</w:t>
            </w: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Total</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220" w:type="dxa"/>
            <w:vAlign w:val="bottom"/>
            <w:tcBorders>
              <w:top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264</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$ 464,112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(15,194)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$ 758,881</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 (19,054)</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$ 1,189,009</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Equity awards exercised/vested,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(9,900)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10,016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Taxes paid for net share settlements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(7,366)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(7,366)</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ind w:right="120"/>
              <w:spacing w:after="0"/>
              <w:rPr>
                <w:sz w:val="20"/>
                <w:szCs w:val="20"/>
                <w:color w:val="auto"/>
              </w:rPr>
            </w:pPr>
            <w:r>
              <w:rPr>
                <w:rFonts w:ascii="Arial" w:cs="Arial" w:eastAsia="Arial" w:hAnsi="Arial"/>
                <w:sz w:val="18"/>
                <w:szCs w:val="18"/>
                <w:color w:val="auto"/>
              </w:rPr>
              <w:t>(35,216)</w:t>
            </w:r>
          </w:p>
        </w:tc>
        <w:tc>
          <w:tcPr>
            <w:tcW w:w="940" w:type="dxa"/>
            <w:vAlign w:val="bottom"/>
          </w:tcPr>
          <w:p>
            <w:pPr>
              <w:jc w:val="right"/>
              <w:spacing w:after="0"/>
              <w:rPr>
                <w:sz w:val="20"/>
                <w:szCs w:val="20"/>
                <w:color w:val="auto"/>
              </w:rPr>
            </w:pPr>
            <w:r>
              <w:rPr>
                <w:rFonts w:ascii="Arial" w:cs="Arial" w:eastAsia="Arial" w:hAnsi="Arial"/>
                <w:sz w:val="18"/>
                <w:szCs w:val="18"/>
                <w:color w:val="auto"/>
              </w:rPr>
              <w:t>(35,216)</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ASC 842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23,162</w:t>
            </w:r>
          </w:p>
        </w:tc>
      </w:tr>
      <w:tr>
        <w:trPr>
          <w:trHeight w:val="210"/>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July 31, 2019</w:t>
            </w:r>
          </w:p>
        </w:tc>
        <w:tc>
          <w:tcPr>
            <w:tcW w:w="220" w:type="dxa"/>
            <w:vAlign w:val="bottom"/>
            <w:tcBorders>
              <w:top w:val="single" w:sz="8" w:color="auto"/>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$ 456,195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$ 772,463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 (44,254)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$ 1,167,820</w:t>
            </w:r>
          </w:p>
        </w:tc>
      </w:tr>
      <w:tr>
        <w:trPr>
          <w:trHeight w:val="20"/>
        </w:trPr>
        <w:tc>
          <w:tcPr>
            <w:tcW w:w="3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Common</w:t>
            </w:r>
          </w:p>
        </w:tc>
        <w:tc>
          <w:tcPr>
            <w:tcW w:w="940" w:type="dxa"/>
            <w:vAlign w:val="bottom"/>
          </w:tcPr>
          <w:p>
            <w:pPr>
              <w:spacing w:after="0"/>
              <w:rPr>
                <w:sz w:val="13"/>
                <w:szCs w:val="13"/>
                <w:color w:val="auto"/>
              </w:rPr>
            </w:pPr>
          </w:p>
        </w:tc>
      </w:tr>
      <w:tr>
        <w:trPr>
          <w:trHeight w:val="149"/>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Additional</w:t>
            </w:r>
          </w:p>
        </w:tc>
        <w:tc>
          <w:tcPr>
            <w:tcW w:w="180" w:type="dxa"/>
            <w:vAlign w:val="bottom"/>
          </w:tcPr>
          <w:p>
            <w:pPr>
              <w:spacing w:after="0"/>
              <w:rPr>
                <w:sz w:val="12"/>
                <w:szCs w:val="12"/>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Other</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w:t>
            </w:r>
          </w:p>
        </w:tc>
        <w:tc>
          <w:tcPr>
            <w:tcW w:w="940" w:type="dxa"/>
            <w:vAlign w:val="bottom"/>
          </w:tcPr>
          <w:p>
            <w:pPr>
              <w:spacing w:after="0"/>
              <w:rPr>
                <w:sz w:val="12"/>
                <w:szCs w:val="12"/>
                <w:color w:val="auto"/>
              </w:rPr>
            </w:pPr>
          </w:p>
        </w:tc>
      </w:tr>
      <w:tr>
        <w:trPr>
          <w:trHeight w:val="149"/>
        </w:trPr>
        <w:tc>
          <w:tcPr>
            <w:tcW w:w="3740" w:type="dxa"/>
            <w:vAlign w:val="bottom"/>
          </w:tcPr>
          <w:p>
            <w:pPr>
              <w:spacing w:after="0"/>
              <w:rPr>
                <w:sz w:val="12"/>
                <w:szCs w:val="12"/>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Common</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Paid-In</w:t>
            </w: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Comprehensive</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Held In</w:t>
            </w:r>
          </w:p>
        </w:tc>
        <w:tc>
          <w:tcPr>
            <w:tcW w:w="940" w:type="dxa"/>
            <w:vAlign w:val="bottom"/>
          </w:tcPr>
          <w:p>
            <w:pPr>
              <w:spacing w:after="0"/>
              <w:rPr>
                <w:sz w:val="12"/>
                <w:szCs w:val="12"/>
                <w:color w:val="auto"/>
              </w:rPr>
            </w:pPr>
          </w:p>
        </w:tc>
      </w:tr>
      <w:tr>
        <w:trPr>
          <w:trHeight w:val="153"/>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Stock</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78"/>
              </w:rPr>
              <w:t>Loss</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Earnings</w:t>
            </w:r>
          </w:p>
        </w:tc>
        <w:tc>
          <w:tcPr>
            <w:tcW w:w="7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Treasury</w:t>
            </w: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Total</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$ 451,844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$ 674,542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$ 1,120,689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Equity awards exercised/vested, net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Taxes paid for net share settlements</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(1,098)</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Cumulative effect of adoption of ASC 606</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(53,728)</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(53,728)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19,962</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Balance as of July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$ 460,000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(13,587)</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$ 640,774</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$ 1,087,217</w:t>
            </w: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three months ended July 31, 2019, the Company issued 1,651 shares of common stock and utilized 148,025 shares of treasury stock in connection with the exercise or vesting of equity awards. For the three months ended July 31, 2018, the Company issued 13,276 shares of common stock and utilized 12,738 shares of treasury stock in connection with the vesting of equity awards. For the six months ended July 31, 2019, the Company issued 7,651 shares of common stock and utilized 356,550 shares of treasury stock in connection with the exercise or vesting of equity awards. For the six months ended July 31, 2018, the Company issued 19,276 shares of common stock and utilized 47,253 shares of treasury stock in connection with the exercise or vesting of equity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10 – Canadian Customs Duty Examination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the date of the final report, October 27, 2017. The CBSA has requested G-III Canada to reassess its customs entries for that period using the price paid or payable by the Canadian retail customers for certain imported goods rather than the price paid by G-III Canada to the vendor. The CBSA has also requested that G-III Canada change the valuation method used to pay duties with respect to goods imported in the future.</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2018, G-III Canada provided a bond to guarantee payment to the CBSA for additional duties payable as a result of the reassessment required by the final audit report. The Company secured a bond in the amount of CAD$26.9 million ($20.9 million) representing customs duty and interest through December 31, 2017 that is claimed to be owed to the CBSA. In March 2018, the Company amended the duties filed for the month of January 2018 based on the new valuation method. This amount was paid to the CBSA. Beginning February 1, 2018, the Company began paying duties based on the new valuation method. Amounts paid and deferred for the three and six months ended July 31, 2019, related to the higher dutiable values, were CAD$0.6 million ($0.5 million) and CAD$2.2 million ($1.7 million), respectively. Cumulative amounts paid and deferred through July 31, 2019, related to the higher dutiable values, were CAD$12.7 million ($9.7 million).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G-III Canada, based on the advice of counsel, believes it has positions that support its ability to receive a refund of amounts claimed to be owed to the CBSA on appeal and intends to vigorously contest the findings of the CBSA. G-III Canada filed its appeal with the CBSA in May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June 1, 2019, G-III commenced paying based on the dutiable value of G-III Canada’s imports based on the pre-audit levels. G-III continued to defer the additional duty paid through the month of May 2019 pending the final outcome of the appeal.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11 – Recent Adopted and Issued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2016, the FASB issued ASU 2016-02, “Leases (Topic 842).” ASU 2016-02 requires that a lessee recognize in the statement of financial position a liability to make lease payments (the lease liability) and a right-of-use asset representing its right to use the underlying asset for the lease term (other than leases that meet the definition of a short-term lease). The liability will be equal to the present value of lease payments. The asset will be based on the liability, subject to certain adjustments. The Company adopted ASU 2016-02 during the first quarter of fiscal 2020 using the optional transition method to apply the standard as of the effective date. As a result of adopting this standard, as of February 1, 2019, the Company recognized operating lease liabilities of $384.5 million and corresponding operating lease assets of $341.2 million. In addition, the Company recorded a $9.6 million impairment of the operating lease assets, net of tax, at adoption. The impairment was recorded as a reduction to retained earnings.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2018, the FASB issued ASU 2018-07, “FASB Simplifies Guidance on Nonemployee Share-Based Payments,” which supersedes ASC 505-50 and expands the scope of ASC 718 to include all share-based payment arrangements related to the acquisition of goods and services from both nonemployees and employees. As a result, most of the guidance in ASC 718 associated with employee share-based payments, including most of its requirements related to classification and measurement, applies to nonemployee share-based payment arrangements. The Company adopted ASU 2018-07 during the first quarter of fiscal 2020. The adoption did not have an impact on the Company’s condensed consolidated financial statements.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2018, the FASB issued ASU 2018-02, “Income Statement — Reporting Comprehensive Income (Topic 220): Reclassification of Certain Tax Effects from Accumulated Other Comprehensive Income,” which provides financial statement preparers with an option to reclassify stranded tax effects within accumulated other comprehensive income to retained earnings in each period in which the effect of the change in the U.S. federal corporate income tax rate (or portion thereof) in the Tax Cut and Jobs Act is recorded. The Company adopted ASU 2018-02 during the first quarter of fiscal 2020. The adoption did not have an impact on the Company’s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Issued Accounting Guidance Being Evaluated for Adoption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Subsequently, the FASB issued amendments to clarify the codification, in addition to also clarifying the implementation dates and the items that fall within the scope of the pronouncement. This pronouncement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may lead to a loss being realized, regardless of whether it is probable that the future event will occur. The “incurred loss” model considers past events and current conditions, while the “expected loss” model includes expectations for the future which have yet to occur. The new standard will require entities to record a cumulative-effect adjustment to the balance sheet as of the beginning of the first reporting period in which the guidance is effective. ASU 2016-13 is effective for all entities for fiscal years beginning after December 15, 2019, including interim periods within those fiscal years, with early adoption permitted. The Company is currently evaluating the potential impact of ASU 2016-13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which makes a number of changes meant to add, modify or remove certain disclosure requirements associated with the movement among or hierarchy associated with Level 1, Level 2 and Level 3 fair value measurements. The amendments in ASU 2018-13 modify the disclosure requirements with respect to fair value measurements based on the concepts in FASB Concepts Statement, Conceptual Framework for Financial Reporting —Chapter 8: Notes to Financial Statements, including the consideration of costs and benefits. The amendments to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amendments are effective for all entities for fiscal years beginning after December 15, 2019, and interim periods within those fiscal years, with early adoption permitted. The Company is currently evaluating the potential impact of ASU 2018-13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Unless the context otherwise requires, “G-III,” “us,” “we” and “our” refer to G-III Apparel Group, Ltd. and its subsidiaries. References to fiscal years refer to the year ended or ending on January 31 of that year. For example, our fiscal year ending January 31, 2020 is referred to as “fiscal 2020.” Vilebrequin, KLH, KLNA and Fabco report results on a calendar year basis rather than on the January 31 fiscal year basis used by G-III. Accordingly, the results of Vilebrequin, KLH, KLNA and Fabco are, and will be, included in our financial statements for the quarter ended or ending closest to G-III’s fiscal quarter end. For example, with respect to our results for the six-month period ended July 31, 2019, the results of Vilebrequin, KLH, KLNA and Fabco are included for the six-month period ended June 30, 2019. We account for our investment in each of KLH, KLNA and Fabco using the equity method of accounting. The Company’s retail operations segment uses a 52/53-week fiscal year. The Company’s three and six-month periods ended July 31, 2019 and 2018 were each a 13-week fiscal quarter and 26-week period, respectively, for the retail operations segment. For fiscal 2020 and 2019, the retail operations segment three month periods ended on August 3, 2019 and August 4, 2018, respectively.</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82" w:lineRule="exact"/>
        <w:rPr>
          <w:sz w:val="20"/>
          <w:szCs w:val="20"/>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licensed products;</w:t>
      </w:r>
    </w:p>
    <w:p>
      <w:pPr>
        <w:spacing w:after="0" w:line="23"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and uncertainties with respect to expansion of our product offerings;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our products at retail and customer acceptance of new products;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retail customer concentration;</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of doing business abroad;</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our retail business;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nature of our business;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foreign manufacturers;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data security or privacy breaches;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current economic and credit environment on us, our customers, suppliers and vendors;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competition in the markets in which we operate, including from e-commerce retailers;</w:t>
      </w:r>
    </w:p>
    <w:p>
      <w:pPr>
        <w:spacing w:after="0" w:line="9" w:lineRule="exact"/>
        <w:rPr>
          <w:rFonts w:ascii="Arial" w:cs="Arial" w:eastAsia="Arial" w:hAnsi="Arial"/>
          <w:sz w:val="18"/>
          <w:szCs w:val="18"/>
          <w:color w:val="auto"/>
        </w:rPr>
      </w:pPr>
    </w:p>
    <w:p>
      <w:pPr>
        <w:ind w:left="680" w:hanging="320"/>
        <w:spacing w:after="0" w:line="281"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redefinition of the retail store landscape in light of widespread retail store closings, the bankruptcy of a number of prominent retailers and the impact of online apparel purchases and innovations by e-commerce retailers;</w:t>
      </w:r>
    </w:p>
    <w:p>
      <w:pPr>
        <w:spacing w:after="0" w:line="1" w:lineRule="exact"/>
        <w:rPr>
          <w:rFonts w:ascii="Arial" w:cs="Arial" w:eastAsia="Arial" w:hAnsi="Arial"/>
          <w:sz w:val="16"/>
          <w:szCs w:val="16"/>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of our retail customers;</w:t>
      </w:r>
    </w:p>
    <w:p>
      <w:pPr>
        <w:spacing w:after="0" w:line="9" w:lineRule="exact"/>
        <w:rPr>
          <w:rFonts w:ascii="Arial" w:cs="Arial" w:eastAsia="Arial" w:hAnsi="Arial"/>
          <w:sz w:val="18"/>
          <w:szCs w:val="18"/>
          <w:color w:val="auto"/>
        </w:rPr>
      </w:pPr>
    </w:p>
    <w:p>
      <w:pPr>
        <w:ind w:left="680" w:right="20" w:hanging="320"/>
        <w:spacing w:after="0" w:line="25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our business of the imposition of tariffs by the United States government and the escalation of trade tensions between countries;</w:t>
      </w: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legislation and/or regulation in the United States or around the world;</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import products in a timely and cost effective manner;</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maintain our reputation;</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effect on the price of our common stock if actual results are worse than financial forecasts;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 and</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0" w:hanging="320"/>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strategies to realize the anticipated benefits of the acquisition of Donna Karan International Inc. (“DKI”).</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2019. We undertake no obligation to publicly update or revise any forward-looking statements, whether as a result of new information, future events or otherwise, except as required by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Paris. We are not only licensees, but also brand owners, and we distribute our products through multiple brick and mortar and online channels.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own proprietary brands include DKNY, Donna Karan, Vilebrequin, G.H. Bass, Eliza J, Jessica Howard, Andrew Marc and Marc New York. We sell products under an extensive portfolio of well-known licensed brands, including Calvin Klein, Tommy Hilfiger, Karl Lagerfeld Paris, Kenneth Cole, Cole Haan, Guess?, Vince Camuto, Levi’s and Dockers. Through our team sports business, we have licenses with the National Football League, National Basketball Association, Major League Baseball, National Hockey League, Starter and over 150 U.S. colleges and universities. We also source and sell to retailers products under their private retail labels.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report based on two segments: wholesale operations and retail operations.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wholesale operations segment includes sales of products to retailers under owned, licensed and private label brands, as well as sales related to the Vilebrequin business. Wholesale revenues also include royalty revenues from license agreements related to our owned trademarks including DKNY, Donna Karan, Vilebrequin, G.H. Bass and Andrew Marc.</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retail operations segment includes direct sales to consumers through company-operated stores and product sales through our owned websites for the DKNY, Donna Karan, Wilsons, G.H. Bass, Andrew Marc and Karl Lagerfeld Paris businesses. Our retail operations segment consists primarily of our Wilsons Leather, G.H. Bass and DKNY stores, substantially all of which are operated as outlet stores, as well as a smaller number of Karl Lagerfeld Paris and Calvin Klein Performance stores. As of July 31, 2019, we operated 132 Wilsons Leather stores, 106 G.H. Bass stores, 38 DKNY stores, 12 Karl Lagerfeld Paris stores and 4 Calvin Klein Performance stores.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Products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more than 25 years, the sale of licensed products has been a key element of our strategy. We have continually sought to increase our portfolio of name brands, product offerings and tiers of distribution because we believe that consumers prefer to buy brands that they know and brand owners prefer to engage licensees who have a successful track record of developing brands.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most significant licensor is Calvin Klein with whom we have eleven different license agreements in the United States and Canada. We also have distribution agreements with respect to Calvin Klein luggage in a number of foreign countries. In June 2019, we expanded our relationship with Calvin Klein by entering into a license agreement with an initial term of five years for the design, production and wholesale distribution of </w:t>
      </w:r>
      <w:r>
        <w:rPr>
          <w:rFonts w:ascii="Arial" w:cs="Arial" w:eastAsia="Arial" w:hAnsi="Arial"/>
          <w:sz w:val="17"/>
          <w:szCs w:val="17"/>
          <w:i w:val="1"/>
          <w:iCs w:val="1"/>
          <w:color w:val="auto"/>
        </w:rPr>
        <w:t>Calvin Klein Jeans</w:t>
      </w:r>
      <w:r>
        <w:rPr>
          <w:rFonts w:ascii="Arial" w:cs="Arial" w:eastAsia="Arial" w:hAnsi="Arial"/>
          <w:sz w:val="17"/>
          <w:szCs w:val="17"/>
          <w:color w:val="auto"/>
        </w:rPr>
        <w:t xml:space="preserve"> women’s jeanswear in the United States and Canada. This was our eleventh license agreement with Calvin Klein. Shipments of our first </w:t>
      </w:r>
      <w:r>
        <w:rPr>
          <w:rFonts w:ascii="Arial" w:cs="Arial" w:eastAsia="Arial" w:hAnsi="Arial"/>
          <w:sz w:val="17"/>
          <w:szCs w:val="17"/>
          <w:i w:val="1"/>
          <w:iCs w:val="1"/>
          <w:color w:val="auto"/>
        </w:rPr>
        <w:t>Calvin Klein Jeans</w:t>
      </w:r>
      <w:r>
        <w:rPr>
          <w:rFonts w:ascii="Arial" w:cs="Arial" w:eastAsia="Arial" w:hAnsi="Arial"/>
          <w:sz w:val="17"/>
          <w:szCs w:val="17"/>
          <w:color w:val="auto"/>
        </w:rPr>
        <w:t xml:space="preserve"> women’s jeanswear line are expected to begin this holiday season.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 significant relationship with Tommy Hilfiger, with whom we have a multi-category womenswear license in the United States and Canada. This license for women’s sportswear, dresses, suit separates, performance and denim is in addition to our Tommy Hilfiger men’s and women’s outerwear license and Tommy Hilfiger luggage license, both also in the United States and Canada.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of Proprietary Brands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license our proprietary brands in a variety of categories and continue to seek new licensing opportunities for these brands to broaden the reach of these brands.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strong relationships with category leading license partners, including, but not limited to, Estee Lauder, Fossil, Marchon, Komar and PVH Corp. The DKNY and Donna Karan brands have worldwide license agreements for a broad array of products including fragrance, hosiery, intimates, eyewear, jewelry, bedding and bath products and women’s sleepwear and loungewear. Additionally, we license the DKNY brand in the United States and internationally for children’s clothing, men’s and women’s watches, men’s tailored clothing, men’s sportswear, men’s dress shirts, men’s neckwear, men’s underwear, men’s loungewear, men’s swimwear, men’s belts and small leather goods, women’s belts and cold weather accessories and men’s and women’s socks. We have also licensed the DKNY and Donna Karan brands for men’s and women’s apparel and accessories in China pursuant to a long-term license agreement with a joint venture of which we are a 49% owner. In July 2019, we signed a new license for DKNY furniture in the United States, Canada, Mexico and China.</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to continue to focus on expanding licensing opportunities for the DKNY and Donna Karan brands. We believe that we can capitalize on significant, untapped global licensing potential for these brands in a number of categories and we intend to grow royalty streams by expanding existing licenses, as well as through new categories with new licensees.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license the G.H. Bass brand in the United States and internationally for men’s, women’s and children’s footwear, men’s sportswear, men’s socks, women’s hosiery and men’s accessories, men’s belts and small leather goods, men’s underwear and loungewear and bedding and bath products.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license the Vilebrequin brand internationally for a denim line and the Andrew Marc brand in North America for men’s and boy’s tailored clothing.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Operations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Given the current retail environment, we remain committed to eliminating the losses from our own retail operations as swiftly and efficiently as possible. Our strategy includes termination or renegotiation of long-term leases as they approach renewal, implementing cost-cutting initiatives, revising our merchandising strategy to drive additional sales and repurposing certain Wilsons and G.H. Bass stores for the Karl Lagerfeld Paris or DKNY brands. To lead this effort, in January 2019, we hired a new President of our retail business who is an industry veteran with a proven track record at leading retailers. We are moving in a parallel path of trying to improve the products offered by and the results of our retail businesses, while also reducing our store count more aggressively than we have in the past. Looking ahead for the fall and holiday season, we anticipate some performance benefits from product enhancements we have implemented. At the same time, we continue to focus on reducing our expense base. We recognize the need to be more aggressive in addressing the issues related to our own retail operations. In July 2019, we engaged outside advisors to assist us with this process.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Significant trends that affect the apparel industry include retail chains closing unprofitable stores, an increased focus by retail chains and others on expanding e-commerce sales and providing convenience-driven fulfillment options, the continued consolidation of retail chains and the desire on the part of retailers to consolidate vendors supplying them. In addition, consumer shopping preferences have continued to shift from physical stores to online shopping and retail traffic remains under pressure. All of these factors have led to a more promotional retail environment that includes aggressive markdowns in an attempt to offset declines caused by a reduction in physical store traffic.</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sell our products over the web through retail partners such as macys.com and nordstrom.com, each of which has a substantial online business. As e-commerce sales of apparel continue to increase, we are developing additional digital marketing initiatives on our web sites and through social media. We are investing in digital personnel, marketing, logistics, planning and distribution to help us expand our online opportunities going forward. Our e-commerce business consists of our own web platforms at www.dkny.com, www.donnakaran.com, www.wilsonsleather.com, www.ghbass.com, www.vilebrequin.com and www.andrewmarc.com. We also sell Karl Lagerfeld Paris products on our website, www.karllagerfeldparis.com. In addition, we sell to pure play online retail partners such as Amazon and Fanatics.</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number of retailers are experiencing financial difficulties, which in some cases have resulted in bankruptcies, liquidations and/or store closings, such as the bankruptcy of Bon-Ton last year.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attempted to respond to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Tariffs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apparel and accessories industry has been impacted by tariffs implemented by the United States government on goods imported from China. Tariffs on handbags and leather outerwear imported from China were effective beginning in September 2018, and were initially in the amount of 10% of the merchandise cost to us. The level of tariffs on these product categories was increased to 25% beginning May 10, 2019.</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tariffs imposed on products imported by us from China primarily impacted our handbag and leather outerwear categories. These specific categories represented approximately 7% of our net sales in fiscal 2019. If the incremental 15% increase in tariffs on these categories remain in place for the remainder of fiscal 2020, we estimate that our costs would increase by approximately $6.0 million.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1, 2019, the United States government announced new 10% tariffs that will cover the remaining estimated $300 billion of inbound trade from China, including most of our apparel products. On August 23, 2019, the United States government announced that the new tariffs to go into effect would increase from 10% to 15%. The new 15% tariffs went into effect on September 1, 2019, although the additional tariffs on certain categories of products were delayed until December 15, 2019. The announcement follows an earlier proposal by the United States government that would have imposed 25% tariffs on the balance of inbound trade from China, but that were suspended pending trade negotiations with China. It is difficult to accurately estimate the impact on our business from these tariff actions or similar actions or when additional tariffs may become effective. For fiscal 2019, approximately 61% of the products that we sold were manufactured in China. Assuming no offsets from price increases, sourcing changes or other changes to regulatory rulings, all of which are currently under review, we estimate that the additional 15% tariff effective as of September 1, 2019 will increase our costs in the second half of fiscal 2020 by approximately $12.0 million.</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United States government continues to negotiate with China with respect to a trade deal, which could lead to the removal or postponement of the additional tariffs. If the U.S. and China are not able to resolve their differences, additional tariffs may be put in place and additional products may become subject to tariffs. Tariffs on additional products imported by us from China would increase our costs, could require us to increase prices to our customers and would cause us to seek price concessions from our vendors. If we are unable to increase prices to offset an increase in tariffs, this would result in our realizing lower gross margins on the products sold by us and could harm our operating results. We have engaged in a number of efforts to mitigate the effect on our results of operations of increases in tariffs on products imported by us from China, including accelerating the receipt of inventory, diversifying our sourcing network by arranging to move production out of China, negotiating with our vendors in China to receive vendor support to lessen the impact of increased tariffs on our cost of goods sold, and discussing with our customers the implementation of price increases that we believe our products can absorb because of the strength of our portfolio of brands.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2019 compared to three months ended July 31,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for the three months ended July 31, 2019 increased to $643.9 million from $624.7 million in the same period last year. Net sales of our segments are reported before intercompany eliminations.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of our wholesale operations segment increased to $588.6 million for the three months ended July 31, 2019 from $544.6 million in the comparable period last year. This increase is primarily the result of a $23.8 million increase in net sales of Tommy Hilfiger licensed products and a $17.1 million increase in net sales of our DKNY and Donna Karan products. The Tommy Hilfiger increase was primarily related to the sportswear, outerwear, dress and suits product lines and the DKNY/Donna Karan increase was primarily related to the handbag, outerwear, sportswear, footwear and suit separates product lines. Net sales of Calvin Klein licensed products increased $14.4 million primarily related to the sportswear, outerwear and handbag product lines. These increases were offset, in part, by a $10.8 million decrease in sales of Ivanka Trump product in connection with the expiration of that license.</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sales of our retail operations segment were $83.7 million for the three months ended July 31, 2019 compared to $106.7 million in the same period last year. Net sales decreased $12.3 million at our G.H. Bass store chain, $8.9 million at our Wilsons retail stores and $2.1 million at our DKNY retail stores. Same store sales decreased by 20.5% at Wilsons stores and 15.8% at G.H. Bass stores compared to the same period in the prior year. Same store sales increased by 2.8% at DKNY stores compared to the same period in the prior year. Net sales of our retail operations segment were negatively affected by the decrease in the number of stores operated by us from 347 at July 31, 2018 to 292 at July 31, 2019.</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was $231.8 million, or 36.0% of net sales, for the three months ended July 31, 2019, compared to $231.5 million, or 37.1% of net sales, in the same period last year. Retail sales generally have a higher gross profit percentage than wholesale sales. Accordingly, there is a negative impact on the gross profit percentage of our business as a whole as retail sales constitute a reduced percentage of our total sales. The gross profit percentage in our wholesale operations segment was 32.8% in the three months ended July 31, 2019 compared to 33.4% in the same period last year. The gross profit percentage in our retail operations segment was 46.5% for the three months ended July 31, 2019 compared to 46.6% for the same period last year.</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decreased to $196.4 million in the three months ended July 31, 2019 from $198.9 million in the same period last year. The decrease in expenses was primarily due to a decrease of $6.2 million in rent and personnel costs resulting from store closures, which were offset, in part, by an increase of $2.3 million in the accrual for annual incentive bonuses and additional advertising of $1.0 million.</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Depreciation and amortization were $9.8 million for the three months ended July 31, 2019 compared to $9.5 million in the same period last year. The increase in expense is primarily due to depreciation related to additional capital expenditures.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loss was $0.8 million in the three months ended July 31, 2019 compared to less than $0.1 million in the same period last year. This increase is primarily the result of recording $0.4 million of foreign currency losses during the three months ended July 31, 2019 compared to $0.4 million of foreign currency gains recorded during the three months ended July 31, 2019. In addition, we recorded a $0.4 million loss from unconsolidated affiliates during the three months ended July 31, 2019 compared to $0.5 million in the same period last year.</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Interest and financing charges, net, for the three months ended July 31, 2019 were $10.8 million compared to $10.2 million for the same period last year. This increase was due to higher interest rates and higher average borrowings.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expense was $4.3 million for the three months ended July 31, 2019 compared to $2.9 million for the same period last year primarily as a result of recording additional pre-tax book income. Our effective tax rate increased to 27.7% in the current year’s quarter from 22.4% in last year’s comparable quarter. Our effective tax rate includes the effect of an income tax charge of $0.2 million in the three months ended July 31, 2019 and an income tax benefit of $0.1 million in the three months ended July 31, 2018 in connection with the vesting of equity awards. In addition, our effective tax rate for the three months ended July 31, 2018 includes a $0.3 million income tax benefit in connection with changes to state tax legislatives that increased our deferred tax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July 31, 2019 compared to six months ended July 31, 2018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six months ended July 31, 2019 increased to $1.28 billion from $1.24 billion in the same period last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sales of our segments are reported before intercompany eliminations.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of our wholesale operations segment increased to $1.16 billion for the six months ended July 31, 2019 from $1.07 billion in the comparable period last year. This increase is primarily the result of a $67.4 million increase in net sales of Tommy Hilfiger licensed products and a $32.6 million increase in net sales of our DKNY and Donna Karan products. The Tommy Hilfiger increase was primarily related to the performance, sportswear, dress, suit separates and denim product lines and the DKNY/Donna Karan increase was primarily related to the handbag, women’s outerwear, performance, sportswear and footwear product lines. Net sales of Calvin Klein licensed products increased $14.5 million primarily related to the handbag, performance and outerwear product lines. These increases were offset, in part, by a $20.9 million decrease in sales of Ivanka Trump product in connection with the expiration of that license.</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sales of our retail operations segment were $165.6 million for the six months ended July 31, 2019 compared to $211.2 million in the same period last year. Net sales decreased $20.6 million at each of our G.H. Bass store chain and our Wilsons retail stores and $4.2 million at our DKNY retail stores. Same store sales decreased by 21.9% at Wilsons stores and 13.6% at G.H. Bass stores compared to the same period in the prior year. Same store sales increased by 1.0% at DKNY stores compared to the same period in the prior year. Net sales of our retail operations segment were negatively affected by the decrease in the number of stores operated by us from 347 at July 31, 2018 to 292 at July 31, 2019.</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was $467.8 million, or 36.6% of net sales, for the six months ended July 31, 2019, compared to $466.1 million, or 37.7% of net sales, in the same period last year. Retail sales generally have a higher gross profit percentage than wholesale sales. Accordingly, there is a negative impact on the gross profit percentage of our business as a whole as retail sales constitute a reduced percentage of our total sales. The gross profit percentage in our wholesale operations segment was 33.8% in the six months ended July 31, 2019 compared to 34.3% in the same period last year. The gross profit percentage in our retail operations segment was 45.8% for the six months ended July 31, 2019 compared to 46.5% for the same period last year.</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decreased to $398.3 million in the six months ended July 31, 2019 from $400.9 million in the same period last year. The decrease in expenses was primarily due to a $14.2 million decrease in rent, personnel costs and other benefits primarily as a result of store closures. The decrease was offset, in part, by increases of $5.4 million for third-party warehouse expenses, $3.3 million in the accrual for annual incentive bonuses and $2.3 million of advertising expenses.</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Depreciation and amortization were $19.3 million for the six months ended July 31, 2019 compared to $18.8 million in the same period last year. The increase in expense is primarily due to depreciation related to additional capital expenditures.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loss was $1.4 million in the six months ended July 31, 2019 compared to $0.5 million in the same period last year. This increase is primarily the result of recording $1.0 million of foreign currency losses during the six months ended July 31, 2019 compared to $1.3 million of foreign currency gains recorded during the six months ended July 31, 2019. In addition, we recorded a $0.4 million loss from unconsolidated affiliates during the six months ended July 31, 2019 compared to $1.8 million in the same period last year.</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and financing charges, net, for the six months ended July 31, 2019 were $21.1 million compared to $19.8 million for the same period last year. This increase was due to higher interest rates and higher average borrowings.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 expense was $6.8 million for the six months ended July 31, 2019 compared to $6.0 million for the same period last year. Our effective tax rate decreased to 22.7% in the current period from 23.2% in the same period last year. Our effective tax rate includes the effect of an income tax benefit of $1.3 million in the six months ended July 31, 2019 and $0.4 million in the six months ended July 31, 2018 in connection with the vesting of equity awards.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 2016, we borrowed $350.0 million under a senior secured term loan facility (the “Term Loan”). Additionally, on December 1, 2016, we prepaid $50.0 million in principal amount of the Term Loan, reducing the principal balance of the Term Loan to $300.0 million. The Term Loan will mature in December 2022.</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on the outstanding principal amount of the Term Loan accrues at a rate equal to the London Interbank Offered Rate (“LIBOR”), subject to a 1% floor, plus an applicable margin of 5.25% or an alternate base rate (defined as the greatest of</w:t>
      </w:r>
    </w:p>
    <w:p>
      <w:pPr>
        <w:ind w:left="240" w:hanging="231"/>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“prime rate” as published by the Wall Street Journal from time to time, (ii) the federal funds rate plus 0.5% and</w:t>
      </w:r>
    </w:p>
    <w:p>
      <w:pPr>
        <w:spacing w:after="0" w:line="20" w:lineRule="exact"/>
        <w:rPr>
          <w:rFonts w:ascii="Arial" w:cs="Arial" w:eastAsia="Arial" w:hAnsi="Arial"/>
          <w:sz w:val="17"/>
          <w:szCs w:val="17"/>
          <w:color w:val="auto"/>
        </w:rPr>
      </w:pPr>
    </w:p>
    <w:p>
      <w:pPr>
        <w:ind w:right="20" w:firstLine="9"/>
        <w:spacing w:after="0" w:line="261" w:lineRule="auto"/>
        <w:tabs>
          <w:tab w:leader="none" w:pos="32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LIBOR rate for a borrowing with an interest period of one month) plus 4.25%, per annum, payable in cash. As of July 31, 2019, interest under the Term Loan was being paid at the average rate of 7.73% per annum.</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Loan is secured (i) on a first-priority basis by a lien on, among other things, our real estate assets, equipment and fixtures, equity interests and intellectual property and certain related rights owned by us and by certain of our subsidiaries and (ii) by a second-priority security interest in our and certain of our subsidiaries other assets, which will secure on a first-priority basis our asset-based loan facility described below under the caption “Revolving Credit Facility.”</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 is required to be prepaid with the proceeds of certain asset sales if such proceeds are not applied as required by the agreement within specified deadlines. The Term Loan is also required to be prepaid in an amount equal to 75% of our Excess Cash Flow (as defined in the agreement) with respect to each fiscal year ending on or after January 31, 2018. The percentage of Excess Cash Flow that must be so applied is reduced to 50% if our senior secured leverage ratio is less than 3.00 to 1.00, to 25% if our senior secured leverage ratio is less than 2.75 to 1.00 and to 0% if our senior secured leverage ratio is less than 2.25 to 1.00.</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 contains covenants that, among other things, restrict our ability, subject to certain exceptions, to incur additional debt; incur liens; sell or dispose of certain assets; merge with other companies; liquidate or dissolve G-III; acquire other companies; make loans, advances, or guarantees; and make certain investments. As described above, the Term Loan also includes a mandatory prepayment provision with respect to Excess Cash Flow. A first lien leverage covenant requires the Company to maintain a level of debt to EBITDA at a ratio as defined over the term of the agreement. As of July 31, 2019, we were in compliance with these covenants.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1, 2016, our previous credit agreement was refinanced and replaced by a five-year senior secured revolving credit facility providing for borrowings in the aggregate principal amount of up to $650 million (the “revolving credit facility”). Amounts available under the revolving credit facility are subject to borrowing base formulas and over advances as specified in the revolving credit facility agreement. Borrowings bear interest, at our option, at LIBOR plus a margin of 1.25% to 1.75% or an alternate base rate (defined as the greatest of (i) the “prime rate” of JPMorgan Chase Bank, N.A. from time to time, (ii) the federal funds rate plus 0.5% and (iii) the LIBOR rate for a borrowing with an interest period of one month) plus a margin of 0.25% to 0.75%, with the applicable margin determined based on the availability under the revolving credit facility agreement. As of July 31, 2019, interest under the revolving credit agreement was being paid at the average rate of 3.68% per annum. The revolving credit facility is secured by specified assets of us and certain of our subsidiaries. In addition to paying interest on any outstanding borrowings under the revolving credit facility, we are required to pay a commitment fee to the lenders under the revolving credit facility agreement with respect to the unutilized commitments. The commitment fee accrues at a rate equal to 0.25% per annum on the average daily amount of the available commitment.</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revolving credit facility contains covenants that, among other things, restrict our ability, subject to specified exceptions, to incur additional debt; incur liens; sell or dispose of certain assets; merge with other companies; liquidate or dissolve G-III; acquire other companies; make loans, advances, or guarantees; and make certain investments. In certain circumstances, the revolving credit facility also requires us to maintain a fixed charge coverage ratio, as defined in the agreement, that may not be less than 1.00 to 1.00 for each period of twelve consecutive fiscal months. As of July 31, 2019, we were in compliance with these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December 1, 2016, we issued to LVMH Moet Hennessy Louis Vuitton Inc. (“LVMH”), as a portion of the consideration for the acquisition of DKI,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 Based on an independent valuation, it was determined that the LVMH Note should be treated as having been issued at a discount of $40.0 million in accordance with ASC 820 – </w:t>
      </w:r>
      <w:r>
        <w:rPr>
          <w:rFonts w:ascii="Arial" w:cs="Arial" w:eastAsia="Arial" w:hAnsi="Arial"/>
          <w:sz w:val="17"/>
          <w:szCs w:val="17"/>
          <w:i w:val="1"/>
          <w:iCs w:val="1"/>
          <w:color w:val="auto"/>
        </w:rPr>
        <w:t>Fair Value Measurements</w:t>
      </w:r>
      <w:r>
        <w:rPr>
          <w:rFonts w:ascii="Arial" w:cs="Arial" w:eastAsia="Arial" w:hAnsi="Arial"/>
          <w:sz w:val="17"/>
          <w:szCs w:val="17"/>
          <w:color w:val="auto"/>
        </w:rPr>
        <w:t>. This discount is being amortized as interest expense using the effective interest method over the term of the LVMH Note.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issuance of the LVMH Note, LVMH entered into (i) a subordination agreement providing that our obligations under the LVMH Note are subordinate and junior to our obligations under the revolving credit facility and the Term Loan, and (ii) a pledge and security agreement with us and our subsidiary, G-III Leather Fashions, Inc.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the Term Loan.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Loan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15, 2019, T.R.B. International SA (“TRB”), a subsidiary of Vilebrequin, borrowed €3.0 million under an unsecured loan with Banque du Leman S.A (the “Unsecured Loan”). The Unsecured Loan matures on April 15, 2024. During the term of the Unsecured Loan, TRB is required to make quarterly installment payments of €0.2 million. Interest on the outstanding principal amount of the Unsecured Loan accrues at a fixed rate equal to 1.50% per annum, payable in cash.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Borrowings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revolving credit facility during our third fiscal quarter. The primary sources to meet our operating cash requirements have been borrowings under our revolving credit facility and cash generated from operations.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incurred significant additional debt in connection with our acquisition of DKI. We had borrowings outstanding under the revolving credit facility of $160.0 million and $111.4 million at July 31, 2019 and 2018, respectively. In addition, we had $300.0 million in borrowings outstanding under the Term Loan at both July 31, 2019 and 2018. Our contingent liability under open letters of credit was approximately $13.4 million and $15.8 million at July 31, 2019 and 2018, respectively. In addition to the amounts outstanding under these two loan agreements, at July 31, 2019 and 2018, we had $125.0 million of face value principal amount outstanding under the LVMH Note. As of June 30, 2019, we also had €2.9 million ($3.3 million) outstanding under the Unsecured Loan.</w:t>
      </w:r>
    </w:p>
    <w:p>
      <w:pPr>
        <w:spacing w:after="0" w:line="189" w:lineRule="exact"/>
        <w:rPr>
          <w:sz w:val="20"/>
          <w:szCs w:val="20"/>
          <w:color w:val="auto"/>
        </w:rPr>
      </w:pPr>
    </w:p>
    <w:p>
      <w:pPr>
        <w:ind w:right="1540"/>
        <w:spacing w:after="0" w:line="422" w:lineRule="auto"/>
        <w:rPr>
          <w:sz w:val="20"/>
          <w:szCs w:val="20"/>
          <w:color w:val="auto"/>
        </w:rPr>
      </w:pPr>
      <w:r>
        <w:rPr>
          <w:rFonts w:ascii="Arial" w:cs="Arial" w:eastAsia="Arial" w:hAnsi="Arial"/>
          <w:sz w:val="18"/>
          <w:szCs w:val="18"/>
          <w:color w:val="auto"/>
        </w:rPr>
        <w:t xml:space="preserve">We had cash and cash equivalents of $39.6 million on July 31, 2019 and $42.3 million on July 31, 2018. </w:t>
      </w:r>
      <w:r>
        <w:rPr>
          <w:rFonts w:ascii="Arial" w:cs="Arial" w:eastAsia="Arial" w:hAnsi="Arial"/>
          <w:sz w:val="18"/>
          <w:szCs w:val="18"/>
          <w:i w:val="1"/>
          <w:iCs w:val="1"/>
          <w:color w:val="auto"/>
        </w:rPr>
        <w:t>Share Repurchase Program</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of Directors has authorized a share repurchase program of 5,000,000 shares.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We repurchased 1,327,566 shares of our common stock during the three months ended July 31, 2019 for an aggregate purchase price of $35.2 million. We have 2,949,362 authorized shares remaining under this program. As of September 3, 2019, we had 47,745,045 shares of common stock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used $132.9 million of cash in operating activities during the six months ended July 31, 2019, primarily due to an increase of $265.8 million in inventories and decreases of $64.5 million in customer refund liabilities and $38.3 million in operating lease liabilities. These items were offset, in part, by net income of $23.2 million, non-cash depreciation and amortization of $19.3 million, non-cash operating lease costs of $36.7 million, an increase in accounts payable and accrued expenses of $109.0 million and a decrease of $37.5 million in accounts receivable.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changes in operating cash flow items are consistent with our seasonal pattern of building up inventory for the fall shipping season resulting in the increases in inventory and accounts payable. The fall shipping season begins during the latter half of our second quarter. In addition, we accelerated inventory receipts in anticipation of expected increases in tariffs on apparel products imported from China. Our accounts receivable and customer refund liabilities decreased because we experience lower sales levels in our first and second quarters than in our third and fourth quarters.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used $19.5 million of cash in investing activities during the six months ended July 31, 2019 for capital expenditures and operating lease assets initial direct costs. Capital expenditures in the period primarily related to information technology expenditures and additional fixturing costs at department stores. Operating lease assets initial direct costs in the period primarily related to payments of key money and broker fees.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was $120.8 million during the six months ended July 31, 2019 primarily as a result of the net proceeds of $160.0 million in borrowings under the revolving credit facility offset, in part, by $35.2 million of cash used to repurchase shares under our share repurchase program and $7.4 million for taxes paid in connection with net share settlements.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Needs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cash on hand and cash generated from operations over the full fiscal year, together with funds available under our revolving credit facility, are sufficient to meet our expected operating and capital expenditure requirements. We may seek to acquire other businesses in order to expand our business. We may need additional financing in order to complete one or more acquisitions. We cannot be certain that we will be able to obtain additional financing, if required, on acceptable terms or at all.</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policies and related estimates described in our Annual Report on Form 10-K for the year ended January 31, 2019 are those that depend most heavily on these judgments and estimates. As of July 31, 2019, there have been no material changes to our critical accounting policies, other than the adoption of new lease accounting standards as discussed in Note 4 to the Condensed Consolidated Financial Statements.</w:t>
      </w:r>
    </w:p>
    <w:p>
      <w:pPr>
        <w:spacing w:after="0" w:line="18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material changes to the disclosure made with respect to these matters in our Annual Report on Form 10-K for the year ended January 31, 2019.</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“Item 1A. Risk Factors” in our Annual Report on Form 10-K for the year ended January 31, 2019 (the “Annual Report”), which could materially affect our business, financial condition or future results. There have been no material changes to these risk factors as of July 31, 2019.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table provides information with respect to the Company’s common stock that the Company repurchased during the three months ended July 31, 2019. Included in this table are shares withheld during June and July 2019 in connection with the settlement of vested restricted stock units to satisfy tax withholding requirements.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w:t>
            </w:r>
          </w:p>
        </w:tc>
        <w:tc>
          <w:tcPr>
            <w:tcW w:w="20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Total Number of</w:t>
            </w:r>
          </w:p>
        </w:tc>
        <w:tc>
          <w:tcPr>
            <w:tcW w:w="17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Average Price Paid Per</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0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Purchased</w:t>
            </w:r>
          </w:p>
        </w:tc>
        <w:tc>
          <w:tcPr>
            <w:tcW w:w="1640" w:type="dxa"/>
            <w:vAlign w:val="bottom"/>
            <w:gridSpan w:val="2"/>
            <w:vMerge w:val="continue"/>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 xml:space="preserve">Shares Purchased </w:t>
            </w:r>
            <w:r>
              <w:rPr>
                <w:rFonts w:ascii="Arial" w:cs="Arial" w:eastAsia="Arial" w:hAnsi="Arial"/>
                <w:sz w:val="10"/>
                <w:szCs w:val="10"/>
                <w:b w:val="1"/>
                <w:bCs w:val="1"/>
                <w:color w:val="auto"/>
                <w:w w:val="92"/>
              </w:rPr>
              <w:t>(1) (2)</w:t>
            </w:r>
          </w:p>
        </w:tc>
        <w:tc>
          <w:tcPr>
            <w:tcW w:w="32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 xml:space="preserve">Share </w:t>
            </w:r>
            <w:r>
              <w:rPr>
                <w:rFonts w:ascii="Arial" w:cs="Arial" w:eastAsia="Arial" w:hAnsi="Arial"/>
                <w:sz w:val="10"/>
                <w:szCs w:val="10"/>
                <w:b w:val="1"/>
                <w:bCs w:val="1"/>
                <w:color w:val="auto"/>
                <w:w w:val="94"/>
              </w:rPr>
              <w:t>(1)</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Program </w:t>
            </w:r>
            <w:r>
              <w:rPr>
                <w:rFonts w:ascii="Arial" w:cs="Arial" w:eastAsia="Arial" w:hAnsi="Arial"/>
                <w:sz w:val="10"/>
                <w:szCs w:val="10"/>
                <w:b w:val="1"/>
                <w:bCs w:val="1"/>
                <w:color w:val="auto"/>
                <w:w w:val="94"/>
              </w:rPr>
              <w:t>(2)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 xml:space="preserve">Program </w:t>
            </w:r>
            <w:r>
              <w:rPr>
                <w:rFonts w:ascii="Arial" w:cs="Arial" w:eastAsia="Arial" w:hAnsi="Arial"/>
                <w:sz w:val="10"/>
                <w:szCs w:val="10"/>
                <w:b w:val="1"/>
                <w:bCs w:val="1"/>
                <w:color w:val="auto"/>
                <w:w w:val="94"/>
              </w:rPr>
              <w:t>(2)</w:t>
            </w:r>
          </w:p>
        </w:tc>
        <w:tc>
          <w:tcPr>
            <w:tcW w:w="0" w:type="dxa"/>
            <w:vAlign w:val="bottom"/>
          </w:tcPr>
          <w:p>
            <w:pPr>
              <w:spacing w:after="0"/>
              <w:rPr>
                <w:sz w:val="1"/>
                <w:szCs w:val="1"/>
                <w:color w:val="auto"/>
              </w:rPr>
            </w:pPr>
          </w:p>
        </w:tc>
      </w:tr>
      <w:tr>
        <w:trPr>
          <w:trHeight w:val="210"/>
        </w:trPr>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1 - May 31, 2019</w:t>
            </w: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4,276,928</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June 1 - June 30, 2019</w:t>
            </w:r>
          </w:p>
        </w:tc>
        <w:tc>
          <w:tcPr>
            <w:tcW w:w="1440" w:type="dxa"/>
            <w:vAlign w:val="bottom"/>
          </w:tcPr>
          <w:p>
            <w:pPr>
              <w:jc w:val="right"/>
              <w:spacing w:after="0"/>
              <w:rPr>
                <w:sz w:val="20"/>
                <w:szCs w:val="20"/>
                <w:color w:val="auto"/>
              </w:rPr>
            </w:pPr>
            <w:r>
              <w:rPr>
                <w:rFonts w:ascii="Arial" w:cs="Arial" w:eastAsia="Arial" w:hAnsi="Arial"/>
                <w:sz w:val="18"/>
                <w:szCs w:val="18"/>
                <w:color w:val="auto"/>
              </w:rPr>
              <w:t>745,788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25.57</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703,486</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3,573,442</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 July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625,349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624,080</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1,371,137</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2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1,327,566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440" w:right="100" w:hanging="330"/>
        <w:spacing w:after="0" w:line="227" w:lineRule="auto"/>
        <w:tabs>
          <w:tab w:leader="none" w:pos="440" w:val="left"/>
        </w:tabs>
        <w:numPr>
          <w:ilvl w:val="0"/>
          <w:numId w:val="12"/>
        </w:numPr>
        <w:rPr>
          <w:rFonts w:ascii="Arial" w:cs="Arial" w:eastAsia="Arial" w:hAnsi="Arial"/>
          <w:sz w:val="11"/>
          <w:szCs w:val="11"/>
          <w:color w:val="auto"/>
        </w:rPr>
      </w:pPr>
      <w:r>
        <w:rPr>
          <w:rFonts w:ascii="Arial" w:cs="Arial" w:eastAsia="Arial" w:hAnsi="Arial"/>
          <w:sz w:val="14"/>
          <w:szCs w:val="14"/>
          <w:color w:val="auto"/>
        </w:rPr>
        <w:t>Included are 43,571 shares withheld during June and July 2019 in connection with the settlement of vested restricted stock units to satisfy tax withholding requirements. The 2015 Long-Term Incentive Plan provides that shares withheld are valued at the closing price per share on the date withheld.</w:t>
      </w:r>
    </w:p>
    <w:p>
      <w:pPr>
        <w:jc w:val="both"/>
        <w:ind w:left="440" w:right="100" w:hanging="330"/>
        <w:spacing w:after="0" w:line="229" w:lineRule="auto"/>
        <w:tabs>
          <w:tab w:leader="none" w:pos="440" w:val="left"/>
        </w:tabs>
        <w:numPr>
          <w:ilvl w:val="0"/>
          <w:numId w:val="12"/>
        </w:numPr>
        <w:rPr>
          <w:rFonts w:ascii="Arial" w:cs="Arial" w:eastAsia="Arial" w:hAnsi="Arial"/>
          <w:sz w:val="11"/>
          <w:szCs w:val="11"/>
          <w:color w:val="auto"/>
        </w:rPr>
      </w:pPr>
      <w:r>
        <w:rPr>
          <w:rFonts w:ascii="Arial" w:cs="Arial" w:eastAsia="Arial" w:hAnsi="Arial"/>
          <w:sz w:val="14"/>
          <w:szCs w:val="14"/>
          <w:color w:val="auto"/>
        </w:rPr>
        <w:t>In December 2015, our Board of Directors reapproved and increased a previously authorized share repurchase program from the 3,750,000 shares remaining under that plan to 5,000,000 shares. This program has no expiration date. Repurchases under the program may be made from time to time over the period through open market purchases, accelerated share repurchase programs, privately negotiated transactions or other methods, as we deem appropriate.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240" w:type="dxa"/>
            <w:vAlign w:val="bottom"/>
            <w:gridSpan w:val="5"/>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05"/>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824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Certification by Morris Goldfarb, Chief Executive Officer of G-III Apparel Group, Ltd., pursuant to Rule 13a -</w:t>
              </w:r>
            </w:hyperlink>
          </w:p>
        </w:tc>
      </w:tr>
      <w:tr>
        <w:trPr>
          <w:trHeight w:val="196"/>
        </w:trPr>
        <w:tc>
          <w:tcPr>
            <w:tcW w:w="820" w:type="dxa"/>
            <w:vAlign w:val="bottom"/>
          </w:tcPr>
          <w:p>
            <w:pPr>
              <w:spacing w:after="0"/>
              <w:rPr>
                <w:sz w:val="17"/>
                <w:szCs w:val="17"/>
                <w:color w:val="auto"/>
              </w:rPr>
            </w:pPr>
          </w:p>
        </w:tc>
        <w:tc>
          <w:tcPr>
            <w:tcW w:w="82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14(a) or Rule 15d - 14(a) of the Securities Exchange Act of 1934, as amended, in connection with G-III Apparel</w:t>
              </w:r>
            </w:hyperlink>
          </w:p>
        </w:tc>
      </w:tr>
      <w:tr>
        <w:trPr>
          <w:trHeight w:val="196"/>
        </w:trPr>
        <w:tc>
          <w:tcPr>
            <w:tcW w:w="820" w:type="dxa"/>
            <w:vAlign w:val="bottom"/>
          </w:tcPr>
          <w:p>
            <w:pPr>
              <w:spacing w:after="0"/>
              <w:rPr>
                <w:sz w:val="17"/>
                <w:szCs w:val="17"/>
                <w:color w:val="auto"/>
              </w:rPr>
            </w:pPr>
          </w:p>
        </w:tc>
        <w:tc>
          <w:tcPr>
            <w:tcW w:w="63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Group, Ltd.’s Quarterly Report on Form 10Q for the fiscal quarter ended July 31, 2019.</w:t>
              </w:r>
            </w:hyperlink>
          </w:p>
        </w:tc>
        <w:tc>
          <w:tcPr>
            <w:tcW w:w="1940" w:type="dxa"/>
            <w:vAlign w:val="bottom"/>
            <w:gridSpan w:val="4"/>
          </w:tcPr>
          <w:p>
            <w:pPr>
              <w:spacing w:after="0"/>
              <w:rPr>
                <w:sz w:val="17"/>
                <w:szCs w:val="17"/>
                <w:color w:val="auto"/>
              </w:rPr>
            </w:pP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240" w:type="dxa"/>
            <w:vAlign w:val="bottom"/>
            <w:gridSpan w:val="5"/>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Certification by Neal S. Nackman, Chief Financial Officer of G-III Apparel Group, Ltd., pursuant to Rule 13a -</w:t>
              </w:r>
            </w:hyperlink>
          </w:p>
        </w:tc>
      </w:tr>
      <w:tr>
        <w:trPr>
          <w:trHeight w:val="20"/>
        </w:trPr>
        <w:tc>
          <w:tcPr>
            <w:tcW w:w="820" w:type="dxa"/>
            <w:vAlign w:val="bottom"/>
          </w:tcPr>
          <w:p>
            <w:pPr>
              <w:spacing w:after="0" w:line="20" w:lineRule="exact"/>
              <w:rPr>
                <w:sz w:val="1"/>
                <w:szCs w:val="1"/>
                <w:color w:val="auto"/>
              </w:rPr>
            </w:pPr>
          </w:p>
        </w:tc>
        <w:tc>
          <w:tcPr>
            <w:tcW w:w="6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82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14(a) or Rule 15d - 14(a) of the Securities Exchange Act of 1934, as amended, in connection with G-III Apparel</w:t>
              </w:r>
            </w:hyperlink>
          </w:p>
        </w:tc>
      </w:tr>
      <w:tr>
        <w:trPr>
          <w:trHeight w:val="196"/>
        </w:trPr>
        <w:tc>
          <w:tcPr>
            <w:tcW w:w="820" w:type="dxa"/>
            <w:vAlign w:val="bottom"/>
          </w:tcPr>
          <w:p>
            <w:pPr>
              <w:spacing w:after="0"/>
              <w:rPr>
                <w:sz w:val="17"/>
                <w:szCs w:val="17"/>
                <w:color w:val="auto"/>
              </w:rPr>
            </w:pPr>
          </w:p>
        </w:tc>
        <w:tc>
          <w:tcPr>
            <w:tcW w:w="63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Group, Ltd.’s Quarterly Report on Form 10Q for the fiscal quarter ended July 31, 2019.</w:t>
              </w:r>
            </w:hyperlink>
          </w:p>
        </w:tc>
        <w:tc>
          <w:tcPr>
            <w:tcW w:w="1940" w:type="dxa"/>
            <w:vAlign w:val="bottom"/>
            <w:gridSpan w:val="4"/>
          </w:tcPr>
          <w:p>
            <w:pPr>
              <w:spacing w:after="0"/>
              <w:rPr>
                <w:sz w:val="17"/>
                <w:szCs w:val="17"/>
                <w:color w:val="auto"/>
              </w:rPr>
            </w:pP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24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33">
              <w:r>
                <w:rPr>
                  <w:rFonts w:ascii="Arial" w:cs="Arial" w:eastAsia="Arial" w:hAnsi="Arial"/>
                  <w:sz w:val="18"/>
                  <w:szCs w:val="18"/>
                  <w:color w:val="0000EE"/>
                  <w:w w:val="97"/>
                </w:rPr>
                <w:t>Certification by Morris Goldfarb, Chief Executive Officer of G-III Apparel Group, Ltd., pursuant to 18 U.S.C.</w:t>
              </w:r>
            </w:hyperlink>
          </w:p>
        </w:tc>
      </w:tr>
      <w:tr>
        <w:trPr>
          <w:trHeight w:val="196"/>
        </w:trPr>
        <w:tc>
          <w:tcPr>
            <w:tcW w:w="820" w:type="dxa"/>
            <w:vAlign w:val="bottom"/>
          </w:tcPr>
          <w:p>
            <w:pPr>
              <w:spacing w:after="0"/>
              <w:rPr>
                <w:sz w:val="17"/>
                <w:szCs w:val="17"/>
                <w:color w:val="auto"/>
              </w:rPr>
            </w:pPr>
          </w:p>
        </w:tc>
        <w:tc>
          <w:tcPr>
            <w:tcW w:w="82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Section 1350, as adopted pursuant to Section 906 of the Sarbanes-Oxley Act of 2002, in connection with G-III</w:t>
              </w:r>
            </w:hyperlink>
          </w:p>
        </w:tc>
      </w:tr>
      <w:tr>
        <w:trPr>
          <w:trHeight w:val="196"/>
        </w:trPr>
        <w:tc>
          <w:tcPr>
            <w:tcW w:w="820" w:type="dxa"/>
            <w:vAlign w:val="bottom"/>
          </w:tcPr>
          <w:p>
            <w:pPr>
              <w:spacing w:after="0"/>
              <w:rPr>
                <w:sz w:val="17"/>
                <w:szCs w:val="17"/>
                <w:color w:val="auto"/>
              </w:rPr>
            </w:pPr>
          </w:p>
        </w:tc>
        <w:tc>
          <w:tcPr>
            <w:tcW w:w="69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Apparel Group, Ltd.’s Quarterly Report on Form 10Q for the fiscal quarter ended July 31, 2019.</w:t>
              </w:r>
            </w:hyperlink>
          </w:p>
        </w:tc>
        <w:tc>
          <w:tcPr>
            <w:tcW w:w="1300" w:type="dxa"/>
            <w:vAlign w:val="bottom"/>
            <w:gridSpan w:val="2"/>
          </w:tcPr>
          <w:p>
            <w:pPr>
              <w:spacing w:after="0"/>
              <w:rPr>
                <w:sz w:val="17"/>
                <w:szCs w:val="17"/>
                <w:color w:val="auto"/>
              </w:rPr>
            </w:pP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8240" w:type="dxa"/>
            <w:vAlign w:val="bottom"/>
            <w:gridSpan w:val="5"/>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Certification by Neal S. Nackman, Chief Financial Officer of G-III Apparel Group, Ltd., pursuant to 18 U.S.C.</w:t>
              </w:r>
            </w:hyperlink>
          </w:p>
        </w:tc>
      </w:tr>
      <w:tr>
        <w:trPr>
          <w:trHeight w:val="20"/>
        </w:trPr>
        <w:tc>
          <w:tcPr>
            <w:tcW w:w="820" w:type="dxa"/>
            <w:vAlign w:val="bottom"/>
          </w:tcPr>
          <w:p>
            <w:pPr>
              <w:spacing w:after="0" w:line="20" w:lineRule="exact"/>
              <w:rPr>
                <w:sz w:val="1"/>
                <w:szCs w:val="1"/>
                <w:color w:val="auto"/>
              </w:rPr>
            </w:pPr>
          </w:p>
        </w:tc>
        <w:tc>
          <w:tcPr>
            <w:tcW w:w="692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82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Section 1350, as adopted pursuant to Section 906 of the Sarbanes-Oxley Act of 2002, in connection with G-III</w:t>
              </w:r>
            </w:hyperlink>
          </w:p>
        </w:tc>
      </w:tr>
      <w:tr>
        <w:trPr>
          <w:trHeight w:val="196"/>
        </w:trPr>
        <w:tc>
          <w:tcPr>
            <w:tcW w:w="820" w:type="dxa"/>
            <w:vAlign w:val="bottom"/>
          </w:tcPr>
          <w:p>
            <w:pPr>
              <w:spacing w:after="0"/>
              <w:rPr>
                <w:sz w:val="17"/>
                <w:szCs w:val="17"/>
                <w:color w:val="auto"/>
              </w:rPr>
            </w:pPr>
          </w:p>
        </w:tc>
        <w:tc>
          <w:tcPr>
            <w:tcW w:w="8240" w:type="dxa"/>
            <w:vAlign w:val="bottom"/>
            <w:gridSpan w:val="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Apparel Group, Ltd.’s Quarterly Report on Form 10Q for the fiscal quarter ended July 31, 2019.</w:t>
              </w:r>
            </w:hyperlink>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69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1320" w:type="dxa"/>
            <w:vAlign w:val="bottom"/>
            <w:gridSpan w:val="3"/>
          </w:tcPr>
          <w:p>
            <w:pPr>
              <w:spacing w:after="0"/>
              <w:rPr>
                <w:sz w:val="19"/>
                <w:szCs w:val="19"/>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8240" w:type="dxa"/>
            <w:vAlign w:val="bottom"/>
            <w:gridSpan w:val="5"/>
          </w:tcPr>
          <w:p>
            <w:pPr>
              <w:spacing w:after="0"/>
              <w:rPr>
                <w:sz w:val="20"/>
                <w:szCs w:val="20"/>
                <w:color w:val="auto"/>
              </w:rPr>
            </w:pPr>
            <w:r>
              <w:rPr>
                <w:rFonts w:ascii="Arial" w:cs="Arial" w:eastAsia="Arial" w:hAnsi="Arial"/>
                <w:sz w:val="18"/>
                <w:szCs w:val="18"/>
                <w:color w:val="auto"/>
              </w:rPr>
              <w:t>XBRL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8240" w:type="dxa"/>
            <w:vAlign w:val="bottom"/>
            <w:gridSpan w:val="5"/>
          </w:tcPr>
          <w:p>
            <w:pPr>
              <w:spacing w:after="0"/>
              <w:rPr>
                <w:sz w:val="20"/>
                <w:szCs w:val="20"/>
                <w:color w:val="auto"/>
              </w:rPr>
            </w:pPr>
            <w:r>
              <w:rPr>
                <w:rFonts w:ascii="Arial" w:cs="Arial" w:eastAsia="Arial" w:hAnsi="Arial"/>
                <w:sz w:val="18"/>
                <w:szCs w:val="18"/>
                <w:color w:val="auto"/>
              </w:rPr>
              <w:t>XBRL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8240" w:type="dxa"/>
            <w:vAlign w:val="bottom"/>
            <w:gridSpan w:val="5"/>
          </w:tcPr>
          <w:p>
            <w:pPr>
              <w:spacing w:after="0"/>
              <w:rPr>
                <w:sz w:val="20"/>
                <w:szCs w:val="20"/>
                <w:color w:val="auto"/>
              </w:rPr>
            </w:pPr>
            <w:r>
              <w:rPr>
                <w:rFonts w:ascii="Arial" w:cs="Arial" w:eastAsia="Arial" w:hAnsi="Arial"/>
                <w:sz w:val="18"/>
                <w:szCs w:val="18"/>
                <w:color w:val="auto"/>
              </w:rPr>
              <w:t>XBRL Extension Definition.</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8240" w:type="dxa"/>
            <w:vAlign w:val="bottom"/>
            <w:gridSpan w:val="5"/>
          </w:tcPr>
          <w:p>
            <w:pPr>
              <w:spacing w:after="0"/>
              <w:rPr>
                <w:sz w:val="20"/>
                <w:szCs w:val="20"/>
                <w:color w:val="auto"/>
              </w:rPr>
            </w:pPr>
            <w:r>
              <w:rPr>
                <w:rFonts w:ascii="Arial" w:cs="Arial" w:eastAsia="Arial" w:hAnsi="Arial"/>
                <w:sz w:val="18"/>
                <w:szCs w:val="18"/>
                <w:color w:val="auto"/>
              </w:rPr>
              <w:t>XBRL Label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8240" w:type="dxa"/>
            <w:vAlign w:val="bottom"/>
            <w:gridSpan w:val="5"/>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5940" w:type="dxa"/>
            <w:vAlign w:val="bottom"/>
            <w:gridSpan w:val="2"/>
          </w:tcPr>
          <w:p>
            <w:pPr>
              <w:ind w:left="1420"/>
              <w:spacing w:after="0"/>
              <w:rPr>
                <w:sz w:val="20"/>
                <w:szCs w:val="20"/>
                <w:color w:val="auto"/>
              </w:rPr>
            </w:pPr>
            <w:r>
              <w:rPr>
                <w:rFonts w:ascii="Arial" w:cs="Arial" w:eastAsia="Arial" w:hAnsi="Arial"/>
                <w:sz w:val="18"/>
                <w:szCs w:val="18"/>
                <w:color w:val="auto"/>
              </w:rPr>
              <w:t>G-III APPAREL GROUP, LTD.</w:t>
            </w:r>
          </w:p>
        </w:tc>
      </w:tr>
      <w:tr>
        <w:trPr>
          <w:trHeight w:val="230"/>
        </w:trPr>
        <w:tc>
          <w:tcPr>
            <w:tcW w:w="3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460"/>
              <w:spacing w:after="0"/>
              <w:rPr>
                <w:sz w:val="20"/>
                <w:szCs w:val="20"/>
                <w:color w:val="auto"/>
              </w:rPr>
            </w:pPr>
            <w:r>
              <w:rPr>
                <w:rFonts w:ascii="Arial" w:cs="Arial" w:eastAsia="Arial" w:hAnsi="Arial"/>
                <w:sz w:val="18"/>
                <w:szCs w:val="18"/>
                <w:color w:val="auto"/>
              </w:rPr>
              <w:t>(Registrant)</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Date: September 6, 2019</w:t>
            </w:r>
          </w:p>
        </w:tc>
        <w:tc>
          <w:tcPr>
            <w:tcW w:w="5940" w:type="dxa"/>
            <w:vAlign w:val="bottom"/>
            <w:gridSpan w:val="2"/>
          </w:tcPr>
          <w:p>
            <w:pPr>
              <w:ind w:left="1420"/>
              <w:spacing w:after="0"/>
              <w:rPr>
                <w:sz w:val="20"/>
                <w:szCs w:val="20"/>
                <w:color w:val="auto"/>
              </w:rPr>
            </w:pPr>
            <w:r>
              <w:rPr>
                <w:rFonts w:ascii="Arial" w:cs="Arial" w:eastAsia="Arial" w:hAnsi="Arial"/>
                <w:sz w:val="18"/>
                <w:szCs w:val="18"/>
                <w:color w:val="auto"/>
              </w:rPr>
              <w:t>By: /s/ Morris Goldfarb</w:t>
            </w:r>
          </w:p>
        </w:tc>
      </w:tr>
      <w:tr>
        <w:trPr>
          <w:trHeight w:val="195"/>
        </w:trPr>
        <w:tc>
          <w:tcPr>
            <w:tcW w:w="3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Morris Goldfarb</w:t>
            </w:r>
          </w:p>
        </w:tc>
      </w:tr>
      <w:tr>
        <w:trPr>
          <w:trHeight w:val="230"/>
        </w:trPr>
        <w:tc>
          <w:tcPr>
            <w:tcW w:w="3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Date: September 6, 2019</w:t>
            </w:r>
          </w:p>
        </w:tc>
        <w:tc>
          <w:tcPr>
            <w:tcW w:w="5940" w:type="dxa"/>
            <w:vAlign w:val="bottom"/>
            <w:gridSpan w:val="2"/>
          </w:tcPr>
          <w:p>
            <w:pPr>
              <w:ind w:left="1420"/>
              <w:spacing w:after="0"/>
              <w:rPr>
                <w:sz w:val="20"/>
                <w:szCs w:val="20"/>
                <w:color w:val="auto"/>
              </w:rPr>
            </w:pPr>
            <w:r>
              <w:rPr>
                <w:rFonts w:ascii="Arial" w:cs="Arial" w:eastAsia="Arial" w:hAnsi="Arial"/>
                <w:sz w:val="18"/>
                <w:szCs w:val="18"/>
                <w:color w:val="auto"/>
              </w:rPr>
              <w:t>By: /s/ Neal S. Nackman</w:t>
            </w:r>
          </w:p>
        </w:tc>
      </w:tr>
      <w:tr>
        <w:trPr>
          <w:trHeight w:val="195"/>
        </w:trPr>
        <w:tc>
          <w:tcPr>
            <w:tcW w:w="3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3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78"/>
        </w:trPr>
        <w:tc>
          <w:tcPr>
            <w:tcW w:w="3120" w:type="dxa"/>
            <w:vAlign w:val="bottom"/>
          </w:tcPr>
          <w:p>
            <w:pPr>
              <w:spacing w:after="0"/>
              <w:rPr>
                <w:sz w:val="24"/>
                <w:szCs w:val="24"/>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30</w:t>
            </w:r>
          </w:p>
        </w:tc>
        <w:tc>
          <w:tcPr>
            <w:tcW w:w="4180" w:type="dxa"/>
            <w:vAlign w:val="bottom"/>
          </w:tcPr>
          <w:p>
            <w:pPr>
              <w:spacing w:after="0"/>
              <w:rPr>
                <w:sz w:val="24"/>
                <w:szCs w:val="24"/>
                <w:color w:val="auto"/>
              </w:rPr>
            </w:pPr>
          </w:p>
        </w:tc>
      </w:tr>
      <w:tr>
        <w:trPr>
          <w:trHeight w:val="561"/>
        </w:trPr>
        <w:tc>
          <w:tcPr>
            <w:tcW w:w="3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Morris Goldfarb, certify that:</w:t>
      </w:r>
    </w:p>
    <w:p>
      <w:pPr>
        <w:spacing w:after="0" w:line="158" w:lineRule="exact"/>
        <w:rPr>
          <w:sz w:val="20"/>
          <w:szCs w:val="20"/>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660" w:hanging="333"/>
        <w:spacing w:after="0" w:line="253"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980" w:hanging="329"/>
        <w:spacing w:after="0" w:line="231"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jc w:val="both"/>
        <w:ind w:left="980" w:hanging="329"/>
        <w:spacing w:after="0" w:line="231"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980" w:hanging="329"/>
        <w:spacing w:after="0" w:line="235"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jc w:val="both"/>
        <w:ind w:left="980" w:hanging="329"/>
        <w:spacing w:after="0" w:line="231"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4"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980" w:hanging="329"/>
        <w:spacing w:after="0" w:line="235"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980" w:hanging="329"/>
        <w:spacing w:after="0" w:line="246"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2019</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Morris Goldfarb</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777875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Neal S. Nackman, certify that:</w:t>
      </w:r>
    </w:p>
    <w:p>
      <w:pPr>
        <w:spacing w:after="0" w:line="158" w:lineRule="exact"/>
        <w:rPr>
          <w:sz w:val="20"/>
          <w:szCs w:val="20"/>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660" w:hanging="333"/>
        <w:spacing w:after="0" w:line="253"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980" w:hanging="329"/>
        <w:spacing w:after="0" w:line="231"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jc w:val="both"/>
        <w:ind w:left="980" w:hanging="329"/>
        <w:spacing w:after="0" w:line="231"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980" w:hanging="329"/>
        <w:spacing w:after="0" w:line="235"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jc w:val="both"/>
        <w:ind w:left="980" w:hanging="329"/>
        <w:spacing w:after="0" w:line="231"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4"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980" w:hanging="329"/>
        <w:spacing w:after="0" w:line="235"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980" w:hanging="329"/>
        <w:spacing w:after="0" w:line="246"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2019</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Neal S. Nackman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768985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8"/>
          <w:szCs w:val="18"/>
          <w:b w:val="1"/>
          <w:bCs w:val="1"/>
          <w:color w:val="auto"/>
        </w:rPr>
        <w:t>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firstLine="415"/>
        <w:spacing w:after="0" w:line="276" w:lineRule="auto"/>
        <w:rPr>
          <w:sz w:val="20"/>
          <w:szCs w:val="20"/>
          <w:color w:val="auto"/>
        </w:rPr>
      </w:pPr>
      <w:r>
        <w:rPr>
          <w:rFonts w:ascii="Arial" w:cs="Arial" w:eastAsia="Arial" w:hAnsi="Arial"/>
          <w:sz w:val="17"/>
          <w:szCs w:val="17"/>
          <w:color w:val="auto"/>
        </w:rPr>
        <w:t>In connection with the Quarterly Report of G-III Apparel Group, Ltd. (the “Company”) on Form 10-Q for the quarterly period ended July 31, 2019,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Morris Goldfarb</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871855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firstLine="415"/>
        <w:spacing w:after="0" w:line="276" w:lineRule="auto"/>
        <w:rPr>
          <w:sz w:val="20"/>
          <w:szCs w:val="20"/>
          <w:color w:val="auto"/>
        </w:rPr>
      </w:pPr>
      <w:r>
        <w:rPr>
          <w:rFonts w:ascii="Arial" w:cs="Arial" w:eastAsia="Arial" w:hAnsi="Arial"/>
          <w:sz w:val="17"/>
          <w:szCs w:val="17"/>
          <w:color w:val="auto"/>
        </w:rPr>
        <w:t>In connection with the Quarterly Report of G-III Apparel Group, Ltd. (the “Company”) on Form 10-Q for the quarterly period ended July 31, 2019,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Neal S. Nackman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871855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lowerRoman"/>
      <w:start w:val="1"/>
    </w:lvl>
  </w:abstractNum>
  <w:abstractNum w:abstractNumId="5">
    <w:nsid w:val="4DB127F8"/>
    <w:multiLevelType w:val="hybridMultilevel"/>
    <w:lvl w:ilvl="0">
      <w:lvlJc w:val="left"/>
      <w:lvlText w:val="(%1)"/>
      <w:numFmt w:val="lowerRoman"/>
      <w:start w:val="3"/>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Roman"/>
      <w:start w:val="1"/>
    </w:lvl>
  </w:abstractNum>
  <w:abstractNum w:abstractNumId="10">
    <w:nsid w:val="140E0F76"/>
    <w:multiLevelType w:val="hybridMultilevel"/>
    <w:lvl w:ilvl="0">
      <w:lvlJc w:val="left"/>
      <w:lvlText w:val="(%1)"/>
      <w:numFmt w:val="lowerRoman"/>
      <w:start w:val="3"/>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2019-12-28T06:27:38Z</dcterms:created>
  <dcterms:modified xsi:type="dcterms:W3CDTF">2019-12-28T06:27:38Z</dcterms:modified>
</cp:coreProperties>
</file>