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giii-20260731x10q.htm"/>
        <w:bookmarkStart w:id="1" w:name="ksgiii202607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6102e052_9c55_4406_a908_2af783cf757b"/>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NnJ_vRGn6kCXk6k3A7KbAQ_1_1"/>
      <w:bookmarkStart w:id="4" w:name="_67cce160_03ae_4838_aa3c_6a5691c43eca"/>
      <w:bookmarkStart w:id="5" w:name="Tc_NnJ_vRGn6kCXk6k3A7KbAQ_1_1"/>
      <w:bookmarkStart w:id="6" w:name="_67cce160_03ae_4838_aa3c_6a5691c43eca"/>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July 31, 2026</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7" w:name="Tc_-rCtG7zSD0apjcSmvn5UJA_1_1"/>
      <w:bookmarkStart w:id="8" w:name="_48436b49_d26e_4082_874d_b993b378e2b0"/>
      <w:bookmarkStart w:id="9" w:name="Tc_-rCtG7zSD0apjcSmvn5UJA_1_1"/>
      <w:bookmarkStart w:id="10" w:name="_48436b49_d26e_4082_874d_b993b378e2b0"/>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tLeast" w:line="142"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0-18183</w:t>
      </w:r>
    </w:p>
    <w:p>
      <w:pPr>
        <w:pStyle w:val="TextBody"/>
        <w:bidi w:val="0"/>
        <w:spacing w:before="0" w:after="0"/>
        <w:ind w:left="0" w:right="0" w:hanging="0"/>
        <w:jc w:val="center"/>
        <w:rPr/>
      </w:pPr>
      <w:r>
        <w:rPr/>
        <w:t> </w:t>
      </w:r>
      <w:r>
        <w:rPr>
          <w:rFonts w:ascii="Times New Roman;Times;serif" w:hAnsi="Times New Roman;Times;serif"/>
          <w:b/>
          <w:i w:val="false"/>
          <w:caps w:val="false"/>
          <w:smallCaps w:val="false"/>
          <w:sz w:val="40"/>
        </w:rPr>
        <w:t>G-III APPAREL GROUP, LTD</w:t>
      </w:r>
      <w:r>
        <w:rPr>
          <w:rFonts w:ascii="Times New Roman;Times;serif" w:hAnsi="Times New Roman;Times;serif"/>
          <w:b/>
          <w:sz w:val="40"/>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 </w:t>
      </w:r>
    </w:p>
    <w:p>
      <w:pPr>
        <w:pStyle w:val="TextBody"/>
        <w:bidi w:val="0"/>
        <w:spacing w:lineRule="atLeast" w:line="142" w:before="0" w:after="0"/>
        <w:ind w:left="0" w:right="0" w:hanging="0"/>
        <w:jc w:val="center"/>
        <w:rPr/>
      </w:pPr>
      <w:r>
        <w:rPr/>
        <w:t> </w:t>
      </w:r>
    </w:p>
    <w:p>
      <w:pPr>
        <w:pStyle w:val="Normal"/>
        <w:bidi w:val="0"/>
        <w:spacing w:before="0" w:after="0"/>
        <w:jc w:val="left"/>
        <w:rPr>
          <w:sz w:val="4"/>
          <w:szCs w:val="4"/>
        </w:rPr>
      </w:pPr>
      <w:r>
        <w:rPr>
          <w:sz w:val="4"/>
          <w:szCs w:val="4"/>
        </w:rPr>
      </w:r>
      <w:bookmarkStart w:id="11" w:name="Tc_9Tp4sKvJ40iqg54NlmfkBQ_6_2"/>
      <w:bookmarkStart w:id="12" w:name="Tc_3SWG6Vq1-kyMdxFfTJ7DmQ_6_0"/>
      <w:bookmarkStart w:id="13" w:name="Tc_ybyfWpVXs0ek0MI73NQZvA_5_0"/>
      <w:bookmarkStart w:id="14" w:name="Tc_qtiWpISh1EyIKMc1a7s8tg_3_2"/>
      <w:bookmarkStart w:id="15" w:name="Tc_d5q6e1WcYkO_rX1Hg2mvlQ_3_0"/>
      <w:bookmarkStart w:id="16" w:name="Tc_2wc7SuGdlkWpPmRNhzgiOw_2_2"/>
      <w:bookmarkStart w:id="17" w:name="Tc_btIatxNk4EKzAYLSfDQEiA_2_0"/>
      <w:bookmarkStart w:id="18" w:name="_bdf98a77_3046_446a_8415_191d22e3bbd2"/>
      <w:bookmarkStart w:id="19" w:name="Tc_9Tp4sKvJ40iqg54NlmfkBQ_6_2"/>
      <w:bookmarkStart w:id="20" w:name="Tc_3SWG6Vq1-kyMdxFfTJ7DmQ_6_0"/>
      <w:bookmarkStart w:id="21" w:name="Tc_ybyfWpVXs0ek0MI73NQZvA_5_0"/>
      <w:bookmarkStart w:id="22" w:name="Tc_qtiWpISh1EyIKMc1a7s8tg_3_2"/>
      <w:bookmarkStart w:id="23" w:name="Tc_d5q6e1WcYkO_rX1Hg2mvlQ_3_0"/>
      <w:bookmarkStart w:id="24" w:name="Tc_2wc7SuGdlkWpPmRNhzgiOw_2_2"/>
      <w:bookmarkStart w:id="25" w:name="Tc_btIatxNk4EKzAYLSfDQEiA_2_0"/>
      <w:bookmarkStart w:id="26" w:name="_bdf98a77_3046_446a_8415_191d22e3bbd2"/>
      <w:bookmarkEnd w:id="19"/>
      <w:bookmarkEnd w:id="20"/>
      <w:bookmarkEnd w:id="21"/>
      <w:bookmarkEnd w:id="22"/>
      <w:bookmarkEnd w:id="23"/>
      <w:bookmarkEnd w:id="24"/>
      <w:bookmarkEnd w:id="25"/>
      <w:bookmarkEnd w:id="26"/>
    </w:p>
    <w:tbl>
      <w:tblPr>
        <w:tblW w:w="5358" w:type="dxa"/>
        <w:jc w:val="left"/>
        <w:tblInd w:w="0" w:type="dxa"/>
        <w:tblLayout w:type="fixed"/>
        <w:tblCellMar>
          <w:top w:w="0" w:type="dxa"/>
          <w:left w:w="0" w:type="dxa"/>
          <w:bottom w:w="0" w:type="dxa"/>
          <w:right w:w="0" w:type="dxa"/>
        </w:tblCellMar>
      </w:tblPr>
      <w:tblGrid>
        <w:gridCol w:w="3451"/>
        <w:gridCol w:w="346"/>
        <w:gridCol w:w="15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41-1590959</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451" w:type="dxa"/>
            <w:tcBorders/>
            <w:vAlign w:val="center"/>
          </w:tcPr>
          <w:p>
            <w:pPr>
              <w:pStyle w:val="TableContents"/>
              <w:bidi w:val="0"/>
              <w:spacing w:lineRule="atLeast" w:line="142" w:before="0" w:after="0"/>
              <w:ind w:left="0" w:right="0" w:hanging="0"/>
              <w:jc w:val="center"/>
              <w:rPr/>
            </w:pPr>
            <w:r>
              <w:rPr/>
              <w:t> </w:t>
            </w:r>
          </w:p>
        </w:tc>
        <w:tc>
          <w:tcPr>
            <w:tcW w:w="346" w:type="dxa"/>
            <w:tcBorders/>
            <w:vAlign w:val="center"/>
          </w:tcPr>
          <w:p>
            <w:pPr>
              <w:pStyle w:val="TableContents"/>
              <w:bidi w:val="0"/>
              <w:spacing w:lineRule="atLeast" w:line="142" w:before="0" w:after="0"/>
              <w:ind w:left="0" w:right="0" w:hanging="0"/>
              <w:jc w:val="left"/>
              <w:rPr/>
            </w:pPr>
            <w:r>
              <w:rPr/>
              <w:t> </w:t>
            </w:r>
          </w:p>
        </w:tc>
        <w:tc>
          <w:tcPr>
            <w:tcW w:w="1561" w:type="dxa"/>
            <w:tcBorders/>
            <w:vAlign w:val="center"/>
          </w:tcPr>
          <w:p>
            <w:pPr>
              <w:pStyle w:val="TableContents"/>
              <w:bidi w:val="0"/>
              <w:spacing w:lineRule="atLeast" w:line="142"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512 Seventh Avenue, New York, New York</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10018</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403-0500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7" w:name="Tc_wfm6Gse-NUOQytoEH3Iw2w_2_0"/>
      <w:bookmarkStart w:id="28" w:name="Tc_92tFi9iun0yXFTr8XBTZRQ_1_2"/>
      <w:bookmarkStart w:id="29" w:name="Tc_j2b7gdpO0UCb9qyoF9iILQ_1_1"/>
      <w:bookmarkStart w:id="30" w:name="Tc_TftVOHlpxk-P_GC3BrHTDw_1_0"/>
      <w:bookmarkStart w:id="31" w:name="_d433f0cd_c7c5_4d94_a9bf_30e46fd249fa"/>
      <w:bookmarkStart w:id="32" w:name="Tc_wfm6Gse-NUOQytoEH3Iw2w_2_0"/>
      <w:bookmarkStart w:id="33" w:name="Tc_92tFi9iun0yXFTr8XBTZRQ_1_2"/>
      <w:bookmarkStart w:id="34" w:name="Tc_j2b7gdpO0UCb9qyoF9iILQ_1_1"/>
      <w:bookmarkStart w:id="35" w:name="Tc_TftVOHlpxk-P_GC3BrHTDw_1_0"/>
      <w:bookmarkStart w:id="36" w:name="_d433f0cd_c7c5_4d94_a9bf_30e46fd249fa"/>
      <w:bookmarkEnd w:id="32"/>
      <w:bookmarkEnd w:id="33"/>
      <w:bookmarkEnd w:id="34"/>
      <w:bookmarkEnd w:id="35"/>
      <w:bookmarkEnd w:id="36"/>
    </w:p>
    <w:tbl>
      <w:tblPr>
        <w:tblW w:w="7713" w:type="dxa"/>
        <w:jc w:val="left"/>
        <w:tblInd w:w="0" w:type="dxa"/>
        <w:tblLayout w:type="fixed"/>
        <w:tblCellMar>
          <w:top w:w="0" w:type="dxa"/>
          <w:left w:w="0" w:type="dxa"/>
          <w:bottom w:w="0" w:type="dxa"/>
          <w:right w:w="0" w:type="dxa"/>
        </w:tblCellMar>
      </w:tblPr>
      <w:tblGrid>
        <w:gridCol w:w="3061"/>
        <w:gridCol w:w="1426"/>
        <w:gridCol w:w="3226"/>
      </w:tblGrid>
      <w:tr>
        <w:trPr/>
        <w:tc>
          <w:tcPr>
            <w:tcW w:w="306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GIII</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0"/>
        <w:ind w:left="0" w:right="0" w:hanging="0"/>
        <w:jc w:val="both"/>
        <w:rPr/>
      </w:pPr>
      <w:r>
        <w:rPr/>
        <w:t>​</w:t>
      </w:r>
    </w:p>
    <w:p>
      <w:pPr>
        <w:pStyle w:val="Normal"/>
        <w:bidi w:val="0"/>
        <w:spacing w:before="0" w:after="0"/>
        <w:jc w:val="left"/>
        <w:rPr>
          <w:sz w:val="4"/>
          <w:szCs w:val="4"/>
        </w:rPr>
      </w:pPr>
      <w:r>
        <w:rPr>
          <w:sz w:val="4"/>
          <w:szCs w:val="4"/>
        </w:rPr>
      </w:r>
      <w:bookmarkStart w:id="37" w:name="Tc_V7mhGpOU60ebENSeQyhu0A_3_0"/>
      <w:bookmarkStart w:id="38" w:name="Tc_N5u2RSI5c0m-Nv9ZMaHHhg_2_2"/>
      <w:bookmarkStart w:id="39" w:name="Tc_eB8mrlna60iRv1y4keOf9Q_2_1"/>
      <w:bookmarkStart w:id="40" w:name="Tc_LDDJ-8maM06yKeQJA5yngQ_2_0"/>
      <w:bookmarkStart w:id="41" w:name="Tc_cUwQEMpqSkWQTujBc8av9A_1_3"/>
      <w:bookmarkStart w:id="42" w:name="Tc_mM0J5b3ZDUWvAxdYX6Zlpw_1_2"/>
      <w:bookmarkStart w:id="43" w:name="Tc_Y3nLtAUXnU-gkqLqOhDJEw_1_1"/>
      <w:bookmarkStart w:id="44" w:name="_0d100095_6f82_4197_9134_342390c8ed5f"/>
      <w:bookmarkStart w:id="45" w:name="Tc_V7mhGpOU60ebENSeQyhu0A_3_0"/>
      <w:bookmarkStart w:id="46" w:name="Tc_N5u2RSI5c0m-Nv9ZMaHHhg_2_2"/>
      <w:bookmarkStart w:id="47" w:name="Tc_eB8mrlna60iRv1y4keOf9Q_2_1"/>
      <w:bookmarkStart w:id="48" w:name="Tc_LDDJ-8maM06yKeQJA5yngQ_2_0"/>
      <w:bookmarkStart w:id="49" w:name="Tc_cUwQEMpqSkWQTujBc8av9A_1_3"/>
      <w:bookmarkStart w:id="50" w:name="Tc_mM0J5b3ZDUWvAxdYX6Zlpw_1_2"/>
      <w:bookmarkStart w:id="51" w:name="Tc_Y3nLtAUXnU-gkqLqOhDJEw_1_1"/>
      <w:bookmarkStart w:id="52" w:name="_0d100095_6f82_4197_9134_342390c8ed5f"/>
      <w:bookmarkEnd w:id="45"/>
      <w:bookmarkEnd w:id="46"/>
      <w:bookmarkEnd w:id="47"/>
      <w:bookmarkEnd w:id="48"/>
      <w:bookmarkEnd w:id="49"/>
      <w:bookmarkEnd w:id="50"/>
      <w:bookmarkEnd w:id="51"/>
      <w:bookmarkEnd w:id="52"/>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September 3, 2026, there were 42,876,508 shares of issuer’s common stock, par value $0.01 per share, outstanding.</w:t>
      </w:r>
    </w:p>
    <w:p>
      <w:pPr>
        <w:pStyle w:val="TextBody"/>
        <w:bidi w:val="0"/>
        <w:spacing w:lineRule="atLeast" w:line="142"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TOC"/>
      <w:bookmarkStart w:id="54" w:name="_0ec20884_5a47_41ab_ad5e_ec9a3d1b68f5"/>
      <w:bookmarkEnd w:id="53"/>
      <w:bookmarkEnd w:id="5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237"/>
        <w:gridCol w:w="346"/>
        <w:gridCol w:w="8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811"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Part I</w:t>
              </w:r>
            </w:hyperlink>
          </w:p>
        </w:tc>
        <w:tc>
          <w:tcPr>
            <w:tcW w:w="8237"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Item 1.</w:t>
              </w:r>
            </w:hyperlink>
          </w:p>
        </w:tc>
        <w:tc>
          <w:tcPr>
            <w:tcW w:w="8237"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BALANCESHEETS_VCW">
              <w:r>
                <w:rPr>
                  <w:rStyle w:val="InternetLink"/>
                  <w:rFonts w:ascii="Times New Roman;Times;serif" w:hAnsi="Times New Roman;Times;serif"/>
                  <w:b w:val="false"/>
                  <w:i w:val="false"/>
                  <w:caps w:val="false"/>
                  <w:smallCaps w:val="false"/>
                  <w:sz w:val="20"/>
                </w:rPr>
                <w:t>Condensed Consolidated Balance Sheets – July 31, 2026 (Unaudited), July 31, 2025 (Unaudited) and January 31, 2026</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IncomeStatement_VCW">
              <w:r>
                <w:rPr>
                  <w:rStyle w:val="InternetLink"/>
                  <w:rFonts w:ascii="Times New Roman;Times;serif" w:hAnsi="Times New Roman;Times;serif"/>
                  <w:b w:val="false"/>
                  <w:i w:val="false"/>
                  <w:caps w:val="false"/>
                  <w:smallCaps w:val="false"/>
                  <w:sz w:val="20"/>
                </w:rPr>
                <w:t>Condensed Consolidated Statements of Income and Comprehensive Income – For the Six Months Ended July 31, 2026 and 2025 (Unaudited)</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237" w:type="dxa"/>
            <w:tcBorders/>
            <w:vAlign w:val="center"/>
          </w:tcPr>
          <w:p>
            <w:pPr>
              <w:pStyle w:val="TableContents"/>
              <w:bidi w:val="0"/>
              <w:spacing w:before="0" w:after="0"/>
              <w:ind w:left="0" w:right="0" w:hanging="0"/>
              <w:jc w:val="left"/>
              <w:rPr/>
            </w:pPr>
            <w:hyperlink w:anchor="EquityStatement_VCW">
              <w:r>
                <w:rPr>
                  <w:rStyle w:val="InternetLink"/>
                  <w:rFonts w:ascii="Times New Roman;Times;serif" w:hAnsi="Times New Roman;Times;serif"/>
                  <w:b w:val="false"/>
                  <w:i w:val="false"/>
                  <w:caps w:val="false"/>
                  <w:smallCaps w:val="false"/>
                  <w:sz w:val="20"/>
                </w:rPr>
                <w:t>Condensed Consolidated Statements of Stockholders’ Equity – July 31, 2026 and July 31, 2025 (Unaudited)</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CashFlowStatement_VCW">
              <w:r>
                <w:rPr>
                  <w:rStyle w:val="InternetLink"/>
                  <w:rFonts w:ascii="Times New Roman;Times;serif" w:hAnsi="Times New Roman;Times;serif"/>
                  <w:b w:val="false"/>
                  <w:i w:val="false"/>
                  <w:caps w:val="false"/>
                  <w:smallCaps w:val="false"/>
                  <w:sz w:val="20"/>
                </w:rPr>
                <w:t>Condensed Consolidated Statements of Cash Flows – For the Six Months Ended July 31, 2026 and 2025 (Unaudited)</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NOTESTOCONDENSEDCONSOLIDATED_476308">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Item 2.</w:t>
              </w:r>
            </w:hyperlink>
          </w:p>
        </w:tc>
        <w:tc>
          <w:tcPr>
            <w:tcW w:w="8237"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Item 3.</w:t>
              </w:r>
            </w:hyperlink>
          </w:p>
        </w:tc>
        <w:tc>
          <w:tcPr>
            <w:tcW w:w="8237"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Item 4.</w:t>
              </w:r>
            </w:hyperlink>
          </w:p>
        </w:tc>
        <w:tc>
          <w:tcPr>
            <w:tcW w:w="8237"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82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Part II</w:t>
              </w:r>
            </w:hyperlink>
          </w:p>
        </w:tc>
        <w:tc>
          <w:tcPr>
            <w:tcW w:w="8237"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Item 1A.</w:t>
              </w:r>
            </w:hyperlink>
          </w:p>
        </w:tc>
        <w:tc>
          <w:tcPr>
            <w:tcW w:w="8237"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2Unregisteredsalesofequity">
              <w:r>
                <w:rPr>
                  <w:rStyle w:val="InternetLink"/>
                  <w:rFonts w:ascii="Times New Roman;Times;serif" w:hAnsi="Times New Roman;Times;serif"/>
                  <w:b w:val="false"/>
                  <w:i w:val="false"/>
                  <w:caps w:val="false"/>
                  <w:smallCaps w:val="false"/>
                  <w:sz w:val="20"/>
                </w:rPr>
                <w:t>Item 2.</w:t>
              </w:r>
            </w:hyperlink>
          </w:p>
        </w:tc>
        <w:tc>
          <w:tcPr>
            <w:tcW w:w="8237" w:type="dxa"/>
            <w:tcBorders/>
            <w:vAlign w:val="center"/>
          </w:tcPr>
          <w:p>
            <w:pPr>
              <w:pStyle w:val="TableContents"/>
              <w:bidi w:val="0"/>
              <w:spacing w:before="0" w:after="0"/>
              <w:ind w:left="0" w:right="0" w:hanging="0"/>
              <w:jc w:val="left"/>
              <w:rPr/>
            </w:pPr>
            <w:hyperlink w:anchor="ITEM2Unregisteredsalesofequity">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Item 5.</w:t>
              </w:r>
            </w:hyperlink>
          </w:p>
        </w:tc>
        <w:tc>
          <w:tcPr>
            <w:tcW w:w="8237"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Item 6.</w:t>
              </w:r>
            </w:hyperlink>
          </w:p>
        </w:tc>
        <w:tc>
          <w:tcPr>
            <w:tcW w:w="8237"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20"/>
        </w:rPr>
      </w:pPr>
      <w:bookmarkStart w:id="55" w:name="PARTIFINANCIALINFORMATION_626175"/>
      <w:bookmarkEnd w:id="55"/>
      <w:r>
        <w:rPr>
          <w:rFonts w:ascii="Times New Roman;Times;serif" w:hAnsi="Times New Roman;Times;serif"/>
          <w:b/>
          <w:sz w:val="20"/>
        </w:rPr>
        <w:t>PART I – FINANCIAL INFORMATION</w:t>
      </w:r>
    </w:p>
    <w:p>
      <w:pPr>
        <w:pStyle w:val="TextBody"/>
        <w:bidi w:val="0"/>
        <w:spacing w:before="0" w:after="60"/>
        <w:ind w:left="0" w:right="0" w:hanging="0"/>
        <w:jc w:val="left"/>
        <w:rPr>
          <w:rFonts w:ascii="Times New Roman;Times;serif" w:hAnsi="Times New Roman;Times;serif"/>
          <w:b/>
          <w:sz w:val="20"/>
        </w:rPr>
      </w:pPr>
      <w:bookmarkStart w:id="56" w:name="Item1FinancialStatements_584850"/>
      <w:bookmarkEnd w:id="5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bookmarkStart w:id="57" w:name="_e22fd2f6_9072_4be0_8693_776c4aa710e6"/>
      <w:bookmarkEnd w:id="57"/>
      <w:r>
        <w:rPr>
          <w:rFonts w:ascii="Times New Roman;Times;serif" w:hAnsi="Times New Roman;Times;serif"/>
          <w:b/>
          <w:sz w:val="20"/>
        </w:rPr>
        <w:t>G-III APPAREL GROUP, LTD. AND SUBSIDIARIES</w:t>
      </w:r>
    </w:p>
    <w:p>
      <w:pPr>
        <w:pStyle w:val="TextBody"/>
        <w:bidi w:val="0"/>
        <w:spacing w:before="0" w:after="60"/>
        <w:ind w:left="0" w:right="0" w:hanging="0"/>
        <w:jc w:val="center"/>
        <w:rPr>
          <w:rFonts w:ascii="Times New Roman;Times;serif" w:hAnsi="Times New Roman;Times;serif"/>
          <w:b/>
          <w:sz w:val="20"/>
        </w:rPr>
      </w:pPr>
      <w:bookmarkStart w:id="58" w:name="BALANCESHEETS_VCW"/>
      <w:bookmarkEnd w:id="58"/>
      <w:r>
        <w:rPr>
          <w:rFonts w:ascii="Times New Roman;Times;serif" w:hAnsi="Times New Roman;Times;serif"/>
          <w:b/>
          <w:sz w:val="20"/>
        </w:rPr>
        <w:t>CONDENSED CONSOLIDATED BALANCE SHEETS</w:t>
      </w:r>
    </w:p>
    <w:p>
      <w:pPr>
        <w:pStyle w:val="Normal"/>
        <w:bidi w:val="0"/>
        <w:spacing w:before="0" w:after="0"/>
        <w:jc w:val="left"/>
        <w:rPr>
          <w:sz w:val="4"/>
          <w:szCs w:val="4"/>
        </w:rPr>
      </w:pPr>
      <w:r>
        <w:rPr>
          <w:sz w:val="4"/>
          <w:szCs w:val="4"/>
        </w:rPr>
      </w:r>
      <w:bookmarkStart w:id="59" w:name="Tc_vtheBCJ0G0m8sFpHSllVHg_45_8"/>
      <w:bookmarkStart w:id="60" w:name="Tc_y-d0KJq8ikKhtXOxoDUi6g_45_5"/>
      <w:bookmarkStart w:id="61" w:name="Tc_PTvzK7URIEat9Q5H3WUS0A_45_2"/>
      <w:bookmarkStart w:id="62" w:name="Tc_Nyt_GzEoqUeEw1hQ07K00w_45_0"/>
      <w:bookmarkStart w:id="63" w:name="Tc_0B7J4H2ONUK9WbvN1JkMqQ_44_0"/>
      <w:bookmarkStart w:id="64" w:name="Tc_rF39XZmOI0CUJlFST9ilIw_43_0"/>
      <w:bookmarkStart w:id="65" w:name="Tc_4JUoQYQsMEacGCfKKTJbtQ_42_0"/>
      <w:bookmarkStart w:id="66" w:name="Tc_bXxFyR_NRUKRH5nlCWnsDw_41_0"/>
      <w:bookmarkStart w:id="67" w:name="Tc_sI9lJBAQ4ESPx0J4Y-EEPA_40_0"/>
      <w:bookmarkStart w:id="68" w:name="Tc_0Bse85P0EkyFoWU4EOe7pQ_39_0"/>
      <w:bookmarkStart w:id="69" w:name="Tc_IUJYkzYs2kCBnJ2v_I56TQ_38_0"/>
      <w:bookmarkStart w:id="70" w:name="Tc_YjM_clDTcEqOsujDRG069g_37_0"/>
      <w:bookmarkStart w:id="71" w:name="Tc_1djZmA-9Mkeff_ArJatolQ_35_0"/>
      <w:bookmarkStart w:id="72" w:name="Tc_duL9Uz7q3E6BAtFLJjqytQ_34_0"/>
      <w:bookmarkStart w:id="73" w:name="Tc_szRN1OcGVEKTGiHNHVv7Sw_33_0"/>
      <w:bookmarkStart w:id="74" w:name="Tc_0TJzmskW-Ui4Ho3xdD2N3g_32_0"/>
      <w:bookmarkStart w:id="75" w:name="Tc_W8lVcICKw06xyQfKF8hBQw_31_0"/>
      <w:bookmarkStart w:id="76" w:name="Tc_gB8cid5_UU2WhynvLbjkKg_30_0"/>
      <w:bookmarkStart w:id="77" w:name="Tc_7dSzAtpHrEuwo80qYj1S2Q_29_3"/>
      <w:bookmarkStart w:id="78" w:name="Tc_k3nimNyqrEmR4kfhlQ-KFA_29_0"/>
      <w:bookmarkStart w:id="79" w:name="Tc_tQ5YxuMPtUm8hOx5LX_WZA_28_0"/>
      <w:bookmarkStart w:id="80" w:name="Tc_BbqXiOq4-EmMnTecCYrFhQ_27_0"/>
      <w:bookmarkStart w:id="81" w:name="Tc_OsbwSQqRqUeS6wYnUO-Kxg_26_0"/>
      <w:bookmarkStart w:id="82" w:name="Tc_SKKgNg82vkmMDTa_prmTYQ_25_0"/>
      <w:bookmarkStart w:id="83" w:name="Tc_YcgtnVPwqEu-prfyU4EZXQ_24_0"/>
      <w:bookmarkStart w:id="84" w:name="Tc_rB77rDvxEkaxxjaZ-sFkOg_23_8"/>
      <w:bookmarkStart w:id="85" w:name="Tc_3CvHcrOlXUurYEGG5Ky7DA_23_5"/>
      <w:bookmarkStart w:id="86" w:name="Tc_wYn_carqOUiYnQkzUo1mgA_23_2"/>
      <w:bookmarkStart w:id="87" w:name="Tc_lM78mukzTEih4iIJwh7uPw_23_0"/>
      <w:bookmarkStart w:id="88" w:name="Tc_EsmAMHPBoEm8ssZlfl6Kxw_22_0"/>
      <w:bookmarkStart w:id="89" w:name="Tc_4zRGr6wbEEyvKqyy1_X7pA_21_0"/>
      <w:bookmarkStart w:id="90" w:name="Tc_rYF0EjXyo0G1DIXKmlTpOg_20_8"/>
      <w:bookmarkStart w:id="91" w:name="Tc_0KKfGYUDskW6dtg6m9lGZg_20_5"/>
      <w:bookmarkStart w:id="92" w:name="Tc_UZ1ZRo45TkSErUf5RQz59g_20_2"/>
      <w:bookmarkStart w:id="93" w:name="Tc_pXmZ8qh24keq1G-j6-kweg_20_0"/>
      <w:bookmarkStart w:id="94" w:name="Tc_Cb0a-6_BRU-GcHIjBX5Tfw_19_0"/>
      <w:bookmarkStart w:id="95" w:name="Tc_bFMcY0uT7Eu6psh9UWQOfQ_18_0"/>
      <w:bookmarkStart w:id="96" w:name="Tc_kNPQjT1wQUmy9etO8nvRsA_17_0"/>
      <w:bookmarkStart w:id="97" w:name="Tc_r-412m7sk0m2Weryu2bq2w_16_0"/>
      <w:bookmarkStart w:id="98" w:name="Tc__gVhK2yea0-BNLlu8-kbRw_15_0"/>
      <w:bookmarkStart w:id="99" w:name="Tc_qEJaIDoe40KN97R5NNVwDQ_14_0"/>
      <w:bookmarkStart w:id="100" w:name="Tc_Zdl0fVGPgkeTtUxiKHiP5w_13_0"/>
      <w:bookmarkStart w:id="101" w:name="Tc_izknJLkN4kyAeUHvMvKYNg_12_0"/>
      <w:bookmarkStart w:id="102" w:name="Tc_rGZHEXnnFE-g2FVm6GKFaA_11_0"/>
      <w:bookmarkStart w:id="103" w:name="Tc_9UfuCEhz6kq42A8eyZwL8A_10_0"/>
      <w:bookmarkStart w:id="104" w:name="Tc_Ci8ok0w9G0uopYjao83uSw_9_0"/>
      <w:bookmarkStart w:id="105" w:name="Tc_X4CeavV8j0OI7Fzs5AhNjg_8_0"/>
      <w:bookmarkStart w:id="106" w:name="Tc_vDG5kFh9oky2JbEAejZ4fg_7_8"/>
      <w:bookmarkStart w:id="107" w:name="Tc_AP2Cqr-ZfkeUhkQnUYHPKA_7_5"/>
      <w:bookmarkStart w:id="108" w:name="Tc_MyQIK7UO70ORI14aZdFw5A_7_2"/>
      <w:bookmarkStart w:id="109" w:name="Tc_7e4wssIpD06Y8dwIxJth9w_7_0"/>
      <w:bookmarkStart w:id="110" w:name="Tc_1HYM2QqIkU6DidD58baaOw_6_0"/>
      <w:bookmarkStart w:id="111" w:name="Tc_iFZEV-ds-0qVFSaamFFsHA_5_0"/>
      <w:bookmarkStart w:id="112" w:name="Tc_zh5ZRiVEpUaCr7XIffN_ag_4_2"/>
      <w:bookmarkStart w:id="113" w:name="Tc_DsCatG_l4USiq72i5x6eeQ_3_5"/>
      <w:bookmarkStart w:id="114" w:name="Tc_UJVUd23ToUOcN1UHdYAbKQ_3_2"/>
      <w:bookmarkStart w:id="115" w:name="Tc_RONZZzUa8Ea_T6OF9zXVJw_2_8"/>
      <w:bookmarkStart w:id="116" w:name="Tc_Kf9iR-JcUkqVCehwK7Lz6w_2_5"/>
      <w:bookmarkStart w:id="117" w:name="Tc_dh-C6T2VskGQufa31CV0kA_2_2"/>
      <w:bookmarkStart w:id="118" w:name="Tc_sVMltvoieUmolDGF_Jieng_1_8"/>
      <w:bookmarkStart w:id="119" w:name="Tc_FCLQ_wvinUuGdxY7jndP0w_1_5"/>
      <w:bookmarkStart w:id="120" w:name="Tc_eM-b4kmAGkiqIktLlvzW4g_1_2"/>
      <w:bookmarkStart w:id="121" w:name="_75933c3a_a737_49d3_b87b_fe535410b0f6"/>
      <w:bookmarkStart w:id="122" w:name="Tc_vtheBCJ0G0m8sFpHSllVHg_45_8"/>
      <w:bookmarkStart w:id="123" w:name="Tc_y-d0KJq8ikKhtXOxoDUi6g_45_5"/>
      <w:bookmarkStart w:id="124" w:name="Tc_PTvzK7URIEat9Q5H3WUS0A_45_2"/>
      <w:bookmarkStart w:id="125" w:name="Tc_Nyt_GzEoqUeEw1hQ07K00w_45_0"/>
      <w:bookmarkStart w:id="126" w:name="Tc_0B7J4H2ONUK9WbvN1JkMqQ_44_0"/>
      <w:bookmarkStart w:id="127" w:name="Tc_rF39XZmOI0CUJlFST9ilIw_43_0"/>
      <w:bookmarkStart w:id="128" w:name="Tc_4JUoQYQsMEacGCfKKTJbtQ_42_0"/>
      <w:bookmarkStart w:id="129" w:name="Tc_bXxFyR_NRUKRH5nlCWnsDw_41_0"/>
      <w:bookmarkStart w:id="130" w:name="Tc_sI9lJBAQ4ESPx0J4Y-EEPA_40_0"/>
      <w:bookmarkStart w:id="131" w:name="Tc_0Bse85P0EkyFoWU4EOe7pQ_39_0"/>
      <w:bookmarkStart w:id="132" w:name="Tc_IUJYkzYs2kCBnJ2v_I56TQ_38_0"/>
      <w:bookmarkStart w:id="133" w:name="Tc_YjM_clDTcEqOsujDRG069g_37_0"/>
      <w:bookmarkStart w:id="134" w:name="Tc_1djZmA-9Mkeff_ArJatolQ_35_0"/>
      <w:bookmarkStart w:id="135" w:name="Tc_duL9Uz7q3E6BAtFLJjqytQ_34_0"/>
      <w:bookmarkStart w:id="136" w:name="Tc_szRN1OcGVEKTGiHNHVv7Sw_33_0"/>
      <w:bookmarkStart w:id="137" w:name="Tc_0TJzmskW-Ui4Ho3xdD2N3g_32_0"/>
      <w:bookmarkStart w:id="138" w:name="Tc_W8lVcICKw06xyQfKF8hBQw_31_0"/>
      <w:bookmarkStart w:id="139" w:name="Tc_gB8cid5_UU2WhynvLbjkKg_30_0"/>
      <w:bookmarkStart w:id="140" w:name="Tc_7dSzAtpHrEuwo80qYj1S2Q_29_3"/>
      <w:bookmarkStart w:id="141" w:name="Tc_k3nimNyqrEmR4kfhlQ-KFA_29_0"/>
      <w:bookmarkStart w:id="142" w:name="Tc_tQ5YxuMPtUm8hOx5LX_WZA_28_0"/>
      <w:bookmarkStart w:id="143" w:name="Tc_BbqXiOq4-EmMnTecCYrFhQ_27_0"/>
      <w:bookmarkStart w:id="144" w:name="Tc_OsbwSQqRqUeS6wYnUO-Kxg_26_0"/>
      <w:bookmarkStart w:id="145" w:name="Tc_SKKgNg82vkmMDTa_prmTYQ_25_0"/>
      <w:bookmarkStart w:id="146" w:name="Tc_YcgtnVPwqEu-prfyU4EZXQ_24_0"/>
      <w:bookmarkStart w:id="147" w:name="Tc_rB77rDvxEkaxxjaZ-sFkOg_23_8"/>
      <w:bookmarkStart w:id="148" w:name="Tc_3CvHcrOlXUurYEGG5Ky7DA_23_5"/>
      <w:bookmarkStart w:id="149" w:name="Tc_wYn_carqOUiYnQkzUo1mgA_23_2"/>
      <w:bookmarkStart w:id="150" w:name="Tc_lM78mukzTEih4iIJwh7uPw_23_0"/>
      <w:bookmarkStart w:id="151" w:name="Tc_EsmAMHPBoEm8ssZlfl6Kxw_22_0"/>
      <w:bookmarkStart w:id="152" w:name="Tc_4zRGr6wbEEyvKqyy1_X7pA_21_0"/>
      <w:bookmarkStart w:id="153" w:name="Tc_rYF0EjXyo0G1DIXKmlTpOg_20_8"/>
      <w:bookmarkStart w:id="154" w:name="Tc_0KKfGYUDskW6dtg6m9lGZg_20_5"/>
      <w:bookmarkStart w:id="155" w:name="Tc_UZ1ZRo45TkSErUf5RQz59g_20_2"/>
      <w:bookmarkStart w:id="156" w:name="Tc_pXmZ8qh24keq1G-j6-kweg_20_0"/>
      <w:bookmarkStart w:id="157" w:name="Tc_Cb0a-6_BRU-GcHIjBX5Tfw_19_0"/>
      <w:bookmarkStart w:id="158" w:name="Tc_bFMcY0uT7Eu6psh9UWQOfQ_18_0"/>
      <w:bookmarkStart w:id="159" w:name="Tc_kNPQjT1wQUmy9etO8nvRsA_17_0"/>
      <w:bookmarkStart w:id="160" w:name="Tc_r-412m7sk0m2Weryu2bq2w_16_0"/>
      <w:bookmarkStart w:id="161" w:name="Tc__gVhK2yea0-BNLlu8-kbRw_15_0"/>
      <w:bookmarkStart w:id="162" w:name="Tc_qEJaIDoe40KN97R5NNVwDQ_14_0"/>
      <w:bookmarkStart w:id="163" w:name="Tc_Zdl0fVGPgkeTtUxiKHiP5w_13_0"/>
      <w:bookmarkStart w:id="164" w:name="Tc_izknJLkN4kyAeUHvMvKYNg_12_0"/>
      <w:bookmarkStart w:id="165" w:name="Tc_rGZHEXnnFE-g2FVm6GKFaA_11_0"/>
      <w:bookmarkStart w:id="166" w:name="Tc_9UfuCEhz6kq42A8eyZwL8A_10_0"/>
      <w:bookmarkStart w:id="167" w:name="Tc_Ci8ok0w9G0uopYjao83uSw_9_0"/>
      <w:bookmarkStart w:id="168" w:name="Tc_X4CeavV8j0OI7Fzs5AhNjg_8_0"/>
      <w:bookmarkStart w:id="169" w:name="Tc_vDG5kFh9oky2JbEAejZ4fg_7_8"/>
      <w:bookmarkStart w:id="170" w:name="Tc_AP2Cqr-ZfkeUhkQnUYHPKA_7_5"/>
      <w:bookmarkStart w:id="171" w:name="Tc_MyQIK7UO70ORI14aZdFw5A_7_2"/>
      <w:bookmarkStart w:id="172" w:name="Tc_7e4wssIpD06Y8dwIxJth9w_7_0"/>
      <w:bookmarkStart w:id="173" w:name="Tc_1HYM2QqIkU6DidD58baaOw_6_0"/>
      <w:bookmarkStart w:id="174" w:name="Tc_iFZEV-ds-0qVFSaamFFsHA_5_0"/>
      <w:bookmarkStart w:id="175" w:name="Tc_zh5ZRiVEpUaCr7XIffN_ag_4_2"/>
      <w:bookmarkStart w:id="176" w:name="Tc_DsCatG_l4USiq72i5x6eeQ_3_5"/>
      <w:bookmarkStart w:id="177" w:name="Tc_UJVUd23ToUOcN1UHdYAbKQ_3_2"/>
      <w:bookmarkStart w:id="178" w:name="Tc_RONZZzUa8Ea_T6OF9zXVJw_2_8"/>
      <w:bookmarkStart w:id="179" w:name="Tc_Kf9iR-JcUkqVCehwK7Lz6w_2_5"/>
      <w:bookmarkStart w:id="180" w:name="Tc_dh-C6T2VskGQufa31CV0kA_2_2"/>
      <w:bookmarkStart w:id="181" w:name="Tc_sVMltvoieUmolDGF_Jieng_1_8"/>
      <w:bookmarkStart w:id="182" w:name="Tc_FCLQ_wvinUuGdxY7jndP0w_1_5"/>
      <w:bookmarkStart w:id="183" w:name="Tc_eM-b4kmAGkiqIktLlvzW4g_1_2"/>
      <w:bookmarkStart w:id="184" w:name="_75933c3a_a737_49d3_b87b_fe535410b0f6"/>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W w:w="10205" w:type="dxa"/>
        <w:jc w:val="left"/>
        <w:tblInd w:w="0" w:type="dxa"/>
        <w:tblLayout w:type="fixed"/>
        <w:tblCellMar>
          <w:top w:w="0" w:type="dxa"/>
          <w:left w:w="0" w:type="dxa"/>
          <w:bottom w:w="0" w:type="dxa"/>
          <w:right w:w="0" w:type="dxa"/>
        </w:tblCellMar>
      </w:tblPr>
      <w:tblGrid>
        <w:gridCol w:w="5636"/>
        <w:gridCol w:w="346"/>
        <w:gridCol w:w="211"/>
        <w:gridCol w:w="931"/>
        <w:gridCol w:w="346"/>
        <w:gridCol w:w="211"/>
        <w:gridCol w:w="931"/>
        <w:gridCol w:w="346"/>
        <w:gridCol w:w="211"/>
        <w:gridCol w:w="1036"/>
      </w:tblGrid>
      <w:tr>
        <w:trPr/>
        <w:tc>
          <w:tcPr>
            <w:tcW w:w="5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578860" cy="175260"/>
                      <wp:effectExtent l="0" t="0" r="0" b="0"/>
                      <wp:wrapNone/>
                      <wp:docPr id="1" name="Frame1"/>
                      <a:graphic xmlns:a="http://schemas.openxmlformats.org/drawingml/2006/main">
                        <a:graphicData uri="http://schemas.microsoft.com/office/word/2010/wordprocessingShape">
                          <wps:wsp>
                            <wps:cNvSpPr txBox="1"/>
                            <wps:spPr>
                              <a:xfrm>
                                <a:off x="0" y="0"/>
                                <a:ext cx="357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10" name="Frame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2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529,190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301,778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406,662</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$1,382, $1,472</w:t>
            </w:r>
            <w:r>
              <w:rPr>
                <w:rFonts w:ascii="Times New Roman;Times;serif" w:hAnsi="Times New Roman;Times;serif"/>
                <w:sz w:val="18"/>
              </w:rPr>
              <w:t xml:space="preserve"> </w:t>
            </w:r>
            <w:r>
              <w:rPr>
                <w:rFonts w:ascii="Times New Roman;Times;serif" w:hAnsi="Times New Roman;Times;serif"/>
                <w:sz w:val="19"/>
              </w:rPr>
              <w:t>and $19,038,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403,426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474,931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537,045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555,024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639,756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460,029</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12,288</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Prepaid expenses and other current assets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64,212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53,023</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assets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1,561,670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1,485,015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1,469,047</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unconsolidated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105,170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116,707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110,226</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80,741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78,891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78,042</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316,862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257,619</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22,409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65,382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23,903</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intangibles,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23,312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25,564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7,510</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631,820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638,540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638,909</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2,751,847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2,690,981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2,610,820</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portion of 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7,104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321,514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431,034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264,005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115,118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138,493</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Customer refund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54,379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76,308</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51,546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52,604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52,244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7,135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376</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liabilities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577,439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672,340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545,665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4,638</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liabilities,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53,342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54,375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61,387</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281,458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227,691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220,713</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21,185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18,094</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932,733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982,460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850,497</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Preferred stock; 1,000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 $0.01</w:t>
            </w:r>
            <w:r>
              <w:rPr>
                <w:rFonts w:ascii="Times New Roman;Times;serif" w:hAnsi="Times New Roman;Times;serif"/>
                <w:sz w:val="18"/>
              </w:rPr>
              <w:t xml:space="preserve"> </w:t>
            </w:r>
            <w:r>
              <w:rPr>
                <w:rFonts w:ascii="Times New Roman;Times;serif" w:hAnsi="Times New Roman;Times;serif"/>
                <w:sz w:val="19"/>
              </w:rPr>
              <w:t>par value; 120,000</w:t>
            </w:r>
            <w:r>
              <w:rPr>
                <w:rFonts w:ascii="Times New Roman;Times;serif" w:hAnsi="Times New Roman;Times;serif"/>
                <w:sz w:val="18"/>
              </w:rPr>
              <w:t xml:space="preserve"> </w:t>
            </w:r>
            <w:r>
              <w:rPr>
                <w:rFonts w:ascii="Times New Roman;Times;serif" w:hAnsi="Times New Roman;Times;serif"/>
                <w:sz w:val="19"/>
              </w:rPr>
              <w:t>shares authorized; 49,396, 49,396</w:t>
            </w:r>
            <w:r>
              <w:rPr>
                <w:rFonts w:ascii="Times New Roman;Times;serif" w:hAnsi="Times New Roman;Times;serif"/>
                <w:sz w:val="18"/>
              </w:rPr>
              <w:t xml:space="preserve"> </w:t>
            </w:r>
            <w:r>
              <w:rPr>
                <w:rFonts w:ascii="Times New Roman;Times;serif" w:hAnsi="Times New Roman;Times;serif"/>
                <w:sz w:val="19"/>
              </w:rPr>
              <w:t>and 49,396</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Additional paid-in capital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465,644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467,375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476,005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Accumulated 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23,920</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1,495,066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1,372,376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1,416,812</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held in treasury, at cost - 6,895, 7,180</w:t>
            </w:r>
            <w:r>
              <w:rPr>
                <w:rFonts w:ascii="Times New Roman;Times;serif" w:hAnsi="Times New Roman;Times;serif"/>
                <w:sz w:val="18"/>
              </w:rPr>
              <w:t xml:space="preserve"> </w:t>
            </w:r>
            <w:r>
              <w:rPr>
                <w:rFonts w:ascii="Times New Roman;Times;serif" w:hAnsi="Times New Roman;Times;serif"/>
                <w:sz w:val="19"/>
              </w:rPr>
              <w:t>and 7,206</w:t>
            </w:r>
            <w:r>
              <w:rPr>
                <w:rFonts w:ascii="Times New Roman;Times;serif" w:hAnsi="Times New Roman;Times;serif"/>
                <w:sz w:val="18"/>
              </w:rPr>
              <w:t xml:space="preserve"> </w:t>
            </w:r>
            <w:r>
              <w:rPr>
                <w:rFonts w:ascii="Times New Roman;Times;serif" w:hAnsi="Times New Roman;Times;serif"/>
                <w:sz w:val="19"/>
              </w:rPr>
              <w:t>shares,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(153,981)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(155,009)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(156,678)</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1,819,114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1,708,521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1,760,323</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2,751,847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2,690,981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2,610,820</w:t>
            </w:r>
          </w:p>
        </w:tc>
      </w:tr>
    </w:tbl>
    <w:p>
      <w:pPr>
        <w:pStyle w:val="TextBody"/>
        <w:bidi w:val="0"/>
        <w:spacing w:before="6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5" w:name="_4d99176c_c5ed_4135_8d67_83d65432b8b2"/>
      <w:bookmarkEnd w:id="185"/>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bookmarkStart w:id="186" w:name="IncomeStatement_VCW"/>
      <w:bookmarkStart w:id="187" w:name="COMPREHENSIVELOSS_858937"/>
      <w:bookmarkEnd w:id="186"/>
      <w:bookmarkEnd w:id="187"/>
      <w:r>
        <w:rPr>
          <w:rFonts w:ascii="Times New Roman;Times;serif" w:hAnsi="Times New Roman;Times;serif"/>
          <w:b/>
          <w:sz w:val="20"/>
        </w:rPr>
        <w:t xml:space="preserve">CONDENSED CONSOLIDATED STATEMENTS OF INCOME AND COMPREHENSIVE INCOME </w:t>
      </w:r>
    </w:p>
    <w:p>
      <w:pPr>
        <w:pStyle w:val="Normal"/>
        <w:bidi w:val="0"/>
        <w:spacing w:before="0" w:after="0"/>
        <w:jc w:val="left"/>
        <w:rPr>
          <w:sz w:val="4"/>
          <w:szCs w:val="4"/>
        </w:rPr>
      </w:pPr>
      <w:r>
        <w:rPr>
          <w:sz w:val="4"/>
          <w:szCs w:val="4"/>
        </w:rPr>
      </w:r>
      <w:bookmarkStart w:id="188" w:name="Tc_pYzufuY_3kSeP0ds87t16w_31_11"/>
      <w:bookmarkStart w:id="189" w:name="Tc_uehA3aZAjEGzgsJ77kKz2Q_31_8"/>
      <w:bookmarkStart w:id="190" w:name="Tc_bgIUA5PsMUuDAJBPGTdn-A_31_5"/>
      <w:bookmarkStart w:id="191" w:name="Tc_1GCEuRW5IkSNu3t6oE9tHA_31_2"/>
      <w:bookmarkStart w:id="192" w:name="Tc_D8j3bSuGaUOiYTfyPCUc7w_31_0"/>
      <w:bookmarkStart w:id="193" w:name="Tc_n9yqnOaczUGFuo8Ug13eHg_30_0"/>
      <w:bookmarkStart w:id="194" w:name="Tc_bo0_nD6k6k-dNcIcmlONHw_29_0"/>
      <w:bookmarkStart w:id="195" w:name="Tc_iBWudbJkg0uAeFZZMgzDpw_28_0"/>
      <w:bookmarkStart w:id="196" w:name="Tc_wQYCX_il0kmi_fILfEE1SA_27_11"/>
      <w:bookmarkStart w:id="197" w:name="Tc_zgN-qJZJdE2V8JzKXxIMCg_27_8"/>
      <w:bookmarkStart w:id="198" w:name="Tc_Q-AkYKZ1DEWQ6RduGo0M_A_27_5"/>
      <w:bookmarkStart w:id="199" w:name="Tc_ojcYqdgGlkWYkDPUgol9iQ_27_2"/>
      <w:bookmarkStart w:id="200" w:name="Tc_kfTq2E0k5Ey53ExezzB_vw_27_0"/>
      <w:bookmarkStart w:id="201" w:name="Tc_VfP0i6soXUO55eAMCoEDQg_25_0"/>
      <w:bookmarkStart w:id="202" w:name="Tc_zZz7-zWTmUCclRTqj9JDEg_24_11"/>
      <w:bookmarkStart w:id="203" w:name="Tc__1PCIMIh70WFCOb0FgGbOQ_24_8"/>
      <w:bookmarkStart w:id="204" w:name="Tc_Srho4paiDkmHDJR1suNoxw_24_5"/>
      <w:bookmarkStart w:id="205" w:name="Tc_oYGg67VL90-mgecCS0NC5A_24_2"/>
      <w:bookmarkStart w:id="206" w:name="Tc_-cKH6o2rakirqmFI9XX3Tw_24_0"/>
      <w:bookmarkStart w:id="207" w:name="Tc_2GGUUo3uT0aAEUpY1ZdHyA_23_0"/>
      <w:bookmarkStart w:id="208" w:name="Tc_BQmWvCwYn0ieN6-grIVVrg_21_0"/>
      <w:bookmarkStart w:id="209" w:name="Tc_ktyqGug2-EqgnHgbYFJ-0A_20_11"/>
      <w:bookmarkStart w:id="210" w:name="Tc_rEmAJh7lZE2Yq0hn_bCOsA_20_8"/>
      <w:bookmarkStart w:id="211" w:name="Tc_0t-Yt9tL1EquK4q9LRADvA_20_5"/>
      <w:bookmarkStart w:id="212" w:name="Tc_a_2ahtpqpUWxtR9F8fez5Q_20_2"/>
      <w:bookmarkStart w:id="213" w:name="Tc_WWDgc5hI4Em_1RDXJeEIvA_20_0"/>
      <w:bookmarkStart w:id="214" w:name="Tc_rAqFPbHcWUeckVwrxwt-QQ_19_0"/>
      <w:bookmarkStart w:id="215" w:name="Tc_q3rkInxtX0qRsUKNzT8Y6w_18_0"/>
      <w:bookmarkStart w:id="216" w:name="Tc_gtnHGd9RLkOBgmMe_jf0ag_15_11"/>
      <w:bookmarkStart w:id="217" w:name="Tc_N6bivUHi8ES3YKpOb4N3QA_15_8"/>
      <w:bookmarkStart w:id="218" w:name="Tc_8iwIyX7lrEmTMc8LVvzmEA_15_5"/>
      <w:bookmarkStart w:id="219" w:name="Tc_2Y_HJu2ilkKCZu5aIji8cA_15_2"/>
      <w:bookmarkStart w:id="220" w:name="Tc_vncBBWnEZU2DykASQHtvjQ_15_0"/>
      <w:bookmarkStart w:id="221" w:name="Tc_PLiynyp5bEOuze8NeU3X6Q_14_0"/>
      <w:bookmarkStart w:id="222" w:name="Tc_-_O7F7ZyCE6XMoQvb8MXrg_13_0"/>
      <w:bookmarkStart w:id="223" w:name="Tc_Y0mxjlEruEKDVxM3KBrVVw_12_0"/>
      <w:bookmarkStart w:id="224" w:name="Tc_jpB8IpeTMESMjTWzT2b9Og_11_0"/>
      <w:bookmarkStart w:id="225" w:name="Tc_SHGJyw1DrkGJIKk1WdNlWA_10_0"/>
      <w:bookmarkStart w:id="226" w:name="Tc_4kGemoRTx0OnpAOVD4QlJQ_9_0"/>
      <w:bookmarkStart w:id="227" w:name="Tc_0xSyaAqlhEah-nCoKq_iZg_8_0"/>
      <w:bookmarkStart w:id="228" w:name="Tc_RZMZlxFbCk2ZEKS44zwN5w_7_0"/>
      <w:bookmarkStart w:id="229" w:name="Tc_MnbOs6WOJUqCRQFqzQEL2A_6_0"/>
      <w:bookmarkStart w:id="230" w:name="Tc_PpVF95vGnUCx351LdIAkjg_5_11"/>
      <w:bookmarkStart w:id="231" w:name="Tc_cBnQSh5Vb0-hv9TpEU4j-A_5_8"/>
      <w:bookmarkStart w:id="232" w:name="Tc_vFpCdPEXR0qqwzbiunFr7A_5_5"/>
      <w:bookmarkStart w:id="233" w:name="Tc_6x7PlUz2HES1G2i527I4jg_5_2"/>
      <w:bookmarkStart w:id="234" w:name="Tc_RcOELc5nT0SB2mX1HxoiDA_5_0"/>
      <w:bookmarkStart w:id="235" w:name="Tc_UEVs4scoTkKKDbxCYFoyqg_4_2"/>
      <w:bookmarkStart w:id="236" w:name="Tc_Mwg7Wzllgki6wD8SfVULEg_3_2"/>
      <w:bookmarkStart w:id="237" w:name="Tc_mNfVqEUw_0Cy-pxU-Mkedg_2_11"/>
      <w:bookmarkStart w:id="238" w:name="Tc_iSep6PO4tEawMy3AwXo5mw_2_8"/>
      <w:bookmarkStart w:id="239" w:name="Tc_S7mSQGK6b0ioTOmiL5kuzQ_2_5"/>
      <w:bookmarkStart w:id="240" w:name="Tc_U8OnHkxYmEC5R9l2GA8c2A_2_2"/>
      <w:bookmarkStart w:id="241" w:name="Tc_faiEThoNUUSSYAhvjsFDfw_1_8"/>
      <w:bookmarkStart w:id="242" w:name="Tc_qZprKSI-NE2iGzCNjh916A_1_2"/>
      <w:bookmarkStart w:id="243" w:name="_6c539662_6db4_4445_af8f_c0abfa4b34a3"/>
      <w:bookmarkStart w:id="244" w:name="Tc_pYzufuY_3kSeP0ds87t16w_31_11"/>
      <w:bookmarkStart w:id="245" w:name="Tc_uehA3aZAjEGzgsJ77kKz2Q_31_8"/>
      <w:bookmarkStart w:id="246" w:name="Tc_bgIUA5PsMUuDAJBPGTdn-A_31_5"/>
      <w:bookmarkStart w:id="247" w:name="Tc_1GCEuRW5IkSNu3t6oE9tHA_31_2"/>
      <w:bookmarkStart w:id="248" w:name="Tc_D8j3bSuGaUOiYTfyPCUc7w_31_0"/>
      <w:bookmarkStart w:id="249" w:name="Tc_n9yqnOaczUGFuo8Ug13eHg_30_0"/>
      <w:bookmarkStart w:id="250" w:name="Tc_bo0_nD6k6k-dNcIcmlONHw_29_0"/>
      <w:bookmarkStart w:id="251" w:name="Tc_iBWudbJkg0uAeFZZMgzDpw_28_0"/>
      <w:bookmarkStart w:id="252" w:name="Tc_wQYCX_il0kmi_fILfEE1SA_27_11"/>
      <w:bookmarkStart w:id="253" w:name="Tc_zgN-qJZJdE2V8JzKXxIMCg_27_8"/>
      <w:bookmarkStart w:id="254" w:name="Tc_Q-AkYKZ1DEWQ6RduGo0M_A_27_5"/>
      <w:bookmarkStart w:id="255" w:name="Tc_ojcYqdgGlkWYkDPUgol9iQ_27_2"/>
      <w:bookmarkStart w:id="256" w:name="Tc_kfTq2E0k5Ey53ExezzB_vw_27_0"/>
      <w:bookmarkStart w:id="257" w:name="Tc_VfP0i6soXUO55eAMCoEDQg_25_0"/>
      <w:bookmarkStart w:id="258" w:name="Tc_zZz7-zWTmUCclRTqj9JDEg_24_11"/>
      <w:bookmarkStart w:id="259" w:name="Tc__1PCIMIh70WFCOb0FgGbOQ_24_8"/>
      <w:bookmarkStart w:id="260" w:name="Tc_Srho4paiDkmHDJR1suNoxw_24_5"/>
      <w:bookmarkStart w:id="261" w:name="Tc_oYGg67VL90-mgecCS0NC5A_24_2"/>
      <w:bookmarkStart w:id="262" w:name="Tc_-cKH6o2rakirqmFI9XX3Tw_24_0"/>
      <w:bookmarkStart w:id="263" w:name="Tc_2GGUUo3uT0aAEUpY1ZdHyA_23_0"/>
      <w:bookmarkStart w:id="264" w:name="Tc_BQmWvCwYn0ieN6-grIVVrg_21_0"/>
      <w:bookmarkStart w:id="265" w:name="Tc_ktyqGug2-EqgnHgbYFJ-0A_20_11"/>
      <w:bookmarkStart w:id="266" w:name="Tc_rEmAJh7lZE2Yq0hn_bCOsA_20_8"/>
      <w:bookmarkStart w:id="267" w:name="Tc_0t-Yt9tL1EquK4q9LRADvA_20_5"/>
      <w:bookmarkStart w:id="268" w:name="Tc_a_2ahtpqpUWxtR9F8fez5Q_20_2"/>
      <w:bookmarkStart w:id="269" w:name="Tc_WWDgc5hI4Em_1RDXJeEIvA_20_0"/>
      <w:bookmarkStart w:id="270" w:name="Tc_rAqFPbHcWUeckVwrxwt-QQ_19_0"/>
      <w:bookmarkStart w:id="271" w:name="Tc_q3rkInxtX0qRsUKNzT8Y6w_18_0"/>
      <w:bookmarkStart w:id="272" w:name="Tc_gtnHGd9RLkOBgmMe_jf0ag_15_11"/>
      <w:bookmarkStart w:id="273" w:name="Tc_N6bivUHi8ES3YKpOb4N3QA_15_8"/>
      <w:bookmarkStart w:id="274" w:name="Tc_8iwIyX7lrEmTMc8LVvzmEA_15_5"/>
      <w:bookmarkStart w:id="275" w:name="Tc_2Y_HJu2ilkKCZu5aIji8cA_15_2"/>
      <w:bookmarkStart w:id="276" w:name="Tc_vncBBWnEZU2DykASQHtvjQ_15_0"/>
      <w:bookmarkStart w:id="277" w:name="Tc_PLiynyp5bEOuze8NeU3X6Q_14_0"/>
      <w:bookmarkStart w:id="278" w:name="Tc_-_O7F7ZyCE6XMoQvb8MXrg_13_0"/>
      <w:bookmarkStart w:id="279" w:name="Tc_Y0mxjlEruEKDVxM3KBrVVw_12_0"/>
      <w:bookmarkStart w:id="280" w:name="Tc_jpB8IpeTMESMjTWzT2b9Og_11_0"/>
      <w:bookmarkStart w:id="281" w:name="Tc_SHGJyw1DrkGJIKk1WdNlWA_10_0"/>
      <w:bookmarkStart w:id="282" w:name="Tc_4kGemoRTx0OnpAOVD4QlJQ_9_0"/>
      <w:bookmarkStart w:id="283" w:name="Tc_0xSyaAqlhEah-nCoKq_iZg_8_0"/>
      <w:bookmarkStart w:id="284" w:name="Tc_RZMZlxFbCk2ZEKS44zwN5w_7_0"/>
      <w:bookmarkStart w:id="285" w:name="Tc_MnbOs6WOJUqCRQFqzQEL2A_6_0"/>
      <w:bookmarkStart w:id="286" w:name="Tc_PpVF95vGnUCx351LdIAkjg_5_11"/>
      <w:bookmarkStart w:id="287" w:name="Tc_cBnQSh5Vb0-hv9TpEU4j-A_5_8"/>
      <w:bookmarkStart w:id="288" w:name="Tc_vFpCdPEXR0qqwzbiunFr7A_5_5"/>
      <w:bookmarkStart w:id="289" w:name="Tc_6x7PlUz2HES1G2i527I4jg_5_2"/>
      <w:bookmarkStart w:id="290" w:name="Tc_RcOELc5nT0SB2mX1HxoiDA_5_0"/>
      <w:bookmarkStart w:id="291" w:name="Tc_UEVs4scoTkKKDbxCYFoyqg_4_2"/>
      <w:bookmarkStart w:id="292" w:name="Tc_Mwg7Wzllgki6wD8SfVULEg_3_2"/>
      <w:bookmarkStart w:id="293" w:name="Tc_mNfVqEUw_0Cy-pxU-Mkedg_2_11"/>
      <w:bookmarkStart w:id="294" w:name="Tc_iSep6PO4tEawMy3AwXo5mw_2_8"/>
      <w:bookmarkStart w:id="295" w:name="Tc_S7mSQGK6b0ioTOmiL5kuzQ_2_5"/>
      <w:bookmarkStart w:id="296" w:name="Tc_U8OnHkxYmEC5R9l2GA8c2A_2_2"/>
      <w:bookmarkStart w:id="297" w:name="Tc_faiEThoNUUSSYAhvjsFDfw_1_8"/>
      <w:bookmarkStart w:id="298" w:name="Tc_qZprKSI-NE2iGzCNjh916A_1_2"/>
      <w:bookmarkStart w:id="299" w:name="_6c539662_6db4_4445_af8f_c0abfa4b34a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tbl>
      <w:tblPr>
        <w:tblW w:w="9481" w:type="dxa"/>
        <w:jc w:val="left"/>
        <w:tblInd w:w="0" w:type="dxa"/>
        <w:tblLayout w:type="fixed"/>
        <w:tblCellMar>
          <w:top w:w="0" w:type="dxa"/>
          <w:left w:w="0" w:type="dxa"/>
          <w:bottom w:w="0" w:type="dxa"/>
          <w:right w:w="0" w:type="dxa"/>
        </w:tblCellMar>
      </w:tblPr>
      <w:tblGrid>
        <w:gridCol w:w="4021"/>
        <w:gridCol w:w="109"/>
        <w:gridCol w:w="211"/>
        <w:gridCol w:w="781"/>
        <w:gridCol w:w="346"/>
        <w:gridCol w:w="211"/>
        <w:gridCol w:w="781"/>
        <w:gridCol w:w="346"/>
        <w:gridCol w:w="211"/>
        <w:gridCol w:w="931"/>
        <w:gridCol w:w="346"/>
        <w:gridCol w:w="211"/>
        <w:gridCol w:w="97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53335" cy="175260"/>
                      <wp:effectExtent l="0" t="0" r="0" b="0"/>
                      <wp:wrapNone/>
                      <wp:docPr id="11" name="Frame1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7" name="Frame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9760" cy="175260"/>
                      <wp:effectExtent l="0" t="0" r="0" b="0"/>
                      <wp:wrapNone/>
                      <wp:docPr id="22" name="Frame2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July 31, </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July 31, </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48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5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5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554,093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613,266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1,090,055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1,196,875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Cost of goods sold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303,712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362,795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491,928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699,860</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250,471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598,127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497,015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231,354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226,845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486,677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458,340</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13,899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profit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96,067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24,776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and financing charges,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Income before income taxes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99,697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27,374</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 expense (benefit)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8,676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18,698</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43,254</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0.42</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44,795</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18,698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49,034</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49,034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67,732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0" w:name="_6c2645f2_4983_400d_953b_cb29c8d3e960"/>
      <w:bookmarkEnd w:id="300"/>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01" w:name="EquityStatement_VCW"/>
      <w:bookmarkEnd w:id="301"/>
      <w:r>
        <w:rPr>
          <w:rFonts w:ascii="Times New Roman;Times;serif" w:hAnsi="Times New Roman;Times;serif"/>
          <w:b/>
          <w:sz w:val="20"/>
        </w:rPr>
        <w:t>CONDENSED CONSOLIDATED STATEMENTS OF STOCKHOLDERS’ EQUITY</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02" w:name="Tc_kChkD3BnOk2YlkrNqUjuMA_46_20"/>
      <w:bookmarkStart w:id="303" w:name="Tc_PZ86TjUS-UGeAriWo7qwNw_46_17"/>
      <w:bookmarkStart w:id="304" w:name="Tc_p8Q18_i7TkqP5aHqsPTWTg_46_12"/>
      <w:bookmarkStart w:id="305" w:name="Tc_5cihoROpRkup6ztHVFX52g_46_9"/>
      <w:bookmarkStart w:id="306" w:name="Tc_pUHjBjQSjkmUsSSG2mc0Zw_46_6"/>
      <w:bookmarkStart w:id="307" w:name="Tc_LcFOo2RcJ0yeDkRy3izQnA_46_3"/>
      <w:bookmarkStart w:id="308" w:name="Tc_dvw4naMMmUOHbv7_zb6VxQ_46_0"/>
      <w:bookmarkStart w:id="309" w:name="Tc_LcVNfDTxREyfbJ3aqPGhQQ_45_18"/>
      <w:bookmarkStart w:id="310" w:name="Tc_7f8W-UKqfE24h-2_OrzPOg_45_15"/>
      <w:bookmarkStart w:id="311" w:name="Tc_QtRT31LPN0WJkTLWw0ycHg_45_10"/>
      <w:bookmarkStart w:id="312" w:name="Tc_04HGlYItl0a9ErDq5jE2yg_45_7"/>
      <w:bookmarkStart w:id="313" w:name="Tc_emwG9_vdDEaI6MlMo2LJMw_45_4"/>
      <w:bookmarkStart w:id="314" w:name="Tc_M3fzxbruBkS6KvkirIZrig_45_1"/>
      <w:bookmarkStart w:id="315" w:name="Tc_fbyv1P34Vkq1gT73vTuS7A_45_0"/>
      <w:bookmarkStart w:id="316" w:name="Tc_EpCgbVzkGkiH3SFWHvxIug_44_15"/>
      <w:bookmarkStart w:id="317" w:name="Tc_E7QJX-kiGEqCh9tapLHScA_44_13"/>
      <w:bookmarkStart w:id="318" w:name="Tc_makLYKhay0KIYzI-2hNGtg_44_10"/>
      <w:bookmarkStart w:id="319" w:name="Tc_eRMVVhPSwkmAZs8dJ58Xow_44_7"/>
      <w:bookmarkStart w:id="320" w:name="Tc_vnVvDtXHYUyHKDPQxT0eBA_44_4"/>
      <w:bookmarkStart w:id="321" w:name="Tc_Km_DG9C9Wk2VSPjUUDkOLQ_44_1"/>
      <w:bookmarkStart w:id="322" w:name="Tc_3iz24xtvWkWOYEk4nt5FUw_44_0"/>
      <w:bookmarkStart w:id="323" w:name="Tc_Q5P47_7bRU6DzWG2yko9hA_43_13"/>
      <w:bookmarkStart w:id="324" w:name="Tc_S6ANZFWGDUWqfZ4FkeYNcA_43_10"/>
      <w:bookmarkStart w:id="325" w:name="Tc_lWrHS7Ptb0GXl0eig4WQJw_43_7"/>
      <w:bookmarkStart w:id="326" w:name="Tc_u927zIMClE201XjHI2Id2Q_43_4"/>
      <w:bookmarkStart w:id="327" w:name="Tc_jGDrY2kZG0SwzvMu9bdZAQ_43_1"/>
      <w:bookmarkStart w:id="328" w:name="Tc_ueXIkuqv7UihxsTEr8JSqQ_43_0"/>
      <w:bookmarkStart w:id="329" w:name="Tc_dhjvMmGHEUesoK47yhMjEA_42_18"/>
      <w:bookmarkStart w:id="330" w:name="Tc_TjmgVYDtEkGQm6bwFO5Q4Q_42_15"/>
      <w:bookmarkStart w:id="331" w:name="Tc_dWfRDBbYoU64HM7XWT_o_A_42_13"/>
      <w:bookmarkStart w:id="332" w:name="Tc_BSriQ2bRN0-A16vbf-QmRQ_42_7"/>
      <w:bookmarkStart w:id="333" w:name="Tc_wAoB6ZDf_0iwD585K4TOKw_42_4"/>
      <w:bookmarkStart w:id="334" w:name="Tc_fkrPyW80X0qrGMaJqQbS-Q_42_1"/>
      <w:bookmarkStart w:id="335" w:name="Tc_kgKLlBxDIkaB43vfxeB8Bw_42_0"/>
      <w:bookmarkStart w:id="336" w:name="Tc_JVaQSMMkl0uNoh9-QcQNgQ_41_18"/>
      <w:bookmarkStart w:id="337" w:name="Tc_NbAiN54tnUuMKT5thDMIkg_41_15"/>
      <w:bookmarkStart w:id="338" w:name="Tc_Ij6lccRwYEC7bbjJItEhfg_41_13"/>
      <w:bookmarkStart w:id="339" w:name="Tc_IoSXqBkYaEOVvsrX8CtcaQ_41_10"/>
      <w:bookmarkStart w:id="340" w:name="Tc_dWoe2zR-s0KxkQ9dYRjGCw_41_4"/>
      <w:bookmarkStart w:id="341" w:name="Tc_m83HGrgkO0GghOWhXKWKcw_41_1"/>
      <w:bookmarkStart w:id="342" w:name="Tc_CMu5gpwQFUCRolMGpnwi3Q_41_0"/>
      <w:bookmarkStart w:id="343" w:name="Tc_e_lDPE0TaE26R1fu4NM6kw_40_18"/>
      <w:bookmarkStart w:id="344" w:name="Tc_pcT8xoETJkuG0SLRIlNweA_40_15"/>
      <w:bookmarkStart w:id="345" w:name="Tc_b6snojyMoEKapEAd1BZu4A_40_13"/>
      <w:bookmarkStart w:id="346" w:name="Tc_L8ooFFtoj0CTilk1quWTGQ_40_10"/>
      <w:bookmarkStart w:id="347" w:name="Tc_3RKBJwdKRkCVcrSLqVGd1g_40_4"/>
      <w:bookmarkStart w:id="348" w:name="Tc_W-v3B0xYZE-AgwEhYHNX0w_40_1"/>
      <w:bookmarkStart w:id="349" w:name="Tc_j3n9RItpmUOF_qPmF6ZKcA_40_0"/>
      <w:bookmarkStart w:id="350" w:name="Tc_zRYkMrHLP0iAFqUPe_WdcQ_39_21"/>
      <w:bookmarkStart w:id="351" w:name="Tc_mtolXY-dX0Od2nh8txjZOQ_39_13"/>
      <w:bookmarkStart w:id="352" w:name="Tc_cmllPMINkUC2Ai2Sp7DwdA_39_10"/>
      <w:bookmarkStart w:id="353" w:name="Tc_N606ghSaCkKTPAE8nmadFA_39_4"/>
      <w:bookmarkStart w:id="354" w:name="Tc_fwZbEvTEQEqCuoqeQc5FMA_39_1"/>
      <w:bookmarkStart w:id="355" w:name="Tc_bo2ToZQ4gUG1iylS1cV54g_39_0"/>
      <w:bookmarkStart w:id="356" w:name="Tc_xQdlZXWqRU6zc0fxpyaSDg_38_20"/>
      <w:bookmarkStart w:id="357" w:name="Tc_HX0HZp-HZ0uZvCAM8xs_gg_38_17"/>
      <w:bookmarkStart w:id="358" w:name="Tc_J1O1Z91PEUyZw2_NOrJHyA_38_12"/>
      <w:bookmarkStart w:id="359" w:name="Tc_PBCl24QU9UuW4b5EKnmKXA_38_9"/>
      <w:bookmarkStart w:id="360" w:name="Tc_0VKZ7dQ9002NVXYhkmsehg_38_6"/>
      <w:bookmarkStart w:id="361" w:name="Tc_s-jyiteHJkGGiNgq3XMu-g_38_3"/>
      <w:bookmarkStart w:id="362" w:name="Tc_m54B8i6BZk-ULSc3MeET5g_38_0"/>
      <w:bookmarkStart w:id="363" w:name="Tc_3P1JBo-Khky3upTo1EL92g_36_20"/>
      <w:bookmarkStart w:id="364" w:name="Tc_MMS3ZyK_F0G4_yo3v9T0tg_36_17"/>
      <w:bookmarkStart w:id="365" w:name="Tc_3jxwOSQjmEW-XU5RSXtCtQ_36_12"/>
      <w:bookmarkStart w:id="366" w:name="Tc_Tpm2nqY9iUuuWgFN9p6Ixg_36_9"/>
      <w:bookmarkStart w:id="367" w:name="Tc_P9IToXiiP0K3gx8D_iq3dA_36_6"/>
      <w:bookmarkStart w:id="368" w:name="Tc_qoxjUCvY_0OuDhvY9M3W2A_36_3"/>
      <w:bookmarkStart w:id="369" w:name="Tc_90TLujVFwUuyB6hOeRuG7A_36_0"/>
      <w:bookmarkStart w:id="370" w:name="Tc_Twra6r7iNk6DWU8dGKgePA_35_18"/>
      <w:bookmarkStart w:id="371" w:name="Tc_7vcvu27GSEKjv5lU138sOQ_35_15"/>
      <w:bookmarkStart w:id="372" w:name="Tc_wcHSJDXI20aKx4_Tg-etSQ_35_10"/>
      <w:bookmarkStart w:id="373" w:name="Tc_iX0uzgeYgEGLG4nHcHUZIg_35_7"/>
      <w:bookmarkStart w:id="374" w:name="Tc_Eso-KT2ddE6zF55IVyGuKg_35_4"/>
      <w:bookmarkStart w:id="375" w:name="Tc_SNibvllgXEKs3XwU0JhARQ_35_1"/>
      <w:bookmarkStart w:id="376" w:name="Tc_Lz4tBZop5UiE5azNFJASPg_35_0"/>
      <w:bookmarkStart w:id="377" w:name="Tc_nFgVzmKtlECeUFMFzh4cYw_34_18"/>
      <w:bookmarkStart w:id="378" w:name="Tc_8OVvBd9TRUSomNA4ua9EPQ_34_15"/>
      <w:bookmarkStart w:id="379" w:name="Tc_F4piGOq6y0mwx7XOsh14xw_34_10"/>
      <w:bookmarkStart w:id="380" w:name="Tc_YbG45jb9K02S6-zmdSyPHg_34_7"/>
      <w:bookmarkStart w:id="381" w:name="Tc_sxjrAmsCIkayfLMOYyMHBw_34_4"/>
      <w:bookmarkStart w:id="382" w:name="Tc_0zciLZSR9kiweSCB6nA9mg_34_1"/>
      <w:bookmarkStart w:id="383" w:name="Tc_gIu3pZf--EeFZuh7DxFwBg_34_0"/>
      <w:bookmarkStart w:id="384" w:name="Tc_BIw9prDWR02UlfL-TOYFNQ_33_13"/>
      <w:bookmarkStart w:id="385" w:name="Tc_csbz7Gxf3EmVAYQSjRuCFA_33_10"/>
      <w:bookmarkStart w:id="386" w:name="Tc_JBcUMGrX6ESlybXEscN8aw_33_7"/>
      <w:bookmarkStart w:id="387" w:name="Tc_iEB64Zw81UWyKE9KdiCp_w_33_4"/>
      <w:bookmarkStart w:id="388" w:name="Tc_hiezHEZCx0yKvWbG_V_XBw_33_1"/>
      <w:bookmarkStart w:id="389" w:name="Tc_NMiEr6epIkeChX9eEIzQjQ_33_0"/>
      <w:bookmarkStart w:id="390" w:name="Tc_49fNotUEfEep5N8XIitLvQ_32_18"/>
      <w:bookmarkStart w:id="391" w:name="Tc_TS0-TPhuk0KnNJ7RClFPwg_32_15"/>
      <w:bookmarkStart w:id="392" w:name="Tc_PTf1mjTWV0-Eh4BkgayjDA_32_13"/>
      <w:bookmarkStart w:id="393" w:name="Tc_jlC9OejHGUqfl2AdQEMdEQ_32_7"/>
      <w:bookmarkStart w:id="394" w:name="Tc_nf07HowUmUuxIPLX_oU5cg_32_4"/>
      <w:bookmarkStart w:id="395" w:name="Tc_9JYl2Ppj_0aXRr9mPfDFAA_32_1"/>
      <w:bookmarkStart w:id="396" w:name="Tc_OX24mfWZW069hYNH1fSIyQ_32_0"/>
      <w:bookmarkStart w:id="397" w:name="Tc_69Mj-XyJpEOa9rdSc3RJsA_31_18"/>
      <w:bookmarkStart w:id="398" w:name="Tc_qCjglpWF1EqDhVRaOt5ZSg_31_15"/>
      <w:bookmarkStart w:id="399" w:name="Tc_AMD5Mgt4T0SAFyfODxggCg_31_13"/>
      <w:bookmarkStart w:id="400" w:name="Tc_SgSCuGC42ECN9EGv33PK6A_31_10"/>
      <w:bookmarkStart w:id="401" w:name="Tc_WHVyXyu-c0eMmBx-LDog_w_31_4"/>
      <w:bookmarkStart w:id="402" w:name="Tc_ad8xFf3r0UqHZvp9aX1eMw_31_1"/>
      <w:bookmarkStart w:id="403" w:name="Tc_v-KG5RSF3kmIlfdJ55vygg_31_0"/>
      <w:bookmarkStart w:id="404" w:name="Tc_lp8EDyd360OUptb2Ho1zNw_30_18"/>
      <w:bookmarkStart w:id="405" w:name="Tc_osH57WT4jkqqBWlYWU-K3A_30_15"/>
      <w:bookmarkStart w:id="406" w:name="Tc_03A37OtpEE2Z5JY-eGK23w_30_13"/>
      <w:bookmarkStart w:id="407" w:name="Tc_sWQ-u9mevUiphCm8hkolKA_30_10"/>
      <w:bookmarkStart w:id="408" w:name="Tc_mahTkFXKYkGqCcqMajfxuw_30_4"/>
      <w:bookmarkStart w:id="409" w:name="Tc_AcwywivH2EeOe_hhqUkHXQ_30_1"/>
      <w:bookmarkStart w:id="410" w:name="Tc_78zR-Z74QEC1EDMtAte0JQ_30_0"/>
      <w:bookmarkStart w:id="411" w:name="Tc_7PowKs2dbEiVvKPHiR1iWg_29_13"/>
      <w:bookmarkStart w:id="412" w:name="Tc_OAMHaWJHgk-F4YGcNiDqqw_29_10"/>
      <w:bookmarkStart w:id="413" w:name="Tc_F04S4ycc8U2Hv_NzC7tDLg_29_4"/>
      <w:bookmarkStart w:id="414" w:name="Tc_mK9iM4yhQE-dY-f4onPhmQ_29_1"/>
      <w:bookmarkStart w:id="415" w:name="Tc_dB3dwv_xxUmTidiKlwXXGw_29_0"/>
      <w:bookmarkStart w:id="416" w:name="Tc_qLzwEEd5kkWR55nJ-7arAw_28_20"/>
      <w:bookmarkStart w:id="417" w:name="Tc_7vuZ0HzryESReIHE8AYDvQ_28_17"/>
      <w:bookmarkStart w:id="418" w:name="Tc_Zhf81_DnZk-jv4sV4ihauw_28_12"/>
      <w:bookmarkStart w:id="419" w:name="Tc_K1ckIZoF00ahsIiFhx4ghA_28_9"/>
      <w:bookmarkStart w:id="420" w:name="Tc_kkx8F4L_wECBXFQ1y9zxnQ_28_6"/>
      <w:bookmarkStart w:id="421" w:name="Tc_jIxa2ecU0UejjsN-pNRGwQ_28_3"/>
      <w:bookmarkStart w:id="422" w:name="Tc_T8sUo80pFkiKqaZEQLINHA_28_0"/>
      <w:bookmarkStart w:id="423" w:name="Tc_7gjteOftx0e0jeUYz3u8jg_26_20"/>
      <w:bookmarkStart w:id="424" w:name="Tc_upJgn1lGCUmR9tgu_kid1w_26_17"/>
      <w:bookmarkStart w:id="425" w:name="Tc_J_p7ezFAhkyyawxKvdfqvA_26_12"/>
      <w:bookmarkStart w:id="426" w:name="Tc_8kr_ENlk3EeOX7Pv6jseKQ_26_9"/>
      <w:bookmarkStart w:id="427" w:name="Tc_VrhnJvBlcEi1x36zAuBjHw_26_6"/>
      <w:bookmarkStart w:id="428" w:name="Tc_3cP5jJwzuUC_tvOLNbQXWQ_26_3"/>
      <w:bookmarkStart w:id="429" w:name="Tc_S5BajmFfaUaYolhhPLMV9Q_26_0"/>
      <w:bookmarkStart w:id="430" w:name="Tc_nmV6kRCcaEO-XuW-QGK66A_25_18"/>
      <w:bookmarkStart w:id="431" w:name="Tc_wkyJux1jrkOABYtPYnNjcA_25_15"/>
      <w:bookmarkStart w:id="432" w:name="Tc_3PQeEKEpuUymSjtIipcsGw_25_10"/>
      <w:bookmarkStart w:id="433" w:name="Tc_9asCO67iqUavIG5LFXQSWw_25_7"/>
      <w:bookmarkStart w:id="434" w:name="Tc_-3kc4Ig39kKdttnv5pxggg_25_4"/>
      <w:bookmarkStart w:id="435" w:name="Tc_kSxiIu8CIUunk5aeRNbgZg_25_1"/>
      <w:bookmarkStart w:id="436" w:name="Tc_deqEEP_nV0W7EafpNriH6w_25_0"/>
      <w:bookmarkStart w:id="437" w:name="Tc_jNDeJECfQU66MxWFD9RXmg_24_15"/>
      <w:bookmarkStart w:id="438" w:name="Tc_ku4OrQvFn0WK1FfwN88S1w_24_13"/>
      <w:bookmarkStart w:id="439" w:name="Tc_4tCyR31ut0GobmI-UZsviw_24_10"/>
      <w:bookmarkStart w:id="440" w:name="Tc_abqKimtre02_1FW9yBqQUw_24_7"/>
      <w:bookmarkStart w:id="441" w:name="Tc_6ecer2Yh1U-PbELbrinTIA_24_4"/>
      <w:bookmarkStart w:id="442" w:name="Tc_S3nC0xyNCUO6bdwsE-4hJw_24_1"/>
      <w:bookmarkStart w:id="443" w:name="Tc_C12uRo8MCUaIysMYrQB1CA_24_0"/>
      <w:bookmarkStart w:id="444" w:name="Tc_v6fJfXyeZEq3MSvhbm6kuA_23_13"/>
      <w:bookmarkStart w:id="445" w:name="Tc__Zf1VYBbTkGN0xorEvpfdQ_23_10"/>
      <w:bookmarkStart w:id="446" w:name="Tc_l4I5dyFAxEKExup8l-SioQ_23_7"/>
      <w:bookmarkStart w:id="447" w:name="Tc_5Gq3OSXSB0uw0vQ67YE_Tg_23_4"/>
      <w:bookmarkStart w:id="448" w:name="Tc_6h7A7hL2zk-dEiafXObjjw_23_1"/>
      <w:bookmarkStart w:id="449" w:name="Tc_ARN44JcnjUWpNvjKDI1IqA_23_0"/>
      <w:bookmarkStart w:id="450" w:name="Tc_C8760iGsokmN6UjQpKA4yg_22_18"/>
      <w:bookmarkStart w:id="451" w:name="Tc_qp0MfiEaL0ir7YVSHc6I6w_22_15"/>
      <w:bookmarkStart w:id="452" w:name="Tc_brYdyaJei0SrEzcsc983QA_22_13"/>
      <w:bookmarkStart w:id="453" w:name="Tc_0RVWdMGuskCfAZE2fL16EA_22_7"/>
      <w:bookmarkStart w:id="454" w:name="Tc_3xcHa3LRpkKbBtIuJaY3kg_22_4"/>
      <w:bookmarkStart w:id="455" w:name="Tc_CwlHPNgZ8kySVtTpdgzMMw_22_1"/>
      <w:bookmarkStart w:id="456" w:name="Tc_SnZq82Z-XUqKthZLVBh5fA_22_0"/>
      <w:bookmarkStart w:id="457" w:name="Tc_ekgBBBLcQE68bZQvRz1wFA_21_18"/>
      <w:bookmarkStart w:id="458" w:name="Tc_P4wbN8EOtkuIoUA8H5k9ew_21_15"/>
      <w:bookmarkStart w:id="459" w:name="Tc_6HS-ZA9zG02NBZ_xoxYZqw_21_13"/>
      <w:bookmarkStart w:id="460" w:name="Tc_rDmQtNO53k6S2kR44IOeIA_21_10"/>
      <w:bookmarkStart w:id="461" w:name="Tc_ZYd5dD0JKk-G3AqbAW5vIA_21_4"/>
      <w:bookmarkStart w:id="462" w:name="Tc_6ui9mpbM-U-Go4g-BAo4Xw_21_1"/>
      <w:bookmarkStart w:id="463" w:name="Tc_HRU1lX-nWEuURTcDbshdqg_21_0"/>
      <w:bookmarkStart w:id="464" w:name="Tc_MXXYPkAJT0G5ZUJvrkrVRg_20_21"/>
      <w:bookmarkStart w:id="465" w:name="Tc_qj3YA9_gwkunXqvwI6aV2g_20_13"/>
      <w:bookmarkStart w:id="466" w:name="Tc_NNL0AuhcQ0iNFYNcxZMIdg_20_10"/>
      <w:bookmarkStart w:id="467" w:name="Tc_0do-mPfP4km3SK5RvJmSlQ_20_4"/>
      <w:bookmarkStart w:id="468" w:name="Tc_22jBXeg4kkqnIEBsZvEi1Q_20_1"/>
      <w:bookmarkStart w:id="469" w:name="Tc_9JH3vpJ-mkSuhJ1AB_8apA_20_0"/>
      <w:bookmarkStart w:id="470" w:name="Tc_eXJ6_m3rmkqbHOUQisVghg_19_20"/>
      <w:bookmarkStart w:id="471" w:name="Tc_DHdXQDyrf0a__7-M7PtMyw_19_17"/>
      <w:bookmarkStart w:id="472" w:name="Tc_wMFsdTnuUEWTbO9s6QNFJg_19_12"/>
      <w:bookmarkStart w:id="473" w:name="Tc_9m1B0SVR8EqrETu65cWrng_19_9"/>
      <w:bookmarkStart w:id="474" w:name="Tc_kdjgmu-R5k-D4hUW5Kf1hQ_19_6"/>
      <w:bookmarkStart w:id="475" w:name="Tc_F26XrbGXUkmx3CBgp6lGIQ_19_3"/>
      <w:bookmarkStart w:id="476" w:name="Tc_ofdtlsfdJEuAEXZEsePNwg_19_0"/>
      <w:bookmarkStart w:id="477" w:name="Tc_MxgFvtYYFkSFMqxQSoLx8Q_17_20"/>
      <w:bookmarkStart w:id="478" w:name="Tc_1gHWaoiNf0KB0JUVRxGNsw_17_17"/>
      <w:bookmarkStart w:id="479" w:name="Tc_y46UtYm6kUit711mPuNtgg_17_12"/>
      <w:bookmarkStart w:id="480" w:name="Tc_6LEP5nc60kCXBe3kFqm1Og_17_9"/>
      <w:bookmarkStart w:id="481" w:name="Tc_DHpi5lWNnUCmIz3c09C56w_17_6"/>
      <w:bookmarkStart w:id="482" w:name="Tc_DWFm_X0DxEmArsR-TpcOrw_17_3"/>
      <w:bookmarkStart w:id="483" w:name="Tc_fUDJFo2fvU2RWoOKw0Pmlw_17_0"/>
      <w:bookmarkStart w:id="484" w:name="Tc__0TPgZDUmE2NJxmx7jUGdw_16_18"/>
      <w:bookmarkStart w:id="485" w:name="Tc_qsQuzqopiUSoDYA4-YGpWg_16_15"/>
      <w:bookmarkStart w:id="486" w:name="Tc_esBNkiaV302kX99WJaipXA_16_10"/>
      <w:bookmarkStart w:id="487" w:name="Tc_xXCxR2C0LEiOk_8GwvyBnw_16_7"/>
      <w:bookmarkStart w:id="488" w:name="Tc_HlRmbLL9Uke6E2a8vh4v0Q_16_4"/>
      <w:bookmarkStart w:id="489" w:name="Tc_o6AQGoRf9Uu0IXIfjulUsw_16_1"/>
      <w:bookmarkStart w:id="490" w:name="Tc_bw__v_54x0KTSnimSii4pQ_16_0"/>
      <w:bookmarkStart w:id="491" w:name="Tc_fVRfHoasEkS2pxha97tQAQ_15_18"/>
      <w:bookmarkStart w:id="492" w:name="Tc_Qqj_tHF4pEehSBply26RPg_15_15"/>
      <w:bookmarkStart w:id="493" w:name="Tc_SXnyX95vM02Jvxc_93bhag_15_10"/>
      <w:bookmarkStart w:id="494" w:name="Tc_gFYE5PvirU6ozv_kmlUTRA_15_7"/>
      <w:bookmarkStart w:id="495" w:name="Tc_QY55ySbEhU6mLePuArOcyg_15_4"/>
      <w:bookmarkStart w:id="496" w:name="Tc_BcI60PU1Bk-yF-Aac4QE9w_15_1"/>
      <w:bookmarkStart w:id="497" w:name="Tc_bVKWszG150OOYBhAYmlhrQ_15_0"/>
      <w:bookmarkStart w:id="498" w:name="Tc_zZF0Mkkm0kmRTyHuJ76MpQ_14_21"/>
      <w:bookmarkStart w:id="499" w:name="Tc_04cRSxPUtkOEXd6gqoXLkg_14_18"/>
      <w:bookmarkStart w:id="500" w:name="Tc_AuakhhkCU0iGRsA3hFgNtw_14_15"/>
      <w:bookmarkStart w:id="501" w:name="Tc_SxMO8ZWgZUyZDEevYtjlOw_14_13"/>
      <w:bookmarkStart w:id="502" w:name="Tc_i2PLaKMfMk6lZDmYvzfxZA_14_10"/>
      <w:bookmarkStart w:id="503" w:name="Tc_Decx5BX3ckG9ooN3QxOgng_14_7"/>
      <w:bookmarkStart w:id="504" w:name="Tc_6vKcltxvIUyCQgSofFzK-w_14_4"/>
      <w:bookmarkStart w:id="505" w:name="Tc_ZBKi7YkuiU6FeR7y3qctDA_14_1"/>
      <w:bookmarkStart w:id="506" w:name="Tc_zX653rC9sk2fFuN6qQPLsA_14_0"/>
      <w:bookmarkStart w:id="507" w:name="Tc_ev7ZG-6F2kSH0Xl-yH9cSw_13_13"/>
      <w:bookmarkStart w:id="508" w:name="Tc_fmdt6lls0UOS3CKh2UpFQg_13_10"/>
      <w:bookmarkStart w:id="509" w:name="Tc_auCZbHSwgUibmdX8u77nVA_13_7"/>
      <w:bookmarkStart w:id="510" w:name="Tc_97rEFFRi0EC7gLpYK1N4KQ_13_4"/>
      <w:bookmarkStart w:id="511" w:name="Tc_pCyXA5H7skS3EC4HxrQXSQ_13_1"/>
      <w:bookmarkStart w:id="512" w:name="Tc_GkXyThS8pUKAkuYvpUBbAQ_13_0"/>
      <w:bookmarkStart w:id="513" w:name="Tc_7bUOUtW9KEaXyZ6rxtUTOw_12_18"/>
      <w:bookmarkStart w:id="514" w:name="Tc_TNrQUd5xNECmfTFhYfAkOg_12_15"/>
      <w:bookmarkStart w:id="515" w:name="Tc_tZ1IhcgjKECj1cE-LGhU3w_12_13"/>
      <w:bookmarkStart w:id="516" w:name="Tc_7TFz8DZDd0G7TpQCld3BEQ_12_7"/>
      <w:bookmarkStart w:id="517" w:name="Tc_fWpfMHau_Uu6M4tTXAfZJA_12_4"/>
      <w:bookmarkStart w:id="518" w:name="Tc_AW8hfzEooUqaUELV70Az_Q_12_1"/>
      <w:bookmarkStart w:id="519" w:name="Tc_gFHBCcVNRU2nzXj-E6UEiw_12_0"/>
      <w:bookmarkStart w:id="520" w:name="Tc_Lx_3NgQEhkS6eXMUWkMeiA_11_18"/>
      <w:bookmarkStart w:id="521" w:name="Tc_Pr8g8PKCfEWXezrN67a7pg_11_15"/>
      <w:bookmarkStart w:id="522" w:name="Tc_1XgVpdRqj0uv-_FME27oIA_11_13"/>
      <w:bookmarkStart w:id="523" w:name="Tc_HXiN9Nhvb0mv3ihRoyNu7w_11_10"/>
      <w:bookmarkStart w:id="524" w:name="Tc_gDXOqt-lIkK38kEFTpEu4Q_11_4"/>
      <w:bookmarkStart w:id="525" w:name="Tc_H1FxgGnyj0i5Xu3CW1zKdQ_11_1"/>
      <w:bookmarkStart w:id="526" w:name="Tc_1CxwiOSOuU2SPcqTVwOfsg_11_0"/>
      <w:bookmarkStart w:id="527" w:name="Tc_HGZEIWXpjUmgkgOGROoaBA_10_18"/>
      <w:bookmarkStart w:id="528" w:name="Tc_d3F0yHs91kKK1aTcZqy0ew_10_15"/>
      <w:bookmarkStart w:id="529" w:name="Tc_3kOA-RzMOkOdT29vpacOWw_10_13"/>
      <w:bookmarkStart w:id="530" w:name="Tc_aEjYCjp5aUa14zrF84LOXw_10_10"/>
      <w:bookmarkStart w:id="531" w:name="Tc_fxdbuE_BvEqjPdiRNKFVIA_10_4"/>
      <w:bookmarkStart w:id="532" w:name="Tc_g2wF_XUStkGveTOfsH6EJA_10_1"/>
      <w:bookmarkStart w:id="533" w:name="Tc_n7XmIeH5BkK88-0azvyiWQ_10_0"/>
      <w:bookmarkStart w:id="534" w:name="Tc_iQvGnhn-pESmEVYWE5NgSw_9_21"/>
      <w:bookmarkStart w:id="535" w:name="Tc_v6ZuxG6At0alJBV3lIc96Q_9_13"/>
      <w:bookmarkStart w:id="536" w:name="Tc_w6Nizp0-7EuNsf0HcLoE7g_9_10"/>
      <w:bookmarkStart w:id="537" w:name="Tc_4pT_CPxZhUe7OEIZhMYAIQ_9_4"/>
      <w:bookmarkStart w:id="538" w:name="Tc_RtkDiyo7uEWyMSQPMDHuPg_9_1"/>
      <w:bookmarkStart w:id="539" w:name="Tc_0FmZUSon20CwVeUTp0t-Fg_9_0"/>
      <w:bookmarkStart w:id="540" w:name="Tc_c-Yg3t4feUCcT70YlzuTHA_8_20"/>
      <w:bookmarkStart w:id="541" w:name="Tc_ucMHvAfSVEy1EuYFlo1ooQ_8_17"/>
      <w:bookmarkStart w:id="542" w:name="Tc_9fdQDslBxkmAxCz_-Z7i8g_8_12"/>
      <w:bookmarkStart w:id="543" w:name="Tc_RUMH3RVSO0aD-cD6mwjqDQ_8_9"/>
      <w:bookmarkStart w:id="544" w:name="Tc_dgfGlsnIQU6oqIqE1Yd69Q_8_6"/>
      <w:bookmarkStart w:id="545" w:name="Tc_D4CHrl9PeE2ZAzLohhc6BQ_8_3"/>
      <w:bookmarkStart w:id="546" w:name="Tc_juCQhUuYxkixFUZOkiUR0g_8_0"/>
      <w:bookmarkStart w:id="547" w:name="Tc_mHQcnw7e-Uq5Uz4TyNewuw_7_1"/>
      <w:bookmarkStart w:id="548" w:name="Tc_CJvZXJaEfUeIas7sdXR6kg_6_1"/>
      <w:bookmarkStart w:id="549" w:name="Tc_8O5ZoneYS0mhjhdkXcFcPg_5_20"/>
      <w:bookmarkStart w:id="550" w:name="Tc_E6HBojJZH0KKow3_xtXn5g_5_17"/>
      <w:bookmarkStart w:id="551" w:name="Tc_9B7pEdrOuE2F3aFt0h2qIA_5_15"/>
      <w:bookmarkStart w:id="552" w:name="Tc_ZgwMB7UeDU29MaIMmN8gFA_5_12"/>
      <w:bookmarkStart w:id="553" w:name="Tc_fmAQZ7eqMk6kUjVpZyKLOg_5_9"/>
      <w:bookmarkStart w:id="554" w:name="Tc_OeeMnxztM0GS1eLd9zhJlg_5_6"/>
      <w:bookmarkStart w:id="555" w:name="Tc_PhCS22Jw0E2_2WBfH3l8iw_5_3"/>
      <w:bookmarkStart w:id="556" w:name="Tc_5GS6T5zJf0CFeH1abAiHAw_5_1"/>
      <w:bookmarkStart w:id="557" w:name="Tc_BFy5Twmmek2Ckmanq4P_jg_4_15"/>
      <w:bookmarkStart w:id="558" w:name="Tc_CbluO_86fUeYUQzugvGcvw_4_12"/>
      <w:bookmarkStart w:id="559" w:name="Tc_E7Ib6lPRyEy-k1X3PetKCw_4_9"/>
      <w:bookmarkStart w:id="560" w:name="Tc_AHdNly7HsUujsnwBKlIZHQ_4_6"/>
      <w:bookmarkStart w:id="561" w:name="Tc_Jlr_3Mk-PEuw9iFUhzyFBA_4_1"/>
      <w:bookmarkStart w:id="562" w:name="Tc_hEdDr8fDdUSYCjdR_WTRZQ_3_15"/>
      <w:bookmarkStart w:id="563" w:name="Tc_4PjjNiI1NUe2bxKTSe8Auw_3_9"/>
      <w:bookmarkStart w:id="564" w:name="Tc_PGYVjtUickCmHMT4LBtYAg_3_6"/>
      <w:bookmarkStart w:id="565" w:name="Tc_m2BXen5Ix0aBp1NMQt4Vxw_2_9"/>
      <w:bookmarkStart w:id="566" w:name="_46fa6cd3_7018_4c8b_8257_b36805887862"/>
      <w:bookmarkStart w:id="567" w:name="Tc_kChkD3BnOk2YlkrNqUjuMA_46_20"/>
      <w:bookmarkStart w:id="568" w:name="Tc_PZ86TjUS-UGeAriWo7qwNw_46_17"/>
      <w:bookmarkStart w:id="569" w:name="Tc_p8Q18_i7TkqP5aHqsPTWTg_46_12"/>
      <w:bookmarkStart w:id="570" w:name="Tc_5cihoROpRkup6ztHVFX52g_46_9"/>
      <w:bookmarkStart w:id="571" w:name="Tc_pUHjBjQSjkmUsSSG2mc0Zw_46_6"/>
      <w:bookmarkStart w:id="572" w:name="Tc_LcFOo2RcJ0yeDkRy3izQnA_46_3"/>
      <w:bookmarkStart w:id="573" w:name="Tc_dvw4naMMmUOHbv7_zb6VxQ_46_0"/>
      <w:bookmarkStart w:id="574" w:name="Tc_LcVNfDTxREyfbJ3aqPGhQQ_45_18"/>
      <w:bookmarkStart w:id="575" w:name="Tc_7f8W-UKqfE24h-2_OrzPOg_45_15"/>
      <w:bookmarkStart w:id="576" w:name="Tc_QtRT31LPN0WJkTLWw0ycHg_45_10"/>
      <w:bookmarkStart w:id="577" w:name="Tc_04HGlYItl0a9ErDq5jE2yg_45_7"/>
      <w:bookmarkStart w:id="578" w:name="Tc_emwG9_vdDEaI6MlMo2LJMw_45_4"/>
      <w:bookmarkStart w:id="579" w:name="Tc_M3fzxbruBkS6KvkirIZrig_45_1"/>
      <w:bookmarkStart w:id="580" w:name="Tc_fbyv1P34Vkq1gT73vTuS7A_45_0"/>
      <w:bookmarkStart w:id="581" w:name="Tc_EpCgbVzkGkiH3SFWHvxIug_44_15"/>
      <w:bookmarkStart w:id="582" w:name="Tc_E7QJX-kiGEqCh9tapLHScA_44_13"/>
      <w:bookmarkStart w:id="583" w:name="Tc_makLYKhay0KIYzI-2hNGtg_44_10"/>
      <w:bookmarkStart w:id="584" w:name="Tc_eRMVVhPSwkmAZs8dJ58Xow_44_7"/>
      <w:bookmarkStart w:id="585" w:name="Tc_vnVvDtXHYUyHKDPQxT0eBA_44_4"/>
      <w:bookmarkStart w:id="586" w:name="Tc_Km_DG9C9Wk2VSPjUUDkOLQ_44_1"/>
      <w:bookmarkStart w:id="587" w:name="Tc_3iz24xtvWkWOYEk4nt5FUw_44_0"/>
      <w:bookmarkStart w:id="588" w:name="Tc_Q5P47_7bRU6DzWG2yko9hA_43_13"/>
      <w:bookmarkStart w:id="589" w:name="Tc_S6ANZFWGDUWqfZ4FkeYNcA_43_10"/>
      <w:bookmarkStart w:id="590" w:name="Tc_lWrHS7Ptb0GXl0eig4WQJw_43_7"/>
      <w:bookmarkStart w:id="591" w:name="Tc_u927zIMClE201XjHI2Id2Q_43_4"/>
      <w:bookmarkStart w:id="592" w:name="Tc_jGDrY2kZG0SwzvMu9bdZAQ_43_1"/>
      <w:bookmarkStart w:id="593" w:name="Tc_ueXIkuqv7UihxsTEr8JSqQ_43_0"/>
      <w:bookmarkStart w:id="594" w:name="Tc_dhjvMmGHEUesoK47yhMjEA_42_18"/>
      <w:bookmarkStart w:id="595" w:name="Tc_TjmgVYDtEkGQm6bwFO5Q4Q_42_15"/>
      <w:bookmarkStart w:id="596" w:name="Tc_dWfRDBbYoU64HM7XWT_o_A_42_13"/>
      <w:bookmarkStart w:id="597" w:name="Tc_BSriQ2bRN0-A16vbf-QmRQ_42_7"/>
      <w:bookmarkStart w:id="598" w:name="Tc_wAoB6ZDf_0iwD585K4TOKw_42_4"/>
      <w:bookmarkStart w:id="599" w:name="Tc_fkrPyW80X0qrGMaJqQbS-Q_42_1"/>
      <w:bookmarkStart w:id="600" w:name="Tc_kgKLlBxDIkaB43vfxeB8Bw_42_0"/>
      <w:bookmarkStart w:id="601" w:name="Tc_JVaQSMMkl0uNoh9-QcQNgQ_41_18"/>
      <w:bookmarkStart w:id="602" w:name="Tc_NbAiN54tnUuMKT5thDMIkg_41_15"/>
      <w:bookmarkStart w:id="603" w:name="Tc_Ij6lccRwYEC7bbjJItEhfg_41_13"/>
      <w:bookmarkStart w:id="604" w:name="Tc_IoSXqBkYaEOVvsrX8CtcaQ_41_10"/>
      <w:bookmarkStart w:id="605" w:name="Tc_dWoe2zR-s0KxkQ9dYRjGCw_41_4"/>
      <w:bookmarkStart w:id="606" w:name="Tc_m83HGrgkO0GghOWhXKWKcw_41_1"/>
      <w:bookmarkStart w:id="607" w:name="Tc_CMu5gpwQFUCRolMGpnwi3Q_41_0"/>
      <w:bookmarkStart w:id="608" w:name="Tc_e_lDPE0TaE26R1fu4NM6kw_40_18"/>
      <w:bookmarkStart w:id="609" w:name="Tc_pcT8xoETJkuG0SLRIlNweA_40_15"/>
      <w:bookmarkStart w:id="610" w:name="Tc_b6snojyMoEKapEAd1BZu4A_40_13"/>
      <w:bookmarkStart w:id="611" w:name="Tc_L8ooFFtoj0CTilk1quWTGQ_40_10"/>
      <w:bookmarkStart w:id="612" w:name="Tc_3RKBJwdKRkCVcrSLqVGd1g_40_4"/>
      <w:bookmarkStart w:id="613" w:name="Tc_W-v3B0xYZE-AgwEhYHNX0w_40_1"/>
      <w:bookmarkStart w:id="614" w:name="Tc_j3n9RItpmUOF_qPmF6ZKcA_40_0"/>
      <w:bookmarkStart w:id="615" w:name="Tc_zRYkMrHLP0iAFqUPe_WdcQ_39_21"/>
      <w:bookmarkStart w:id="616" w:name="Tc_mtolXY-dX0Od2nh8txjZOQ_39_13"/>
      <w:bookmarkStart w:id="617" w:name="Tc_cmllPMINkUC2Ai2Sp7DwdA_39_10"/>
      <w:bookmarkStart w:id="618" w:name="Tc_N606ghSaCkKTPAE8nmadFA_39_4"/>
      <w:bookmarkStart w:id="619" w:name="Tc_fwZbEvTEQEqCuoqeQc5FMA_39_1"/>
      <w:bookmarkStart w:id="620" w:name="Tc_bo2ToZQ4gUG1iylS1cV54g_39_0"/>
      <w:bookmarkStart w:id="621" w:name="Tc_xQdlZXWqRU6zc0fxpyaSDg_38_20"/>
      <w:bookmarkStart w:id="622" w:name="Tc_HX0HZp-HZ0uZvCAM8xs_gg_38_17"/>
      <w:bookmarkStart w:id="623" w:name="Tc_J1O1Z91PEUyZw2_NOrJHyA_38_12"/>
      <w:bookmarkStart w:id="624" w:name="Tc_PBCl24QU9UuW4b5EKnmKXA_38_9"/>
      <w:bookmarkStart w:id="625" w:name="Tc_0VKZ7dQ9002NVXYhkmsehg_38_6"/>
      <w:bookmarkStart w:id="626" w:name="Tc_s-jyiteHJkGGiNgq3XMu-g_38_3"/>
      <w:bookmarkStart w:id="627" w:name="Tc_m54B8i6BZk-ULSc3MeET5g_38_0"/>
      <w:bookmarkStart w:id="628" w:name="Tc_3P1JBo-Khky3upTo1EL92g_36_20"/>
      <w:bookmarkStart w:id="629" w:name="Tc_MMS3ZyK_F0G4_yo3v9T0tg_36_17"/>
      <w:bookmarkStart w:id="630" w:name="Tc_3jxwOSQjmEW-XU5RSXtCtQ_36_12"/>
      <w:bookmarkStart w:id="631" w:name="Tc_Tpm2nqY9iUuuWgFN9p6Ixg_36_9"/>
      <w:bookmarkStart w:id="632" w:name="Tc_P9IToXiiP0K3gx8D_iq3dA_36_6"/>
      <w:bookmarkStart w:id="633" w:name="Tc_qoxjUCvY_0OuDhvY9M3W2A_36_3"/>
      <w:bookmarkStart w:id="634" w:name="Tc_90TLujVFwUuyB6hOeRuG7A_36_0"/>
      <w:bookmarkStart w:id="635" w:name="Tc_Twra6r7iNk6DWU8dGKgePA_35_18"/>
      <w:bookmarkStart w:id="636" w:name="Tc_7vcvu27GSEKjv5lU138sOQ_35_15"/>
      <w:bookmarkStart w:id="637" w:name="Tc_wcHSJDXI20aKx4_Tg-etSQ_35_10"/>
      <w:bookmarkStart w:id="638" w:name="Tc_iX0uzgeYgEGLG4nHcHUZIg_35_7"/>
      <w:bookmarkStart w:id="639" w:name="Tc_Eso-KT2ddE6zF55IVyGuKg_35_4"/>
      <w:bookmarkStart w:id="640" w:name="Tc_SNibvllgXEKs3XwU0JhARQ_35_1"/>
      <w:bookmarkStart w:id="641" w:name="Tc_Lz4tBZop5UiE5azNFJASPg_35_0"/>
      <w:bookmarkStart w:id="642" w:name="Tc_nFgVzmKtlECeUFMFzh4cYw_34_18"/>
      <w:bookmarkStart w:id="643" w:name="Tc_8OVvBd9TRUSomNA4ua9EPQ_34_15"/>
      <w:bookmarkStart w:id="644" w:name="Tc_F4piGOq6y0mwx7XOsh14xw_34_10"/>
      <w:bookmarkStart w:id="645" w:name="Tc_YbG45jb9K02S6-zmdSyPHg_34_7"/>
      <w:bookmarkStart w:id="646" w:name="Tc_sxjrAmsCIkayfLMOYyMHBw_34_4"/>
      <w:bookmarkStart w:id="647" w:name="Tc_0zciLZSR9kiweSCB6nA9mg_34_1"/>
      <w:bookmarkStart w:id="648" w:name="Tc_gIu3pZf--EeFZuh7DxFwBg_34_0"/>
      <w:bookmarkStart w:id="649" w:name="Tc_BIw9prDWR02UlfL-TOYFNQ_33_13"/>
      <w:bookmarkStart w:id="650" w:name="Tc_csbz7Gxf3EmVAYQSjRuCFA_33_10"/>
      <w:bookmarkStart w:id="651" w:name="Tc_JBcUMGrX6ESlybXEscN8aw_33_7"/>
      <w:bookmarkStart w:id="652" w:name="Tc_iEB64Zw81UWyKE9KdiCp_w_33_4"/>
      <w:bookmarkStart w:id="653" w:name="Tc_hiezHEZCx0yKvWbG_V_XBw_33_1"/>
      <w:bookmarkStart w:id="654" w:name="Tc_NMiEr6epIkeChX9eEIzQjQ_33_0"/>
      <w:bookmarkStart w:id="655" w:name="Tc_49fNotUEfEep5N8XIitLvQ_32_18"/>
      <w:bookmarkStart w:id="656" w:name="Tc_TS0-TPhuk0KnNJ7RClFPwg_32_15"/>
      <w:bookmarkStart w:id="657" w:name="Tc_PTf1mjTWV0-Eh4BkgayjDA_32_13"/>
      <w:bookmarkStart w:id="658" w:name="Tc_jlC9OejHGUqfl2AdQEMdEQ_32_7"/>
      <w:bookmarkStart w:id="659" w:name="Tc_nf07HowUmUuxIPLX_oU5cg_32_4"/>
      <w:bookmarkStart w:id="660" w:name="Tc_9JYl2Ppj_0aXRr9mPfDFAA_32_1"/>
      <w:bookmarkStart w:id="661" w:name="Tc_OX24mfWZW069hYNH1fSIyQ_32_0"/>
      <w:bookmarkStart w:id="662" w:name="Tc_69Mj-XyJpEOa9rdSc3RJsA_31_18"/>
      <w:bookmarkStart w:id="663" w:name="Tc_qCjglpWF1EqDhVRaOt5ZSg_31_15"/>
      <w:bookmarkStart w:id="664" w:name="Tc_AMD5Mgt4T0SAFyfODxggCg_31_13"/>
      <w:bookmarkStart w:id="665" w:name="Tc_SgSCuGC42ECN9EGv33PK6A_31_10"/>
      <w:bookmarkStart w:id="666" w:name="Tc_WHVyXyu-c0eMmBx-LDog_w_31_4"/>
      <w:bookmarkStart w:id="667" w:name="Tc_ad8xFf3r0UqHZvp9aX1eMw_31_1"/>
      <w:bookmarkStart w:id="668" w:name="Tc_v-KG5RSF3kmIlfdJ55vygg_31_0"/>
      <w:bookmarkStart w:id="669" w:name="Tc_lp8EDyd360OUptb2Ho1zNw_30_18"/>
      <w:bookmarkStart w:id="670" w:name="Tc_osH57WT4jkqqBWlYWU-K3A_30_15"/>
      <w:bookmarkStart w:id="671" w:name="Tc_03A37OtpEE2Z5JY-eGK23w_30_13"/>
      <w:bookmarkStart w:id="672" w:name="Tc_sWQ-u9mevUiphCm8hkolKA_30_10"/>
      <w:bookmarkStart w:id="673" w:name="Tc_mahTkFXKYkGqCcqMajfxuw_30_4"/>
      <w:bookmarkStart w:id="674" w:name="Tc_AcwywivH2EeOe_hhqUkHXQ_30_1"/>
      <w:bookmarkStart w:id="675" w:name="Tc_78zR-Z74QEC1EDMtAte0JQ_30_0"/>
      <w:bookmarkStart w:id="676" w:name="Tc_7PowKs2dbEiVvKPHiR1iWg_29_13"/>
      <w:bookmarkStart w:id="677" w:name="Tc_OAMHaWJHgk-F4YGcNiDqqw_29_10"/>
      <w:bookmarkStart w:id="678" w:name="Tc_F04S4ycc8U2Hv_NzC7tDLg_29_4"/>
      <w:bookmarkStart w:id="679" w:name="Tc_mK9iM4yhQE-dY-f4onPhmQ_29_1"/>
      <w:bookmarkStart w:id="680" w:name="Tc_dB3dwv_xxUmTidiKlwXXGw_29_0"/>
      <w:bookmarkStart w:id="681" w:name="Tc_qLzwEEd5kkWR55nJ-7arAw_28_20"/>
      <w:bookmarkStart w:id="682" w:name="Tc_7vuZ0HzryESReIHE8AYDvQ_28_17"/>
      <w:bookmarkStart w:id="683" w:name="Tc_Zhf81_DnZk-jv4sV4ihauw_28_12"/>
      <w:bookmarkStart w:id="684" w:name="Tc_K1ckIZoF00ahsIiFhx4ghA_28_9"/>
      <w:bookmarkStart w:id="685" w:name="Tc_kkx8F4L_wECBXFQ1y9zxnQ_28_6"/>
      <w:bookmarkStart w:id="686" w:name="Tc_jIxa2ecU0UejjsN-pNRGwQ_28_3"/>
      <w:bookmarkStart w:id="687" w:name="Tc_T8sUo80pFkiKqaZEQLINHA_28_0"/>
      <w:bookmarkStart w:id="688" w:name="Tc_7gjteOftx0e0jeUYz3u8jg_26_20"/>
      <w:bookmarkStart w:id="689" w:name="Tc_upJgn1lGCUmR9tgu_kid1w_26_17"/>
      <w:bookmarkStart w:id="690" w:name="Tc_J_p7ezFAhkyyawxKvdfqvA_26_12"/>
      <w:bookmarkStart w:id="691" w:name="Tc_8kr_ENlk3EeOX7Pv6jseKQ_26_9"/>
      <w:bookmarkStart w:id="692" w:name="Tc_VrhnJvBlcEi1x36zAuBjHw_26_6"/>
      <w:bookmarkStart w:id="693" w:name="Tc_3cP5jJwzuUC_tvOLNbQXWQ_26_3"/>
      <w:bookmarkStart w:id="694" w:name="Tc_S5BajmFfaUaYolhhPLMV9Q_26_0"/>
      <w:bookmarkStart w:id="695" w:name="Tc_nmV6kRCcaEO-XuW-QGK66A_25_18"/>
      <w:bookmarkStart w:id="696" w:name="Tc_wkyJux1jrkOABYtPYnNjcA_25_15"/>
      <w:bookmarkStart w:id="697" w:name="Tc_3PQeEKEpuUymSjtIipcsGw_25_10"/>
      <w:bookmarkStart w:id="698" w:name="Tc_9asCO67iqUavIG5LFXQSWw_25_7"/>
      <w:bookmarkStart w:id="699" w:name="Tc_-3kc4Ig39kKdttnv5pxggg_25_4"/>
      <w:bookmarkStart w:id="700" w:name="Tc_kSxiIu8CIUunk5aeRNbgZg_25_1"/>
      <w:bookmarkStart w:id="701" w:name="Tc_deqEEP_nV0W7EafpNriH6w_25_0"/>
      <w:bookmarkStart w:id="702" w:name="Tc_jNDeJECfQU66MxWFD9RXmg_24_15"/>
      <w:bookmarkStart w:id="703" w:name="Tc_ku4OrQvFn0WK1FfwN88S1w_24_13"/>
      <w:bookmarkStart w:id="704" w:name="Tc_4tCyR31ut0GobmI-UZsviw_24_10"/>
      <w:bookmarkStart w:id="705" w:name="Tc_abqKimtre02_1FW9yBqQUw_24_7"/>
      <w:bookmarkStart w:id="706" w:name="Tc_6ecer2Yh1U-PbELbrinTIA_24_4"/>
      <w:bookmarkStart w:id="707" w:name="Tc_S3nC0xyNCUO6bdwsE-4hJw_24_1"/>
      <w:bookmarkStart w:id="708" w:name="Tc_C12uRo8MCUaIysMYrQB1CA_24_0"/>
      <w:bookmarkStart w:id="709" w:name="Tc_v6fJfXyeZEq3MSvhbm6kuA_23_13"/>
      <w:bookmarkStart w:id="710" w:name="Tc__Zf1VYBbTkGN0xorEvpfdQ_23_10"/>
      <w:bookmarkStart w:id="711" w:name="Tc_l4I5dyFAxEKExup8l-SioQ_23_7"/>
      <w:bookmarkStart w:id="712" w:name="Tc_5Gq3OSXSB0uw0vQ67YE_Tg_23_4"/>
      <w:bookmarkStart w:id="713" w:name="Tc_6h7A7hL2zk-dEiafXObjjw_23_1"/>
      <w:bookmarkStart w:id="714" w:name="Tc_ARN44JcnjUWpNvjKDI1IqA_23_0"/>
      <w:bookmarkStart w:id="715" w:name="Tc_C8760iGsokmN6UjQpKA4yg_22_18"/>
      <w:bookmarkStart w:id="716" w:name="Tc_qp0MfiEaL0ir7YVSHc6I6w_22_15"/>
      <w:bookmarkStart w:id="717" w:name="Tc_brYdyaJei0SrEzcsc983QA_22_13"/>
      <w:bookmarkStart w:id="718" w:name="Tc_0RVWdMGuskCfAZE2fL16EA_22_7"/>
      <w:bookmarkStart w:id="719" w:name="Tc_3xcHa3LRpkKbBtIuJaY3kg_22_4"/>
      <w:bookmarkStart w:id="720" w:name="Tc_CwlHPNgZ8kySVtTpdgzMMw_22_1"/>
      <w:bookmarkStart w:id="721" w:name="Tc_SnZq82Z-XUqKthZLVBh5fA_22_0"/>
      <w:bookmarkStart w:id="722" w:name="Tc_ekgBBBLcQE68bZQvRz1wFA_21_18"/>
      <w:bookmarkStart w:id="723" w:name="Tc_P4wbN8EOtkuIoUA8H5k9ew_21_15"/>
      <w:bookmarkStart w:id="724" w:name="Tc_6HS-ZA9zG02NBZ_xoxYZqw_21_13"/>
      <w:bookmarkStart w:id="725" w:name="Tc_rDmQtNO53k6S2kR44IOeIA_21_10"/>
      <w:bookmarkStart w:id="726" w:name="Tc_ZYd5dD0JKk-G3AqbAW5vIA_21_4"/>
      <w:bookmarkStart w:id="727" w:name="Tc_6ui9mpbM-U-Go4g-BAo4Xw_21_1"/>
      <w:bookmarkStart w:id="728" w:name="Tc_HRU1lX-nWEuURTcDbshdqg_21_0"/>
      <w:bookmarkStart w:id="729" w:name="Tc_MXXYPkAJT0G5ZUJvrkrVRg_20_21"/>
      <w:bookmarkStart w:id="730" w:name="Tc_qj3YA9_gwkunXqvwI6aV2g_20_13"/>
      <w:bookmarkStart w:id="731" w:name="Tc_NNL0AuhcQ0iNFYNcxZMIdg_20_10"/>
      <w:bookmarkStart w:id="732" w:name="Tc_0do-mPfP4km3SK5RvJmSlQ_20_4"/>
      <w:bookmarkStart w:id="733" w:name="Tc_22jBXeg4kkqnIEBsZvEi1Q_20_1"/>
      <w:bookmarkStart w:id="734" w:name="Tc_9JH3vpJ-mkSuhJ1AB_8apA_20_0"/>
      <w:bookmarkStart w:id="735" w:name="Tc_eXJ6_m3rmkqbHOUQisVghg_19_20"/>
      <w:bookmarkStart w:id="736" w:name="Tc_DHdXQDyrf0a__7-M7PtMyw_19_17"/>
      <w:bookmarkStart w:id="737" w:name="Tc_wMFsdTnuUEWTbO9s6QNFJg_19_12"/>
      <w:bookmarkStart w:id="738" w:name="Tc_9m1B0SVR8EqrETu65cWrng_19_9"/>
      <w:bookmarkStart w:id="739" w:name="Tc_kdjgmu-R5k-D4hUW5Kf1hQ_19_6"/>
      <w:bookmarkStart w:id="740" w:name="Tc_F26XrbGXUkmx3CBgp6lGIQ_19_3"/>
      <w:bookmarkStart w:id="741" w:name="Tc_ofdtlsfdJEuAEXZEsePNwg_19_0"/>
      <w:bookmarkStart w:id="742" w:name="Tc_MxgFvtYYFkSFMqxQSoLx8Q_17_20"/>
      <w:bookmarkStart w:id="743" w:name="Tc_1gHWaoiNf0KB0JUVRxGNsw_17_17"/>
      <w:bookmarkStart w:id="744" w:name="Tc_y46UtYm6kUit711mPuNtgg_17_12"/>
      <w:bookmarkStart w:id="745" w:name="Tc_6LEP5nc60kCXBe3kFqm1Og_17_9"/>
      <w:bookmarkStart w:id="746" w:name="Tc_DHpi5lWNnUCmIz3c09C56w_17_6"/>
      <w:bookmarkStart w:id="747" w:name="Tc_DWFm_X0DxEmArsR-TpcOrw_17_3"/>
      <w:bookmarkStart w:id="748" w:name="Tc_fUDJFo2fvU2RWoOKw0Pmlw_17_0"/>
      <w:bookmarkStart w:id="749" w:name="Tc__0TPgZDUmE2NJxmx7jUGdw_16_18"/>
      <w:bookmarkStart w:id="750" w:name="Tc_qsQuzqopiUSoDYA4-YGpWg_16_15"/>
      <w:bookmarkStart w:id="751" w:name="Tc_esBNkiaV302kX99WJaipXA_16_10"/>
      <w:bookmarkStart w:id="752" w:name="Tc_xXCxR2C0LEiOk_8GwvyBnw_16_7"/>
      <w:bookmarkStart w:id="753" w:name="Tc_HlRmbLL9Uke6E2a8vh4v0Q_16_4"/>
      <w:bookmarkStart w:id="754" w:name="Tc_o6AQGoRf9Uu0IXIfjulUsw_16_1"/>
      <w:bookmarkStart w:id="755" w:name="Tc_bw__v_54x0KTSnimSii4pQ_16_0"/>
      <w:bookmarkStart w:id="756" w:name="Tc_fVRfHoasEkS2pxha97tQAQ_15_18"/>
      <w:bookmarkStart w:id="757" w:name="Tc_Qqj_tHF4pEehSBply26RPg_15_15"/>
      <w:bookmarkStart w:id="758" w:name="Tc_SXnyX95vM02Jvxc_93bhag_15_10"/>
      <w:bookmarkStart w:id="759" w:name="Tc_gFYE5PvirU6ozv_kmlUTRA_15_7"/>
      <w:bookmarkStart w:id="760" w:name="Tc_QY55ySbEhU6mLePuArOcyg_15_4"/>
      <w:bookmarkStart w:id="761" w:name="Tc_BcI60PU1Bk-yF-Aac4QE9w_15_1"/>
      <w:bookmarkStart w:id="762" w:name="Tc_bVKWszG150OOYBhAYmlhrQ_15_0"/>
      <w:bookmarkStart w:id="763" w:name="Tc_zZF0Mkkm0kmRTyHuJ76MpQ_14_21"/>
      <w:bookmarkStart w:id="764" w:name="Tc_04cRSxPUtkOEXd6gqoXLkg_14_18"/>
      <w:bookmarkStart w:id="765" w:name="Tc_AuakhhkCU0iGRsA3hFgNtw_14_15"/>
      <w:bookmarkStart w:id="766" w:name="Tc_SxMO8ZWgZUyZDEevYtjlOw_14_13"/>
      <w:bookmarkStart w:id="767" w:name="Tc_i2PLaKMfMk6lZDmYvzfxZA_14_10"/>
      <w:bookmarkStart w:id="768" w:name="Tc_Decx5BX3ckG9ooN3QxOgng_14_7"/>
      <w:bookmarkStart w:id="769" w:name="Tc_6vKcltxvIUyCQgSofFzK-w_14_4"/>
      <w:bookmarkStart w:id="770" w:name="Tc_ZBKi7YkuiU6FeR7y3qctDA_14_1"/>
      <w:bookmarkStart w:id="771" w:name="Tc_zX653rC9sk2fFuN6qQPLsA_14_0"/>
      <w:bookmarkStart w:id="772" w:name="Tc_ev7ZG-6F2kSH0Xl-yH9cSw_13_13"/>
      <w:bookmarkStart w:id="773" w:name="Tc_fmdt6lls0UOS3CKh2UpFQg_13_10"/>
      <w:bookmarkStart w:id="774" w:name="Tc_auCZbHSwgUibmdX8u77nVA_13_7"/>
      <w:bookmarkStart w:id="775" w:name="Tc_97rEFFRi0EC7gLpYK1N4KQ_13_4"/>
      <w:bookmarkStart w:id="776" w:name="Tc_pCyXA5H7skS3EC4HxrQXSQ_13_1"/>
      <w:bookmarkStart w:id="777" w:name="Tc_GkXyThS8pUKAkuYvpUBbAQ_13_0"/>
      <w:bookmarkStart w:id="778" w:name="Tc_7bUOUtW9KEaXyZ6rxtUTOw_12_18"/>
      <w:bookmarkStart w:id="779" w:name="Tc_TNrQUd5xNECmfTFhYfAkOg_12_15"/>
      <w:bookmarkStart w:id="780" w:name="Tc_tZ1IhcgjKECj1cE-LGhU3w_12_13"/>
      <w:bookmarkStart w:id="781" w:name="Tc_7TFz8DZDd0G7TpQCld3BEQ_12_7"/>
      <w:bookmarkStart w:id="782" w:name="Tc_fWpfMHau_Uu6M4tTXAfZJA_12_4"/>
      <w:bookmarkStart w:id="783" w:name="Tc_AW8hfzEooUqaUELV70Az_Q_12_1"/>
      <w:bookmarkStart w:id="784" w:name="Tc_gFHBCcVNRU2nzXj-E6UEiw_12_0"/>
      <w:bookmarkStart w:id="785" w:name="Tc_Lx_3NgQEhkS6eXMUWkMeiA_11_18"/>
      <w:bookmarkStart w:id="786" w:name="Tc_Pr8g8PKCfEWXezrN67a7pg_11_15"/>
      <w:bookmarkStart w:id="787" w:name="Tc_1XgVpdRqj0uv-_FME27oIA_11_13"/>
      <w:bookmarkStart w:id="788" w:name="Tc_HXiN9Nhvb0mv3ihRoyNu7w_11_10"/>
      <w:bookmarkStart w:id="789" w:name="Tc_gDXOqt-lIkK38kEFTpEu4Q_11_4"/>
      <w:bookmarkStart w:id="790" w:name="Tc_H1FxgGnyj0i5Xu3CW1zKdQ_11_1"/>
      <w:bookmarkStart w:id="791" w:name="Tc_1CxwiOSOuU2SPcqTVwOfsg_11_0"/>
      <w:bookmarkStart w:id="792" w:name="Tc_HGZEIWXpjUmgkgOGROoaBA_10_18"/>
      <w:bookmarkStart w:id="793" w:name="Tc_d3F0yHs91kKK1aTcZqy0ew_10_15"/>
      <w:bookmarkStart w:id="794" w:name="Tc_3kOA-RzMOkOdT29vpacOWw_10_13"/>
      <w:bookmarkStart w:id="795" w:name="Tc_aEjYCjp5aUa14zrF84LOXw_10_10"/>
      <w:bookmarkStart w:id="796" w:name="Tc_fxdbuE_BvEqjPdiRNKFVIA_10_4"/>
      <w:bookmarkStart w:id="797" w:name="Tc_g2wF_XUStkGveTOfsH6EJA_10_1"/>
      <w:bookmarkStart w:id="798" w:name="Tc_n7XmIeH5BkK88-0azvyiWQ_10_0"/>
      <w:bookmarkStart w:id="799" w:name="Tc_iQvGnhn-pESmEVYWE5NgSw_9_21"/>
      <w:bookmarkStart w:id="800" w:name="Tc_v6ZuxG6At0alJBV3lIc96Q_9_13"/>
      <w:bookmarkStart w:id="801" w:name="Tc_w6Nizp0-7EuNsf0HcLoE7g_9_10"/>
      <w:bookmarkStart w:id="802" w:name="Tc_4pT_CPxZhUe7OEIZhMYAIQ_9_4"/>
      <w:bookmarkStart w:id="803" w:name="Tc_RtkDiyo7uEWyMSQPMDHuPg_9_1"/>
      <w:bookmarkStart w:id="804" w:name="Tc_0FmZUSon20CwVeUTp0t-Fg_9_0"/>
      <w:bookmarkStart w:id="805" w:name="Tc_c-Yg3t4feUCcT70YlzuTHA_8_20"/>
      <w:bookmarkStart w:id="806" w:name="Tc_ucMHvAfSVEy1EuYFlo1ooQ_8_17"/>
      <w:bookmarkStart w:id="807" w:name="Tc_9fdQDslBxkmAxCz_-Z7i8g_8_12"/>
      <w:bookmarkStart w:id="808" w:name="Tc_RUMH3RVSO0aD-cD6mwjqDQ_8_9"/>
      <w:bookmarkStart w:id="809" w:name="Tc_dgfGlsnIQU6oqIqE1Yd69Q_8_6"/>
      <w:bookmarkStart w:id="810" w:name="Tc_D4CHrl9PeE2ZAzLohhc6BQ_8_3"/>
      <w:bookmarkStart w:id="811" w:name="Tc_juCQhUuYxkixFUZOkiUR0g_8_0"/>
      <w:bookmarkStart w:id="812" w:name="Tc_mHQcnw7e-Uq5Uz4TyNewuw_7_1"/>
      <w:bookmarkStart w:id="813" w:name="Tc_CJvZXJaEfUeIas7sdXR6kg_6_1"/>
      <w:bookmarkStart w:id="814" w:name="Tc_8O5ZoneYS0mhjhdkXcFcPg_5_20"/>
      <w:bookmarkStart w:id="815" w:name="Tc_E6HBojJZH0KKow3_xtXn5g_5_17"/>
      <w:bookmarkStart w:id="816" w:name="Tc_9B7pEdrOuE2F3aFt0h2qIA_5_15"/>
      <w:bookmarkStart w:id="817" w:name="Tc_ZgwMB7UeDU29MaIMmN8gFA_5_12"/>
      <w:bookmarkStart w:id="818" w:name="Tc_fmAQZ7eqMk6kUjVpZyKLOg_5_9"/>
      <w:bookmarkStart w:id="819" w:name="Tc_OeeMnxztM0GS1eLd9zhJlg_5_6"/>
      <w:bookmarkStart w:id="820" w:name="Tc_PhCS22Jw0E2_2WBfH3l8iw_5_3"/>
      <w:bookmarkStart w:id="821" w:name="Tc_5GS6T5zJf0CFeH1abAiHAw_5_1"/>
      <w:bookmarkStart w:id="822" w:name="Tc_BFy5Twmmek2Ckmanq4P_jg_4_15"/>
      <w:bookmarkStart w:id="823" w:name="Tc_CbluO_86fUeYUQzugvGcvw_4_12"/>
      <w:bookmarkStart w:id="824" w:name="Tc_E7Ib6lPRyEy-k1X3PetKCw_4_9"/>
      <w:bookmarkStart w:id="825" w:name="Tc_AHdNly7HsUujsnwBKlIZHQ_4_6"/>
      <w:bookmarkStart w:id="826" w:name="Tc_Jlr_3Mk-PEuw9iFUhzyFBA_4_1"/>
      <w:bookmarkStart w:id="827" w:name="Tc_hEdDr8fDdUSYCjdR_WTRZQ_3_15"/>
      <w:bookmarkStart w:id="828" w:name="Tc_4PjjNiI1NUe2bxKTSe8Auw_3_9"/>
      <w:bookmarkStart w:id="829" w:name="Tc_PGYVjtUickCmHMT4LBtYAg_3_6"/>
      <w:bookmarkStart w:id="830" w:name="Tc_m2BXen5Ix0aBp1NMQt4Vxw_2_9"/>
      <w:bookmarkStart w:id="831" w:name="_46fa6cd3_7018_4c8b_8257_b36805887862"/>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tbl>
      <w:tblPr>
        <w:tblW w:w="10211" w:type="dxa"/>
        <w:jc w:val="left"/>
        <w:tblInd w:w="0" w:type="dxa"/>
        <w:tblLayout w:type="fixed"/>
        <w:tblCellMar>
          <w:top w:w="0" w:type="dxa"/>
          <w:left w:w="0" w:type="dxa"/>
          <w:bottom w:w="0" w:type="dxa"/>
          <w:right w:w="0" w:type="dxa"/>
        </w:tblCellMar>
      </w:tblPr>
      <w:tblGrid>
        <w:gridCol w:w="1186"/>
        <w:gridCol w:w="601"/>
        <w:gridCol w:w="109"/>
        <w:gridCol w:w="236"/>
        <w:gridCol w:w="455"/>
        <w:gridCol w:w="346"/>
        <w:gridCol w:w="196"/>
        <w:gridCol w:w="691"/>
        <w:gridCol w:w="346"/>
        <w:gridCol w:w="277"/>
        <w:gridCol w:w="939"/>
        <w:gridCol w:w="346"/>
        <w:gridCol w:w="196"/>
        <w:gridCol w:w="826"/>
        <w:gridCol w:w="346"/>
        <w:gridCol w:w="586"/>
        <w:gridCol w:w="109"/>
        <w:gridCol w:w="196"/>
        <w:gridCol w:w="751"/>
        <w:gridCol w:w="346"/>
        <w:gridCol w:w="196"/>
        <w:gridCol w:w="93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53110" cy="175260"/>
                      <wp:effectExtent l="0" t="0" r="0" b="0"/>
                      <wp:wrapNone/>
                      <wp:docPr id="23" name="Frame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81635" cy="175260"/>
                      <wp:effectExtent l="0" t="0" r="0" b="0"/>
                      <wp:wrapNone/>
                      <wp:docPr id="24" name="Frame2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9860" cy="175260"/>
                      <wp:effectExtent l="0" t="0" r="0" b="0"/>
                      <wp:wrapNone/>
                      <wp:docPr id="26" name="Frame2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8925" cy="175260"/>
                      <wp:effectExtent l="0" t="0" r="0" b="0"/>
                      <wp:wrapNone/>
                      <wp:docPr id="27" name="Frame2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38785" cy="175260"/>
                      <wp:effectExtent l="0" t="0" r="0" b="0"/>
                      <wp:wrapNone/>
                      <wp:docPr id="30"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75895" cy="175260"/>
                      <wp:effectExtent l="0" t="0" r="0" b="0"/>
                      <wp:wrapNone/>
                      <wp:docPr id="32" name="Frame3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96265" cy="175260"/>
                      <wp:effectExtent l="0" t="0" r="0" b="0"/>
                      <wp:wrapNone/>
                      <wp:docPr id="33" name="Frame33"/>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4510" cy="175260"/>
                      <wp:effectExtent l="0" t="0" r="0" b="0"/>
                      <wp:wrapNone/>
                      <wp:docPr id="36" name="Frame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72110" cy="175260"/>
                      <wp:effectExtent l="0" t="0" r="0" b="0"/>
                      <wp:wrapNone/>
                      <wp:docPr id="38" name="Frame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76885" cy="175260"/>
                      <wp:effectExtent l="0" t="0" r="0" b="0"/>
                      <wp:wrapNone/>
                      <wp:docPr id="41" name="Frame4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1185" cy="175260"/>
                      <wp:effectExtent l="0" t="0" r="0" b="0"/>
                      <wp:wrapNone/>
                      <wp:docPr id="44" name="Frame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42"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140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64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Held In Treasury</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 (Loss) </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11"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1186" w:type="dxa"/>
            <w:tcBorders/>
            <w:vAlign w:val="center"/>
          </w:tcPr>
          <w:p>
            <w:pPr>
              <w:pStyle w:val="TableContents"/>
              <w:bidi w:val="0"/>
              <w:spacing w:before="0" w:after="1"/>
              <w:ind w:left="0" w:right="0" w:hanging="0"/>
              <w:jc w:val="left"/>
              <w:rPr/>
            </w:pPr>
            <w:r>
              <w:rPr/>
              <w:t>​</w:t>
            </w:r>
          </w:p>
        </w:tc>
        <w:tc>
          <w:tcPr>
            <w:tcW w:w="9025"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186" w:type="dxa"/>
            <w:tcBorders/>
            <w:vAlign w:val="center"/>
          </w:tcPr>
          <w:p>
            <w:pPr>
              <w:pStyle w:val="TableContents"/>
              <w:bidi w:val="0"/>
              <w:spacing w:before="0" w:after="1"/>
              <w:ind w:left="0" w:right="0" w:hanging="0"/>
              <w:jc w:val="left"/>
              <w:rPr/>
            </w:pPr>
            <w:r>
              <w:rPr/>
              <w:t>​</w:t>
            </w:r>
          </w:p>
        </w:tc>
        <w:tc>
          <w:tcPr>
            <w:tcW w:w="9025"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April 30, 2026</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485,780</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1,479,127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1,824,125</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awards vested, net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(10,597)</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6,745</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Taxes paid for net share settlements</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(16,284)</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(3,484)</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(7,927)</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Excise tax on stock repurchases</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declared on common stock ($0.10 per share)</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20,213</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20,213</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July 31, 2026</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465,644</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1,495,066</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(153,981)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1,819,114</w:t>
            </w:r>
          </w:p>
        </w:tc>
      </w:tr>
      <w:tr>
        <w:trPr/>
        <w:tc>
          <w:tcPr>
            <w:tcW w:w="118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April 30, 2025</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463,225</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1,361,437</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6,102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(131,430)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1,684,094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awards vested, net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(1,297)</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5,447</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5,447</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32,917</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(24,644)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Excise tax on stock repurchases</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10,939</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10,939</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July 31, 2025</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467,375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1,372,376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(155,009)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1,708,521</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January 31, 2026</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476,005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1,416,812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1,760,323</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awards vested, net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(10,663)</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16,586</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16,586</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Taxes paid for net share settlements</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(16,284)</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(11,799)</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(7,927)</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declared on common stock ($0.10 per share)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(8,493)</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(8,493)</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86,747</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86,747</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July 31, 2026</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465,644</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1,495,066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(153,981)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1,819,114</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January 31, 2025</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467,692</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1,353,678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(116,634)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1,679,481</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awards vested, net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(6,340)</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10,967</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10,967</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Taxes paid for net share settlements</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(4,944)</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49,034</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(44,345)</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Excise tax on stock repurchases</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18,698</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18,698</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July 31, 2025</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467,375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1,372,376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(155,009)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1,708,521</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832" w:name="_71297b10_eaa4_464f_8cff_2e9028342b37"/>
      <w:bookmarkEnd w:id="832"/>
      <w:r>
        <w:rPr>
          <w:rFonts w:ascii="Times New Roman;Times;serif" w:hAnsi="Times New Roman;Times;serif"/>
          <w:b/>
          <w:sz w:val="20"/>
        </w:rPr>
        <w:t>G-III APPAREL GROUP, LTD.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833" w:name="CashFlowStatement_VCW"/>
      <w:bookmarkEnd w:id="833"/>
      <w:r>
        <w:rPr>
          <w:rFonts w:ascii="Times New Roman;Times;serif" w:hAnsi="Times New Roman;Times;serif"/>
          <w:b/>
          <w:sz w:val="20"/>
        </w:rPr>
        <w:t>CONDENSED CONSOLIDATED STATEMENTS OF CASH FLOWS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34" w:name="Tc_5g4ausa-R0iup9o-98NRWQ_48_5"/>
      <w:bookmarkStart w:id="835" w:name="Tc_Gg4BvcxLDkCqaOPNnAwIkQ_48_3"/>
      <w:bookmarkStart w:id="836" w:name="Tc_-x6BwM7H-Uu8XaynAD4NUA_48_2"/>
      <w:bookmarkStart w:id="837" w:name="Tc_wbmoTj3nO0mDuWy53SujjQ_48_0"/>
      <w:bookmarkStart w:id="838" w:name="Tc_nowq0qlOmkO44Daj76ALvw_47_5"/>
      <w:bookmarkStart w:id="839" w:name="Tc_cTJcXGpw00CGWg06SP30cw_47_2"/>
      <w:bookmarkStart w:id="840" w:name="Tc_cVSyxiV9qEabmjxjtIri8g_47_0"/>
      <w:bookmarkStart w:id="841" w:name="Tc_mWeZuaO6V0SqIOgrzMFf0w_46_5"/>
      <w:bookmarkStart w:id="842" w:name="Tc_TWGpu-3E20KpYV37Rm75cw_46_2"/>
      <w:bookmarkStart w:id="843" w:name="Tc_rpsn1LDI3ku6nDSsrBWioQ_46_0"/>
      <w:bookmarkStart w:id="844" w:name="Tc_sL-hZ24IUE-R7NHI0S86LQ_45_0"/>
      <w:bookmarkStart w:id="845" w:name="Tc_Pb_0PWwHyU2XjmSFMP01qQ_44_0"/>
      <w:bookmarkStart w:id="846" w:name="Tc_gXUHIQ21c0C-vJC42PMTDA_42_5"/>
      <w:bookmarkStart w:id="847" w:name="Tc_XBElRybKSkuObyyJufSq9w_42_2"/>
      <w:bookmarkStart w:id="848" w:name="Tc_bWgfkrzFIkqV63xXxuxNCg_42_0"/>
      <w:bookmarkStart w:id="849" w:name="Tc_QYTiPCq0VU-bESy2aqUmtA_41_0"/>
      <w:bookmarkStart w:id="850" w:name="Tc_NMIayiGhlkaMvPhxfoCGfQ_40_0"/>
      <w:bookmarkStart w:id="851" w:name="Tc_Hy17ScXX0kmDjRkoMZFf9A_39_0"/>
      <w:bookmarkStart w:id="852" w:name="Tc_1Io13iX-eUCpMsDhNcGN2Q_37_0"/>
      <w:bookmarkStart w:id="853" w:name="Tc_vagYB8Tsr0qoZwpUytMPTQ_36_0"/>
      <w:bookmarkStart w:id="854" w:name="Tc_9jEWumSoaUaYT5T9crc9ew_35_0"/>
      <w:bookmarkStart w:id="855" w:name="Tc_BLegz6nlik2G70Ek_u2gJQ_34_6"/>
      <w:bookmarkStart w:id="856" w:name="Tc_zKvLMGxCyk-JZ_WSC7vtnQ_34_0"/>
      <w:bookmarkStart w:id="857" w:name="Tc_tzMvmVdE4EWEhVGDvauV1w_33_0"/>
      <w:bookmarkStart w:id="858" w:name="Tc_OfMv2ddaLUqZ6VkUV90qhw_32_0"/>
      <w:bookmarkStart w:id="859" w:name="Tc_Q2G9Bx67UkWV1OLDeTAY1Q_31_0"/>
      <w:bookmarkStart w:id="860" w:name="Tc_WVpmwSnhJEOKp9RNbRX5qQ_29_0"/>
      <w:bookmarkStart w:id="861" w:name="Tc_IhF9ZmPCSEukLOqXGO-vGQ_28_0"/>
      <w:bookmarkStart w:id="862" w:name="Tc_xHNfQssdc0uPUntB344NbQ_27_3"/>
      <w:bookmarkStart w:id="863" w:name="Tc_8dLL-WDxJE6gLTDb9AJp4w_27_0"/>
      <w:bookmarkStart w:id="864" w:name="Tc_ldKmpHy7J0WqKjabBPsLQw_26_3"/>
      <w:bookmarkStart w:id="865" w:name="Tc__WIKkdiKQEyvRxwX-PEPXA_26_0"/>
      <w:bookmarkStart w:id="866" w:name="Tc_jmkld8gKFE-fUH4FaijyRA_25_0"/>
      <w:bookmarkStart w:id="867" w:name="Tc_vLjcq8UFuUmGsOaOL0PGsQ_23_0"/>
      <w:bookmarkStart w:id="868" w:name="Tc_9r7Jg5LHOU6aJsLYix0wvQ_22_0"/>
      <w:bookmarkStart w:id="869" w:name="Tc_MVvexFRZKUKrh86UwhupUA_21_0"/>
      <w:bookmarkStart w:id="870" w:name="Tc_K4aHD1vfY0W67sQe6wKEyw_20_0"/>
      <w:bookmarkStart w:id="871" w:name="Tc_mveFZWpDf0KU-CGbbpWFmw_19_0"/>
      <w:bookmarkStart w:id="872" w:name="Tc_nalitvFIRkGGHf2SgytCkQ_18_0"/>
      <w:bookmarkStart w:id="873" w:name="Tc_hVOHBV5cvkahjnsDga9eWg_17_0"/>
      <w:bookmarkStart w:id="874" w:name="Tc_8akV8Zmf0k2bpuNZ8JQguA_16_0"/>
      <w:bookmarkStart w:id="875" w:name="Tc_9LU8pu6Ur0OgdE7Hg_YPHg_15_0"/>
      <w:bookmarkStart w:id="876" w:name="Tc_2loMebaTQEW1_N2zqzQqkw_14_0"/>
      <w:bookmarkStart w:id="877" w:name="Tc_ZpkVjmj6bU-p9YltUp5Kiw_13_0"/>
      <w:bookmarkStart w:id="878" w:name="Tc_EjjJllq_EEuagGLOJwU-MA_12_0"/>
      <w:bookmarkStart w:id="879" w:name="Tc_OwsMiwFQ1ES9PVK06tsr4A_11_0"/>
      <w:bookmarkStart w:id="880" w:name="Tc_5xOQVdXSpkWdXPgJqDn_7A_10_0"/>
      <w:bookmarkStart w:id="881" w:name="Tc_jeIpOKn-OUO4iwbFlr_prg_9_0"/>
      <w:bookmarkStart w:id="882" w:name="Tc_allcTR452kqNT4tWYr7AXg_8_0"/>
      <w:bookmarkStart w:id="883" w:name="Tc_NkY8NpFCgU-oMj3EM-C4ZA_7_0"/>
      <w:bookmarkStart w:id="884" w:name="Tc_D16epRX7zUKJB5Qfa8fgaA_6_0"/>
      <w:bookmarkStart w:id="885" w:name="Tc_-IqRQEwsM0ONWqx_Mn1eDw_5_5"/>
      <w:bookmarkStart w:id="886" w:name="Tc_U7akHBosYUyiLdZL-lW8nA_5_2"/>
      <w:bookmarkStart w:id="887" w:name="Tc_bLdBnTnnxE-4Y8NESAd0dA_5_0"/>
      <w:bookmarkStart w:id="888" w:name="Tc_BznOswtXR0GYBpYQxUAhog_4_0"/>
      <w:bookmarkStart w:id="889" w:name="Tc_MO-MUc45i0KhCqnEsgelig_3_2"/>
      <w:bookmarkStart w:id="890" w:name="Tc_389Pt8rTa0qdvKKgdvr43Q_2_5"/>
      <w:bookmarkStart w:id="891" w:name="Tc_zDedqZIzy0mopHE1nerZug_2_2"/>
      <w:bookmarkStart w:id="892" w:name="Tc_X0O69r9OukidivUA-DBNig_1_2"/>
      <w:bookmarkStart w:id="893" w:name="_1659caa9_adec_45cd_9b1e_2d0752426e2c"/>
      <w:bookmarkStart w:id="894" w:name="Tc_5g4ausa-R0iup9o-98NRWQ_48_5"/>
      <w:bookmarkStart w:id="895" w:name="Tc_Gg4BvcxLDkCqaOPNnAwIkQ_48_3"/>
      <w:bookmarkStart w:id="896" w:name="Tc_-x6BwM7H-Uu8XaynAD4NUA_48_2"/>
      <w:bookmarkStart w:id="897" w:name="Tc_wbmoTj3nO0mDuWy53SujjQ_48_0"/>
      <w:bookmarkStart w:id="898" w:name="Tc_nowq0qlOmkO44Daj76ALvw_47_5"/>
      <w:bookmarkStart w:id="899" w:name="Tc_cTJcXGpw00CGWg06SP30cw_47_2"/>
      <w:bookmarkStart w:id="900" w:name="Tc_cVSyxiV9qEabmjxjtIri8g_47_0"/>
      <w:bookmarkStart w:id="901" w:name="Tc_mWeZuaO6V0SqIOgrzMFf0w_46_5"/>
      <w:bookmarkStart w:id="902" w:name="Tc_TWGpu-3E20KpYV37Rm75cw_46_2"/>
      <w:bookmarkStart w:id="903" w:name="Tc_rpsn1LDI3ku6nDSsrBWioQ_46_0"/>
      <w:bookmarkStart w:id="904" w:name="Tc_sL-hZ24IUE-R7NHI0S86LQ_45_0"/>
      <w:bookmarkStart w:id="905" w:name="Tc_Pb_0PWwHyU2XjmSFMP01qQ_44_0"/>
      <w:bookmarkStart w:id="906" w:name="Tc_gXUHIQ21c0C-vJC42PMTDA_42_5"/>
      <w:bookmarkStart w:id="907" w:name="Tc_XBElRybKSkuObyyJufSq9w_42_2"/>
      <w:bookmarkStart w:id="908" w:name="Tc_bWgfkrzFIkqV63xXxuxNCg_42_0"/>
      <w:bookmarkStart w:id="909" w:name="Tc_QYTiPCq0VU-bESy2aqUmtA_41_0"/>
      <w:bookmarkStart w:id="910" w:name="Tc_NMIayiGhlkaMvPhxfoCGfQ_40_0"/>
      <w:bookmarkStart w:id="911" w:name="Tc_Hy17ScXX0kmDjRkoMZFf9A_39_0"/>
      <w:bookmarkStart w:id="912" w:name="Tc_1Io13iX-eUCpMsDhNcGN2Q_37_0"/>
      <w:bookmarkStart w:id="913" w:name="Tc_vagYB8Tsr0qoZwpUytMPTQ_36_0"/>
      <w:bookmarkStart w:id="914" w:name="Tc_9jEWumSoaUaYT5T9crc9ew_35_0"/>
      <w:bookmarkStart w:id="915" w:name="Tc_BLegz6nlik2G70Ek_u2gJQ_34_6"/>
      <w:bookmarkStart w:id="916" w:name="Tc_zKvLMGxCyk-JZ_WSC7vtnQ_34_0"/>
      <w:bookmarkStart w:id="917" w:name="Tc_tzMvmVdE4EWEhVGDvauV1w_33_0"/>
      <w:bookmarkStart w:id="918" w:name="Tc_OfMv2ddaLUqZ6VkUV90qhw_32_0"/>
      <w:bookmarkStart w:id="919" w:name="Tc_Q2G9Bx67UkWV1OLDeTAY1Q_31_0"/>
      <w:bookmarkStart w:id="920" w:name="Tc_WVpmwSnhJEOKp9RNbRX5qQ_29_0"/>
      <w:bookmarkStart w:id="921" w:name="Tc_IhF9ZmPCSEukLOqXGO-vGQ_28_0"/>
      <w:bookmarkStart w:id="922" w:name="Tc_xHNfQssdc0uPUntB344NbQ_27_3"/>
      <w:bookmarkStart w:id="923" w:name="Tc_8dLL-WDxJE6gLTDb9AJp4w_27_0"/>
      <w:bookmarkStart w:id="924" w:name="Tc_ldKmpHy7J0WqKjabBPsLQw_26_3"/>
      <w:bookmarkStart w:id="925" w:name="Tc__WIKkdiKQEyvRxwX-PEPXA_26_0"/>
      <w:bookmarkStart w:id="926" w:name="Tc_jmkld8gKFE-fUH4FaijyRA_25_0"/>
      <w:bookmarkStart w:id="927" w:name="Tc_vLjcq8UFuUmGsOaOL0PGsQ_23_0"/>
      <w:bookmarkStart w:id="928" w:name="Tc_9r7Jg5LHOU6aJsLYix0wvQ_22_0"/>
      <w:bookmarkStart w:id="929" w:name="Tc_MVvexFRZKUKrh86UwhupUA_21_0"/>
      <w:bookmarkStart w:id="930" w:name="Tc_K4aHD1vfY0W67sQe6wKEyw_20_0"/>
      <w:bookmarkStart w:id="931" w:name="Tc_mveFZWpDf0KU-CGbbpWFmw_19_0"/>
      <w:bookmarkStart w:id="932" w:name="Tc_nalitvFIRkGGHf2SgytCkQ_18_0"/>
      <w:bookmarkStart w:id="933" w:name="Tc_hVOHBV5cvkahjnsDga9eWg_17_0"/>
      <w:bookmarkStart w:id="934" w:name="Tc_8akV8Zmf0k2bpuNZ8JQguA_16_0"/>
      <w:bookmarkStart w:id="935" w:name="Tc_9LU8pu6Ur0OgdE7Hg_YPHg_15_0"/>
      <w:bookmarkStart w:id="936" w:name="Tc_2loMebaTQEW1_N2zqzQqkw_14_0"/>
      <w:bookmarkStart w:id="937" w:name="Tc_ZpkVjmj6bU-p9YltUp5Kiw_13_0"/>
      <w:bookmarkStart w:id="938" w:name="Tc_EjjJllq_EEuagGLOJwU-MA_12_0"/>
      <w:bookmarkStart w:id="939" w:name="Tc_OwsMiwFQ1ES9PVK06tsr4A_11_0"/>
      <w:bookmarkStart w:id="940" w:name="Tc_5xOQVdXSpkWdXPgJqDn_7A_10_0"/>
      <w:bookmarkStart w:id="941" w:name="Tc_jeIpOKn-OUO4iwbFlr_prg_9_0"/>
      <w:bookmarkStart w:id="942" w:name="Tc_allcTR452kqNT4tWYr7AXg_8_0"/>
      <w:bookmarkStart w:id="943" w:name="Tc_NkY8NpFCgU-oMj3EM-C4ZA_7_0"/>
      <w:bookmarkStart w:id="944" w:name="Tc_D16epRX7zUKJB5Qfa8fgaA_6_0"/>
      <w:bookmarkStart w:id="945" w:name="Tc_-IqRQEwsM0ONWqx_Mn1eDw_5_5"/>
      <w:bookmarkStart w:id="946" w:name="Tc_U7akHBosYUyiLdZL-lW8nA_5_2"/>
      <w:bookmarkStart w:id="947" w:name="Tc_bLdBnTnnxE-4Y8NESAd0dA_5_0"/>
      <w:bookmarkStart w:id="948" w:name="Tc_BznOswtXR0GYBpYQxUAhog_4_0"/>
      <w:bookmarkStart w:id="949" w:name="Tc_MO-MUc45i0KhCqnEsgelig_3_2"/>
      <w:bookmarkStart w:id="950" w:name="Tc_389Pt8rTa0qdvKKgdvr43Q_2_5"/>
      <w:bookmarkStart w:id="951" w:name="Tc_zDedqZIzy0mopHE1nerZug_2_2"/>
      <w:bookmarkStart w:id="952" w:name="Tc_X0O69r9OukidivUA-DBNig_1_2"/>
      <w:bookmarkStart w:id="953" w:name="_1659caa9_adec_45cd_9b1e_2d0752426e2c"/>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tbl>
      <w:tblPr>
        <w:tblW w:w="8542" w:type="dxa"/>
        <w:jc w:val="left"/>
        <w:tblInd w:w="0" w:type="dxa"/>
        <w:tblLayout w:type="fixed"/>
        <w:tblCellMar>
          <w:top w:w="0" w:type="dxa"/>
          <w:left w:w="0" w:type="dxa"/>
          <w:bottom w:w="0" w:type="dxa"/>
          <w:right w:w="0" w:type="dxa"/>
        </w:tblCellMar>
      </w:tblPr>
      <w:tblGrid>
        <w:gridCol w:w="5791"/>
        <w:gridCol w:w="346"/>
        <w:gridCol w:w="196"/>
        <w:gridCol w:w="811"/>
        <w:gridCol w:w="346"/>
        <w:gridCol w:w="196"/>
        <w:gridCol w:w="85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677285" cy="175260"/>
                      <wp:effectExtent l="0" t="0" r="0" b="0"/>
                      <wp:wrapNone/>
                      <wp:docPr id="45" name="Frame45"/>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14985" cy="175260"/>
                      <wp:effectExtent l="0" t="0" r="0" b="0"/>
                      <wp:wrapNone/>
                      <wp:docPr id="47" name="Frame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43560" cy="175260"/>
                      <wp:effectExtent l="0" t="0" r="0" b="0"/>
                      <wp:wrapNone/>
                      <wp:docPr id="50" name="Frame5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July 31, </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5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18,698</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13,899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fixed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27,453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loss in unconsolidated affiliates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10,967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financing charges and debt discount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133,619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149,821</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(161,670)</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(12,430)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(10,454)</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refund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(19,251)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(28,054)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170,542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168,877</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initial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equity interest of private company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(18,419)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(19,170)</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borrowings - foreign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(72,091)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borrowings - foreign facilities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220,645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80,129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 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treasury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(44,345)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paid for net share 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(4,944)</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(41,251)</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11,882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122,528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120,338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406,662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181,440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301,778</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payments: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Excise tax liability related to stock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954" w:name="_7ff738d3_5466_431f_a0e7_a4bdac34fcdb"/>
      <w:bookmarkEnd w:id="954"/>
      <w:r>
        <w:rPr>
          <w:rFonts w:ascii="Times New Roman;Times;serif" w:hAnsi="Times New Roman;Times;serif"/>
          <w:b/>
          <w:sz w:val="20"/>
        </w:rPr>
        <w:t>G-III APPAREL GROUP, LTD.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955" w:name="NOTESTOCONDENSEDCONSOLIDATED_476308"/>
      <w:bookmarkEnd w:id="955"/>
      <w:r>
        <w:rPr>
          <w:rFonts w:ascii="Times New Roman;Times;serif" w:hAnsi="Times New Roman;Times;serif"/>
          <w:b/>
          <w:sz w:val="20"/>
        </w:rPr>
        <w:t>NOTES TO CONDENSED CONSOLIDATED FINANCIAL STATEMENTS</w:t>
      </w:r>
    </w:p>
    <w:p>
      <w:pPr>
        <w:pStyle w:val="TextBody"/>
        <w:bidi w:val="0"/>
        <w:spacing w:before="0" w:after="0"/>
        <w:ind w:left="0" w:right="0" w:hanging="0"/>
        <w:jc w:val="left"/>
        <w:rPr>
          <w:rFonts w:ascii="Times New Roman;Times;serif" w:hAnsi="Times New Roman;Times;serif"/>
          <w:b/>
          <w:sz w:val="20"/>
        </w:rPr>
      </w:pPr>
      <w:bookmarkStart w:id="956" w:name="_Hlk167112945"/>
      <w:bookmarkStart w:id="957" w:name="_Hlk167111465"/>
      <w:bookmarkEnd w:id="956"/>
      <w:bookmarkEnd w:id="957"/>
      <w:r>
        <w:rPr>
          <w:rFonts w:ascii="Times New Roman;Times;serif" w:hAnsi="Times New Roman;Times;serif"/>
          <w:b/>
          <w:sz w:val="20"/>
        </w:rPr>
        <w:t xml:space="preserve">NOTE 1 – BASIS OF PRESENTATION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used in these financial statements, the term “Company” or “G-III” refers to G-III Apparel Group, Ltd. and its subsidiaries. The Company designs, sources, distributes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consolidates the accounts of its wholly-owned and majority-owned subsidiaries. All material intercompany balances and transactions have been eliminated. Investments in entities that the Company does not control but has the ability to exercise significant influence over are accounted for using the equity method of accounting. The Company’s condensed consolidated statements of income include its proportionate share of the net income or loss of these entities.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Karl Lagerfeld Holding B.V. (“KLH”), a Dutch limited liability company that is wholly-owned by the Company, Vilebrequin International SA (“Vilebrequin”), a Swiss corporation that is wholly-owned by the Company and certain other subsidiaries of the Company report results on a calendar year basis rather than on the January 31 fiscal year basis used by the Company. Accordingly, the results of KLH, Vilebrequin and certain other subsidiaries of the Company are included in the financial statements for the quarter ended or ending closest to the Company’s fiscal quarter end. For example, with respect to the Company’s results for the six-month period ended July 31, 2026, the results of KLH, Vilebrequin and certain other subsidiaries of the Company are included for the six-month period ended June 30, 2026. The Company’s retail operations segment reports on a 52/53 week fiscal year. For fiscal 2027 and 2026, the three and six-month periods for the retail operations segment were each 13-week and 26-week periods, respectively, and ended on August 1, 2026 and August 2, 2025,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three and six months ended July 31, 2026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financial statements should be read in conjunction with the financial statements and notes included in the Company’s Annual Report on Form 10-K for the fiscal year ended January 31, 2026 filed with the Securities and Exchange Commission (the “SEC”).</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income (loss) within stockholders’ equity.</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958" w:name="Tc_C2hORIk9OkW3vWuRKB5xTw_20_8"/>
      <w:bookmarkStart w:id="959" w:name="Tc_KJ0TvAoWMEmlpVBR08QKYw_20_5"/>
      <w:bookmarkStart w:id="960" w:name="Tc_7Vb1pr3owkmeP8vTn7GaMw_20_2"/>
      <w:bookmarkStart w:id="961" w:name="Tc_JGWFzAcs60SuF8MRh-G5GA_20_0"/>
      <w:bookmarkStart w:id="962" w:name="Tc_cs4Ivlx0jUG2YN3nyP5mWg_19_0"/>
      <w:bookmarkStart w:id="963" w:name="Tc_szE6SYMc_UehJFF2VSL55A_18_8"/>
      <w:bookmarkStart w:id="964" w:name="Tc_sOpnHePEGU-rd355oKuktQ_18_5"/>
      <w:bookmarkStart w:id="965" w:name="Tc_r98pqTwIdEqoErFIJVjwbw_18_2"/>
      <w:bookmarkStart w:id="966" w:name="Tc__NkCiCBTNkyko7Azc_hQMA_18_0"/>
      <w:bookmarkStart w:id="967" w:name="Tc_4iDYDVh0t0CGx4JyZIjX2g_17_2"/>
      <w:bookmarkStart w:id="968" w:name="Tc_pAoDpgJzbkqrvlK_5kUTLA_16_8"/>
      <w:bookmarkStart w:id="969" w:name="Tc_BThJ-8CXXUq0NB-_Wfwxiw_16_5"/>
      <w:bookmarkStart w:id="970" w:name="Tc_fGhsfpsY606H9I8sGrMQSw_16_2"/>
      <w:bookmarkStart w:id="971" w:name="Tc_-zV35fjJhkeqetbO9cYKSA_15_2"/>
      <w:bookmarkStart w:id="972" w:name="Tc_P4jfpNRaKEiyLYiqOh0ZHQ_13_8"/>
      <w:bookmarkStart w:id="973" w:name="Tc_uIfU7L_rekqkjd5xEI3kVA_13_5"/>
      <w:bookmarkStart w:id="974" w:name="Tc_JR5e-00Zy0OhmZyJn4AIFQ_13_2"/>
      <w:bookmarkStart w:id="975" w:name="Tc_F0VOFlvAXEqT3_RFHsDgqw_13_0"/>
      <w:bookmarkStart w:id="976" w:name="Tc_uVaoAHJi0EK6DZLaJrWSiA_12_0"/>
      <w:bookmarkStart w:id="977" w:name="Tc_-GdgUx9ckUSWzy9s9K2E1Q_11_8"/>
      <w:bookmarkStart w:id="978" w:name="Tc_SvSQKSJX70mMR-J1fF5YZw_11_5"/>
      <w:bookmarkStart w:id="979" w:name="Tc_UHnUtqbmJ0y8aIWc3QDvjQ_11_2"/>
      <w:bookmarkStart w:id="980" w:name="Tc_4MRQ8rmo1U6tQCxBUr193w_11_0"/>
      <w:bookmarkStart w:id="981" w:name="Tc_TfjzlL4sQUmv1mtjg1izMw_10_2"/>
      <w:bookmarkStart w:id="982" w:name="Tc_UniuiJ1HuUKhWNMY6MkbNA_9_8"/>
      <w:bookmarkStart w:id="983" w:name="Tc_B65m8ddQX0KnMvr0EjSnZQ_9_5"/>
      <w:bookmarkStart w:id="984" w:name="Tc_ssQR07UDaEOzJ1rPvuwhdA_9_2"/>
      <w:bookmarkStart w:id="985" w:name="Tc_4uyPby7o2Ey-Q-M1iI9DVw_8_2"/>
      <w:bookmarkStart w:id="986" w:name="Tc__uA_hKX4X0mK4-evWhvTzw_6_8"/>
      <w:bookmarkStart w:id="987" w:name="Tc_IET35cggV0uEgA9VFRZqbA_6_5"/>
      <w:bookmarkStart w:id="988" w:name="Tc_JzN54Q9DwkiFYgBSzoxaRA_6_2"/>
      <w:bookmarkStart w:id="989" w:name="Tc_z2NSyNNTYUml4fOEhu4pbA_6_0"/>
      <w:bookmarkStart w:id="990" w:name="Tc_iOR8B3f98UC45_spimOeuQ_5_0"/>
      <w:bookmarkStart w:id="991" w:name="Tc_tetfV-qZmU6-zzMAzJob6A_4_8"/>
      <w:bookmarkStart w:id="992" w:name="Tc_wKh6aLOj9kS5hzRwRhba1g_4_5"/>
      <w:bookmarkStart w:id="993" w:name="Tc_OXCzDOq5KkmgtEPS8bIDlw_4_2"/>
      <w:bookmarkStart w:id="994" w:name="Tc_-7_qeomi40evWZKV22pK1Q_4_0"/>
      <w:bookmarkStart w:id="995" w:name="Tc_VEtjtp-Aj0-GDYLjmAEfJg_3_2"/>
      <w:bookmarkStart w:id="996" w:name="Tc_RtOgIekU6E62SMxtWii5tA_2_8"/>
      <w:bookmarkStart w:id="997" w:name="Tc_mAb4FKBCT0uvbmYpQGUwHg_2_5"/>
      <w:bookmarkStart w:id="998" w:name="Tc_X-W8Xs0P_EyAu4F4f3bp4A_2_2"/>
      <w:bookmarkStart w:id="999" w:name="Tc_827RiTJ0T0OtShHcy0f2aw_1_2"/>
      <w:bookmarkStart w:id="1000" w:name="_Hlk167111481"/>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b/>
          <w:sz w:val="20"/>
        </w:rPr>
        <w:t>NOTE 2 – ALLOWANCE FOR DOUBTFUL ACCOUNTS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accounts receivable and allowance for doubtful accounts as of July 31, 2026, July 31, 2025 and January 31, 2026 were:</w:t>
      </w:r>
    </w:p>
    <w:p>
      <w:pPr>
        <w:pStyle w:val="TextBody"/>
        <w:bidi w:val="0"/>
        <w:spacing w:before="0" w:after="240"/>
        <w:ind w:left="0" w:right="0" w:hanging="0"/>
        <w:jc w:val="both"/>
        <w:rPr>
          <w:color w:val="212529"/>
        </w:rPr>
      </w:pPr>
      <w:r>
        <w:rPr>
          <w:color w:val="212529"/>
        </w:rPr>
        <w:t>​</w:t>
      </w:r>
    </w:p>
    <w:tbl>
      <w:tblPr>
        <w:tblW w:w="6700" w:type="dxa"/>
        <w:jc w:val="left"/>
        <w:tblInd w:w="0" w:type="dxa"/>
        <w:tblLayout w:type="fixed"/>
        <w:tblCellMar>
          <w:top w:w="0" w:type="dxa"/>
          <w:left w:w="0" w:type="dxa"/>
          <w:bottom w:w="0" w:type="dxa"/>
          <w:right w:w="0" w:type="dxa"/>
        </w:tblCellMar>
      </w:tblPr>
      <w:tblGrid>
        <w:gridCol w:w="2776"/>
        <w:gridCol w:w="346"/>
        <w:gridCol w:w="211"/>
        <w:gridCol w:w="796"/>
        <w:gridCol w:w="346"/>
        <w:gridCol w:w="211"/>
        <w:gridCol w:w="571"/>
        <w:gridCol w:w="346"/>
        <w:gridCol w:w="211"/>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62760" cy="175260"/>
                      <wp:effectExtent l="0" t="0" r="0" b="0"/>
                      <wp:wrapNone/>
                      <wp:docPr id="51" name="Frame51"/>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5460" cy="175260"/>
                      <wp:effectExtent l="0" t="0" r="0" b="0"/>
                      <wp:wrapNone/>
                      <wp:docPr id="54" name="Frame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62585" cy="175260"/>
                      <wp:effectExtent l="0" t="0" r="0" b="0"/>
                      <wp:wrapNone/>
                      <wp:docPr id="57" name="Frame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62610" cy="175260"/>
                      <wp:effectExtent l="0" t="0" r="0" b="0"/>
                      <wp:wrapNone/>
                      <wp:docPr id="60" name="Frame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403,740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404,808</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403,426</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475,338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476,403</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474,931</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555,038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556,083</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(19,038)</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536,068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537,045</w:t>
            </w:r>
          </w:p>
        </w:tc>
      </w:tr>
    </w:tbl>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July 31, 2026, accounts receivable balances of $17.5 million were deemed uncollectible and written off against the allowance due to the bankruptcy of Saks Global.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01" w:name="Tc_VrsG1vt1A02aF3lKCynACw_16_8"/>
      <w:bookmarkStart w:id="1002" w:name="Tc_xpQqKgABRUOm40BOZYsv9Q_16_5"/>
      <w:bookmarkStart w:id="1003" w:name="Tc_6_H8a1-4eEKd76GVLi8FdA_16_2"/>
      <w:bookmarkStart w:id="1004" w:name="Tc_tmKfGkF47UaXuSX2sdrGUg_16_0"/>
      <w:bookmarkStart w:id="1005" w:name="Tc_1edWKX-gf0SZ8OvHsTH89Q_15_6"/>
      <w:bookmarkStart w:id="1006" w:name="Tc_T-5Wc4RAWkW-LecjzXyMoQ_15_0"/>
      <w:bookmarkStart w:id="1007" w:name="Tc_HCQVUjT9Zk6F9Boy2Pbolg_14_6"/>
      <w:bookmarkStart w:id="1008" w:name="Tc_BzQSINUVzES0hFzCN74cag_14_0"/>
      <w:bookmarkStart w:id="1009" w:name="Tc_iOhpYxClFEClFOm_MHtajA_13_8"/>
      <w:bookmarkStart w:id="1010" w:name="Tc_nr8zwJLyZ0uutkxU4FOFug_13_5"/>
      <w:bookmarkStart w:id="1011" w:name="Tc_EPM9bAR47kSG5R7qeJWD3w_13_2"/>
      <w:bookmarkStart w:id="1012" w:name="Tc_8MGlsHmvKUaiWd-x-BXETg_13_0"/>
      <w:bookmarkStart w:id="1013" w:name="Tc_JkmUURR-eE6kxgSNZy_WDA_11_8"/>
      <w:bookmarkStart w:id="1014" w:name="Tc_NpghmyJn3ESxSBrXIgw0wg_11_5"/>
      <w:bookmarkStart w:id="1015" w:name="Tc_xb7hiVlOxU-lbp9j-bNcIw_11_2"/>
      <w:bookmarkStart w:id="1016" w:name="Tc_kX-8h9ABBUevfAaSdc6VhQ_11_0"/>
      <w:bookmarkStart w:id="1017" w:name="Tc_hjMEvJ8tBUadnJuzaFAJbg_10_6"/>
      <w:bookmarkStart w:id="1018" w:name="Tc_SP1GvhpJCkKkFdp5sJB-VA_10_0"/>
      <w:bookmarkStart w:id="1019" w:name="Tc_irU1zHKBVEm24FpqN7vSGg_9_6"/>
      <w:bookmarkStart w:id="1020" w:name="Tc_XJYZsmsWNUGQgdn9ZWMQmg_9_0"/>
      <w:bookmarkStart w:id="1021" w:name="Tc_6s-0AWpIV0GLNSVLnNll2g_8_8"/>
      <w:bookmarkStart w:id="1022" w:name="Tc_6ltnKTMst0m86dv9bDBMoQ_8_5"/>
      <w:bookmarkStart w:id="1023" w:name="Tc_Irbf6pwOz0OjNFjkQwkMuw_8_2"/>
      <w:bookmarkStart w:id="1024" w:name="Tc_dyYl8DXd1kmGV2egE1-srQ_8_0"/>
      <w:bookmarkStart w:id="1025" w:name="Tc_6OU7n3TowkS4O0iVlDtbAQ_6_8"/>
      <w:bookmarkStart w:id="1026" w:name="Tc_FQySbXLYYkiJw5i3Zkmb7A_6_5"/>
      <w:bookmarkStart w:id="1027" w:name="Tc_R5-j4Cytb0qrShI98hRiyA_6_2"/>
      <w:bookmarkStart w:id="1028" w:name="Tc_Ost7VJp710KukV1kqmsWEg_6_0"/>
      <w:bookmarkStart w:id="1029" w:name="Tc_NNdjQSCcgkunmbBqyTj2oQ_5_6"/>
      <w:bookmarkStart w:id="1030" w:name="Tc_csVrkGAZDUeQ0hn7a41gPg_5_0"/>
      <w:bookmarkStart w:id="1031" w:name="Tc_qaYv4Kanrk-qxLP0dww0AQ_4_6"/>
      <w:bookmarkStart w:id="1032" w:name="Tc_jiFwPtwTiEOOU_hRZik5dw_4_0"/>
      <w:bookmarkStart w:id="1033" w:name="Tc_kRMFTlOCG0idjnzlKizC_Q_3_8"/>
      <w:bookmarkStart w:id="1034" w:name="Tc_ohZOzmiYjES9TUDrzRZ5lg_3_5"/>
      <w:bookmarkStart w:id="1035" w:name="Tc_l4wBe4KMsEKSNZdyoLT0Nw_3_2"/>
      <w:bookmarkStart w:id="1036" w:name="Tc_76UH0N9XoEuYBc-tL7vO2g_3_0"/>
      <w:bookmarkStart w:id="1037" w:name="Tc_v2ahbjhdekuvw1MiBVPDJA_2_2"/>
      <w:bookmarkStart w:id="1038" w:name="Tc_l2jufDyo7kOqKqt6HviGRA_1_8"/>
      <w:bookmarkStart w:id="1039" w:name="Tc_ExcqlSdfVUOkmKB2_huHvg_1_5"/>
      <w:bookmarkStart w:id="1040" w:name="Tc_VPiXmXZzekWD8VIOQYbuPg_1_2"/>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The Company had the following activity in its allowance for doubtful accounts: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6850" w:type="dxa"/>
        <w:jc w:val="left"/>
        <w:tblInd w:w="0" w:type="dxa"/>
        <w:tblLayout w:type="fixed"/>
        <w:tblCellMar>
          <w:top w:w="0" w:type="dxa"/>
          <w:left w:w="0" w:type="dxa"/>
          <w:bottom w:w="0" w:type="dxa"/>
          <w:right w:w="0" w:type="dxa"/>
        </w:tblCellMar>
      </w:tblPr>
      <w:tblGrid>
        <w:gridCol w:w="3106"/>
        <w:gridCol w:w="346"/>
        <w:gridCol w:w="211"/>
        <w:gridCol w:w="796"/>
        <w:gridCol w:w="346"/>
        <w:gridCol w:w="211"/>
        <w:gridCol w:w="436"/>
        <w:gridCol w:w="346"/>
        <w:gridCol w:w="211"/>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972310" cy="175260"/>
                      <wp:effectExtent l="0" t="0" r="0" b="0"/>
                      <wp:wrapNone/>
                      <wp:docPr id="61" name="Frame6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5460" cy="175260"/>
                      <wp:effectExtent l="0" t="0" r="0" b="0"/>
                      <wp:wrapNone/>
                      <wp:docPr id="64" name="Frame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76860" cy="175260"/>
                      <wp:effectExtent l="0" t="0" r="0" b="0"/>
                      <wp:wrapNone/>
                      <wp:docPr id="67" name="Frame6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4035" cy="175260"/>
                      <wp:effectExtent l="0" t="0" r="0" b="0"/>
                      <wp:wrapNone/>
                      <wp:docPr id="70" name="Frame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85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(19,038)</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17,590</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31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8,328</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(19,038)</w:t>
            </w:r>
          </w:p>
        </w:tc>
      </w:tr>
    </w:tbl>
    <w:p>
      <w:pPr>
        <w:pStyle w:val="TextBody"/>
        <w:bidi w:val="0"/>
        <w:spacing w:before="0" w:after="240"/>
        <w:ind w:left="0" w:right="0" w:hanging="0"/>
        <w:jc w:val="both"/>
        <w:rPr>
          <w:color w:val="212529"/>
        </w:rPr>
      </w:pPr>
      <w:r>
        <w:rPr>
          <w:color w:val="212529"/>
        </w:rPr>
        <w:t>​</w:t>
      </w:r>
    </w:p>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 – 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inventory return asset, which consists of the amount of goods that are anticipated to be returned by customers, was $6.8 million, $7.2 million and $12.2 million as of July 31, 2026, July 31, 2025 and January 31, 2026, respectively. The inventory return asset is recorded within prepaid expenses and other current assets on the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 held on consignment by the Company’s customers totaled $4.1 million, $5.1 million and $4.4 million as of July 31, 2026, July 31, 2025 and January 31, 2026, respectively. The Company reflects consigned inventory within inventories on its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FAIR VALUE OF FINANCIAL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based on quoted prices (unadjusted) for identical assets or liabilities in active markets.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based on unobservable prices or valuation techniques that are significant to the fair value measurement.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41" w:name="Tc_PuOI-MuZZEC8amI0rEhrcg_7_2"/>
      <w:bookmarkStart w:id="1042" w:name="Tc_zHlXxoXKNkiWE0Gn5HyUbw_7_0"/>
      <w:bookmarkStart w:id="1043" w:name="Tc_UCadC1dJI0u-YXZWMg-tBQ_6_2"/>
      <w:bookmarkStart w:id="1044" w:name="Tc_9fNzx680CEa4iIGxoAH6xA_6_0"/>
      <w:bookmarkStart w:id="1045" w:name="Tc_4Snzx_63HEKSIyMjFFy0-Q_5_19"/>
      <w:bookmarkStart w:id="1046" w:name="Tc_MsibXNXVcEimi3g4WipfIw_5_16"/>
      <w:bookmarkStart w:id="1047" w:name="Tc_J7RteyK9ykS9gQ9Hj8CKAg_5_13"/>
      <w:bookmarkStart w:id="1048" w:name="Tc_Muq-Q3tPGEOWc1EdXtrdMQ_5_10"/>
      <w:bookmarkStart w:id="1049" w:name="Tc_oJGs0476Y0auEgubWhM6BQ_5_7"/>
      <w:bookmarkStart w:id="1050" w:name="Tc_ctTHIeYLyUuhy9nX27j20g_5_4"/>
      <w:bookmarkStart w:id="1051" w:name="Tc_1cADzrd2oECFs2FHciEsdA_5_2"/>
      <w:bookmarkStart w:id="1052" w:name="Tc_DHGWhvW7vUeeQ-WBNnSquA_5_0"/>
      <w:bookmarkStart w:id="1053" w:name="Tc_i2PjYWnI40CrWVb7SHNbIw_4_4"/>
      <w:bookmarkStart w:id="1054" w:name="Tc_BruOKZedPUa5kXFYThAURg_3_19"/>
      <w:bookmarkStart w:id="1055" w:name="Tc_93549G_b60iCgxfxCiOS6w_3_16"/>
      <w:bookmarkStart w:id="1056" w:name="Tc_dCPhRaIBB0WZ5fx8HdCaKg_3_13"/>
      <w:bookmarkStart w:id="1057" w:name="Tc_ync_QTPyLUe4Ctw_xZeAHA_3_10"/>
      <w:bookmarkStart w:id="1058" w:name="Tc_AKQKmd9mE0WVJObEDpc_WQ_3_7"/>
      <w:bookmarkStart w:id="1059" w:name="Tc_zSYSvS_yjUqwkQeIEwz6xg_3_4"/>
      <w:bookmarkStart w:id="1060" w:name="Tc_ATlBNks0SEOudJ2sXLrOVQ_3_2"/>
      <w:bookmarkStart w:id="1061" w:name="Tc_WQlkp7tl5kywIbjFJde7LA_3_0"/>
      <w:bookmarkStart w:id="1062" w:name="Tc_X4uoJe6RR0WZHtpCog5CJw_2_19"/>
      <w:bookmarkStart w:id="1063" w:name="Tc_Qu4ge7yyVEeUWafakXw1rQ_2_16"/>
      <w:bookmarkStart w:id="1064" w:name="Tc_bfR4mosPxkGL7TspS8VhPA_2_13"/>
      <w:bookmarkStart w:id="1065" w:name="Tc_qtcu0QIZ8UivLXFjZCHvag_2_10"/>
      <w:bookmarkStart w:id="1066" w:name="Tc_YbZ3Tt9XR0mUZn9LsXYWKg_2_7"/>
      <w:bookmarkStart w:id="1067" w:name="Tc_N9w5gLPxXEescTdIMI7zhg_2_4"/>
      <w:bookmarkStart w:id="1068" w:name="Tc_FFoQ1W2iOECx8CRdxhzNag_1_13"/>
      <w:bookmarkStart w:id="1069" w:name="Tc_FLzPxomPNUi9DpRd0_Tq3g_1_4"/>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ascii="Times New Roman;Times;serif" w:hAnsi="Times New Roman;Times;serif"/>
          <w:sz w:val="20"/>
        </w:rPr>
        <w:t>The following table summarizes the carrying values and the estimated fair values of the Company’s debt instruments:</w:t>
      </w:r>
    </w:p>
    <w:p>
      <w:pPr>
        <w:pStyle w:val="TextBody"/>
        <w:bidi w:val="0"/>
        <w:spacing w:before="0" w:after="240"/>
        <w:ind w:left="0" w:right="0" w:hanging="0"/>
        <w:jc w:val="both"/>
        <w:rPr/>
      </w:pPr>
      <w:r>
        <w:rPr/>
        <w:t>​</w:t>
      </w:r>
    </w:p>
    <w:tbl>
      <w:tblPr>
        <w:tblW w:w="8987" w:type="dxa"/>
        <w:jc w:val="left"/>
        <w:tblInd w:w="0" w:type="dxa"/>
        <w:tblLayout w:type="fixed"/>
        <w:tblCellMar>
          <w:top w:w="0" w:type="dxa"/>
          <w:left w:w="0" w:type="dxa"/>
          <w:bottom w:w="0" w:type="dxa"/>
          <w:right w:w="0" w:type="dxa"/>
        </w:tblCellMar>
      </w:tblPr>
      <w:tblGrid>
        <w:gridCol w:w="2011"/>
        <w:gridCol w:w="109"/>
        <w:gridCol w:w="496"/>
        <w:gridCol w:w="346"/>
        <w:gridCol w:w="211"/>
        <w:gridCol w:w="571"/>
        <w:gridCol w:w="109"/>
        <w:gridCol w:w="211"/>
        <w:gridCol w:w="571"/>
        <w:gridCol w:w="109"/>
        <w:gridCol w:w="279"/>
        <w:gridCol w:w="756"/>
        <w:gridCol w:w="346"/>
        <w:gridCol w:w="211"/>
        <w:gridCol w:w="571"/>
        <w:gridCol w:w="109"/>
        <w:gridCol w:w="211"/>
        <w:gridCol w:w="571"/>
        <w:gridCol w:w="109"/>
        <w:gridCol w:w="257"/>
        <w:gridCol w:w="823"/>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76985" cy="175260"/>
                      <wp:effectExtent l="0" t="0" r="0" b="0"/>
                      <wp:wrapNone/>
                      <wp:docPr id="71" name="Frame7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14960" cy="175260"/>
                      <wp:effectExtent l="0" t="0" r="0" b="0"/>
                      <wp:wrapNone/>
                      <wp:docPr id="73" name="Frame7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62585" cy="175260"/>
                      <wp:effectExtent l="0" t="0" r="0" b="0"/>
                      <wp:wrapNone/>
                      <wp:docPr id="74" name="Frame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80060" cy="175260"/>
                      <wp:effectExtent l="0" t="0" r="0" b="0"/>
                      <wp:wrapNone/>
                      <wp:docPr id="78" name="Frame78"/>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62585" cy="175260"/>
                      <wp:effectExtent l="0" t="0" r="0" b="0"/>
                      <wp:wrapNone/>
                      <wp:docPr id="79" name="Frame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81" name="Frame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2605" cy="175260"/>
                      <wp:effectExtent l="0" t="0" r="0" b="0"/>
                      <wp:wrapNone/>
                      <wp:docPr id="83" name="Frame8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2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Financial</w:t>
            </w:r>
            <w:r>
              <w:rPr>
                <w:rFonts w:ascii="Times New Roman;Times;serif" w:hAnsi="Times New Roman;Times;serif"/>
                <w:sz w:val="16"/>
              </w:rPr>
              <w:t> </w:t>
            </w:r>
            <w:r>
              <w:rPr>
                <w:rFonts w:ascii="Times New Roman;Times;serif" w:hAnsi="Times New Roman;Times;serif"/>
                <w:b/>
                <w:sz w:val="16"/>
              </w:rPr>
              <w:t>Instrument</w:t>
            </w:r>
          </w:p>
        </w:tc>
        <w:tc>
          <w:tcPr>
            <w:tcW w:w="109"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8987"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2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5,180</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credit facilities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debt instruments are recorded at their carrying values in its condensed consolidated balance sheets, which may differ from their respective fair values.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Non-Financial Assets and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p>
    <w:p>
      <w:pPr>
        <w:pStyle w:val="TextBody"/>
        <w:bidi w:val="0"/>
        <w:spacing w:before="0" w:after="240"/>
        <w:ind w:left="0" w:right="0" w:hanging="0"/>
        <w:jc w:val="both"/>
        <w:rPr>
          <w:color w:val="212529"/>
          <w:shd w:fill="FFFFFF" w:val="clear"/>
        </w:rPr>
      </w:pPr>
      <w:r>
        <w:rPr>
          <w:color w:val="212529"/>
          <w:shd w:fill="FFFFFF" w:val="clear"/>
        </w:rPr>
        <w:t>​</w:t>
      </w:r>
    </w:p>
    <w:p>
      <w:pPr>
        <w:pStyle w:val="TextBody"/>
        <w:bidi w:val="0"/>
        <w:spacing w:before="0" w:after="0"/>
        <w:ind w:left="0" w:right="0" w:hanging="0"/>
        <w:jc w:val="left"/>
        <w:rPr>
          <w:rFonts w:ascii="Times New Roman;Times;serif" w:hAnsi="Times New Roman;Times;serif"/>
          <w:b/>
          <w:sz w:val="20"/>
        </w:rPr>
      </w:pPr>
      <w:bookmarkStart w:id="1070" w:name="Tc_yT8wFB1-U02K4lL3f5vd9g_10_10"/>
      <w:bookmarkStart w:id="1071" w:name="Tc_Th8Vc6TnW0unfiwd68neKA_10_7"/>
      <w:bookmarkStart w:id="1072" w:name="Tc_-PJBNpvNJ0Kd2JdrN1bYRQ_10_4"/>
      <w:bookmarkStart w:id="1073" w:name="Tc_xlVPm9A3aUWI2shZ3-1KeA_10_0"/>
      <w:bookmarkStart w:id="1074" w:name="Tc_8HcJOsMGTkaV8a1KkxbwKA_9_0"/>
      <w:bookmarkStart w:id="1075" w:name="Tc_6giQOGL6sUOI_HWflDQ60g_8_10"/>
      <w:bookmarkStart w:id="1076" w:name="Tc_kgJJp2VmKk-a6vvEhvz7SQ_8_7"/>
      <w:bookmarkStart w:id="1077" w:name="Tc_wBfv88qx9E6iXa42GCqIiA_8_4"/>
      <w:bookmarkStart w:id="1078" w:name="Tc_QRahT_dPlkS_5TPIUE50aQ_8_0"/>
      <w:bookmarkStart w:id="1079" w:name="Tc_MWw_sgOdWkerM6Q1GKENAg_7_0"/>
      <w:bookmarkStart w:id="1080" w:name="Tc_jcmN69Z6c0e-2SHES55ZHA_5_10"/>
      <w:bookmarkStart w:id="1081" w:name="Tc_sJEzSifrrkuseA100plmnQ_5_7"/>
      <w:bookmarkStart w:id="1082" w:name="Tc_Xjzpo0F9kEOjfStjaDBI4g_5_4"/>
      <w:bookmarkStart w:id="1083" w:name="Tc_u5DmCxVd_0uOECDY2b0DYg_5_0"/>
      <w:bookmarkStart w:id="1084" w:name="Tc_vIvCmCtlx0ylfUVVXGqjeA_4_0"/>
      <w:bookmarkStart w:id="1085" w:name="Tc_dqLSldWQ60mhakvCNj9G6g_3_4"/>
      <w:bookmarkStart w:id="1086" w:name="Tc_fxeKwcT340CHdizaUj1eZg_2_10"/>
      <w:bookmarkStart w:id="1087" w:name="Tc_jyAv7ia6206N63D-0y2fdA_2_7"/>
      <w:bookmarkStart w:id="1088" w:name="Tc_2DdJScB_90mlf-2qO09pNg_2_4"/>
      <w:bookmarkStart w:id="1089" w:name="Tc_sxv7itDME0KQPLaQq6fDYQ_2_2"/>
      <w:bookmarkStart w:id="1090" w:name="Tc_htn_mpacpEKoKeGgOqwtfw_2_0"/>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Pr>
          <w:rFonts w:ascii="Times New Roman;Times;serif" w:hAnsi="Times New Roman;Times;serif"/>
          <w:b/>
          <w:sz w:val="20"/>
        </w:rPr>
        <w:t>NOTE 5 – LEASES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leases are for a term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Some leases include one or more options to renew, with renewal terms that can extend the lease term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lease agreements include contingent rental payments based on a percentage of retail sales over contractual levels and others include rental payments adjusted periodically for inflation. Contingent rent is accrued each period as the liabilities are incurred. The Company’s leases do not contain any material residual value guarantees or material restrictive covenants.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operating lease assets and liabilities as of July 31, 2026, July 31, 2025 and January 31, 2026 consist of the following:</w:t>
      </w:r>
    </w:p>
    <w:p>
      <w:pPr>
        <w:pStyle w:val="TextBody"/>
        <w:bidi w:val="0"/>
        <w:spacing w:before="0" w:after="0"/>
        <w:ind w:left="0" w:right="0" w:hanging="0"/>
        <w:jc w:val="left"/>
        <w:rPr/>
      </w:pPr>
      <w:r>
        <w:rPr/>
        <w:t>​</w:t>
      </w:r>
    </w:p>
    <w:tbl>
      <w:tblPr>
        <w:tblW w:w="9048" w:type="dxa"/>
        <w:jc w:val="left"/>
        <w:tblInd w:w="0" w:type="dxa"/>
        <w:tblLayout w:type="fixed"/>
        <w:tblCellMar>
          <w:top w:w="0" w:type="dxa"/>
          <w:left w:w="0" w:type="dxa"/>
          <w:bottom w:w="0" w:type="dxa"/>
          <w:right w:w="0" w:type="dxa"/>
        </w:tblCellMar>
      </w:tblPr>
      <w:tblGrid>
        <w:gridCol w:w="1861"/>
        <w:gridCol w:w="109"/>
        <w:gridCol w:w="3121"/>
        <w:gridCol w:w="109"/>
        <w:gridCol w:w="233"/>
        <w:gridCol w:w="862"/>
        <w:gridCol w:w="109"/>
        <w:gridCol w:w="233"/>
        <w:gridCol w:w="862"/>
        <w:gridCol w:w="109"/>
        <w:gridCol w:w="277"/>
        <w:gridCol w:w="116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181735" cy="175260"/>
                      <wp:effectExtent l="0" t="0" r="0" b="0"/>
                      <wp:wrapNone/>
                      <wp:docPr id="84" name="Frame8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81835" cy="175260"/>
                      <wp:effectExtent l="0" t="0" r="0" b="0"/>
                      <wp:wrapNone/>
                      <wp:docPr id="86" name="Frame86"/>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7955" cy="175260"/>
                      <wp:effectExtent l="0" t="0" r="0" b="0"/>
                      <wp:wrapNone/>
                      <wp:docPr id="88" name="Frame8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47370" cy="175260"/>
                      <wp:effectExtent l="0" t="0" r="0" b="0"/>
                      <wp:wrapNone/>
                      <wp:docPr id="89" name="Frame89"/>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7955" cy="175260"/>
                      <wp:effectExtent l="0" t="0" r="0" b="0"/>
                      <wp:wrapNone/>
                      <wp:docPr id="91" name="Frame9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7370" cy="175260"/>
                      <wp:effectExtent l="0" t="0" r="0" b="0"/>
                      <wp:wrapNone/>
                      <wp:docPr id="92" name="Frame9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75895" cy="175260"/>
                      <wp:effectExtent l="0" t="0" r="0" b="0"/>
                      <wp:wrapNone/>
                      <wp:docPr id="94" name="Frame9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38505" cy="175260"/>
                      <wp:effectExtent l="0" t="0" r="0" b="0"/>
                      <wp:wrapNone/>
                      <wp:docPr id="95" name="Frame95"/>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left"/>
              <w:rPr/>
            </w:pPr>
            <w:r>
              <w:rPr/>
              <w:t>​</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109"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c>
          <w:tcPr>
            <w:tcW w:w="109" w:type="dxa"/>
            <w:tcBorders/>
            <w:vAlign w:val="center"/>
          </w:tcPr>
          <w:p>
            <w:pPr>
              <w:pStyle w:val="TableContents"/>
              <w:bidi w:val="0"/>
              <w:spacing w:before="0" w:after="0"/>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9048"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4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316,862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264,526</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257,619</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51,546</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52,604</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52,244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281,458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227,691</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220,713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333,004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280,295</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272,957</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91" w:name="Tc_X5D7tpRcwkikIqp7sw9PcA_11_2"/>
      <w:bookmarkStart w:id="1092" w:name="Tc_mTR1cXs-l0KgIsUH-vTeVg_11_0"/>
      <w:bookmarkStart w:id="1093" w:name="Tc_xUzg7zlNwU-Jfoe3fw6d-Q_10_0"/>
      <w:bookmarkStart w:id="1094" w:name="Tc_yKfMcxJTiE-ZZua3jFfS1g_9_2"/>
      <w:bookmarkStart w:id="1095" w:name="Tc_tc_uXWER4Ei4PQn3uJn7Qg_9_0"/>
      <w:bookmarkStart w:id="1096" w:name="Tc_fJno76Xa0UKUKfZbdD1DNQ_8_0"/>
      <w:bookmarkStart w:id="1097" w:name="Tc_q_jcycbHjkSrY6v5bhAyaA_7_0"/>
      <w:bookmarkStart w:id="1098" w:name="Tc_NgsGY3NZkEyUJm0kcS7fIA_6_0"/>
      <w:bookmarkStart w:id="1099" w:name="Tc_q6cvuit7RUi4S5i1zymi5A_5_0"/>
      <w:bookmarkStart w:id="1100" w:name="Tc_jkmbGEtFfEOFvUloVsappg_4_0"/>
      <w:bookmarkStart w:id="1101" w:name="Tc_w2eIUSITlEK5WgVsWBDVuA_3_2"/>
      <w:bookmarkStart w:id="1102" w:name="Tc_8xDpJOS5FEq6oFo8qeK97w_3_0"/>
      <w:bookmarkStart w:id="1103" w:name="Tc_XFI726uHK0imuTPApisL4g_2_2"/>
      <w:bookmarkStart w:id="1104" w:name="Tc_YxZ4bImVOUaBMkTAPqpJ1Q_1_2"/>
      <w:bookmarkStart w:id="1105" w:name="Tc_JUTWOpt5606OghZ5O47ZzA_1_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ascii="Times New Roman;Times;serif" w:hAnsi="Times New Roman;Times;serif"/>
          <w:sz w:val="20"/>
        </w:rPr>
        <w:t>The Company recorded lease costs of $19.5 million and $38.1 million during the three and six months ended July 31, 2026. The Company recorded lease costs of $17.8 million and $36.0 million during the three and six months ended July 31, 2025. Lease costs are recorded within selling, general and administrative expenses in the Company’s condensed consolidated statements of income and comprehensive income. The Company recorded variable lease costs and short-term lease costs of $3.3 million and $7.2 million for the three and six months ended July 31, 2026. The Company recorded variable lease costs and short-term lease costs of $4.4 million and $7.9 million for the three and six months ended July 31, 2025. Short-term lease costs are immaterial.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the Company’s maturities of operating lease liabilities in the years ending up to January 31, 2031 and thereafter are as follows:</w:t>
      </w:r>
    </w:p>
    <w:p>
      <w:pPr>
        <w:pStyle w:val="TextBody"/>
        <w:bidi w:val="0"/>
        <w:spacing w:before="0" w:after="240"/>
        <w:ind w:left="0" w:right="0" w:hanging="0"/>
        <w:jc w:val="both"/>
        <w:rPr/>
      </w:pPr>
      <w:r>
        <w:rPr/>
        <w:t>​</w:t>
      </w:r>
    </w:p>
    <w:tbl>
      <w:tblPr>
        <w:tblW w:w="3980" w:type="dxa"/>
        <w:jc w:val="left"/>
        <w:tblInd w:w="0" w:type="dxa"/>
        <w:tblLayout w:type="fixed"/>
        <w:tblCellMar>
          <w:top w:w="0" w:type="dxa"/>
          <w:left w:w="0" w:type="dxa"/>
          <w:bottom w:w="0" w:type="dxa"/>
          <w:right w:w="0" w:type="dxa"/>
        </w:tblCellMar>
      </w:tblPr>
      <w:tblGrid>
        <w:gridCol w:w="2686"/>
        <w:gridCol w:w="109"/>
        <w:gridCol w:w="228"/>
        <w:gridCol w:w="957"/>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05610" cy="175260"/>
                      <wp:effectExtent l="0" t="0" r="0" b="0"/>
                      <wp:wrapNone/>
                      <wp:docPr id="96" name="Frame9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4780" cy="175260"/>
                      <wp:effectExtent l="0" t="0" r="0" b="0"/>
                      <wp:wrapNone/>
                      <wp:docPr id="98" name="Frame9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07695" cy="175260"/>
                      <wp:effectExtent l="0" t="0" r="0" b="0"/>
                      <wp:wrapNone/>
                      <wp:docPr id="99" name="Frame9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January 31,</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68,561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57,151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47,840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42,882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2031</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165,874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416,648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83,644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333,004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there are no material leases that are legally binding but have not yet commenced.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the weighted average remaining lease term related to operating leases is 7.3 years. The weighted average discount rate related to operating leases is 6.1%.</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was $29.9 million and $38.2 million during the six months ended July 31, 2026 and 2025, respectively. Right-of-use assets obtained in exchange for lease obligations were $92.2 million and $26.8 million during the six months ended July 31, 2026 and 2025,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 – NET INCOME PER COMMON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Approximately 91,000 and 55,000 shares of common stock have been excluded from the diluted net income per share calculation for the three and six months ended July 31, 2026. Approximately 43,000 and 34,500 shares of common stock have been excluded from the diluted net income per share calculation for the three and six months ended July 31, 2025. All share-based payments outstanding that vest based on the achievement of performance conditions, and for which the respective performance conditions have not been achieved, have been excluded from the diluted per share calculation.</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1106" w:name="Tc_sBIKIN7bZkagkGSmBVOAiQ_13_11"/>
      <w:bookmarkStart w:id="1107" w:name="Tc_jozwCNePJkCM1NDfMQ2OxQ_13_8"/>
      <w:bookmarkStart w:id="1108" w:name="Tc_I3xLqg3V2k-PAZde9O0XBw_13_5"/>
      <w:bookmarkStart w:id="1109" w:name="Tc_Td-mtvfld0K34CiCVF_kxA_13_2"/>
      <w:bookmarkStart w:id="1110" w:name="Tc_zuvDcRJN80a9ddF6nD0VFg_13_0"/>
      <w:bookmarkStart w:id="1111" w:name="Tc_Z3-DmgOnL0y4tTf9L_AU1w_12_0"/>
      <w:bookmarkStart w:id="1112" w:name="Tc_pcQMIu3VdEe2N6Kubnq38A_11_0"/>
      <w:bookmarkStart w:id="1113" w:name="Tc_8jNEI8idyEuwjUKHrWFCyA_10_0"/>
      <w:bookmarkStart w:id="1114" w:name="Tc_ldUinrlEVEy48IQNbYCP0w_9_0"/>
      <w:bookmarkStart w:id="1115" w:name="Tc__yl1nYVrPUumUCsBs8DmZg_7_11"/>
      <w:bookmarkStart w:id="1116" w:name="Tc_CTSPYk625k2ULrWkJTvdzQ_7_8"/>
      <w:bookmarkStart w:id="1117" w:name="Tc_QP5W2SsZmkOFod9wRnCo1g_7_5"/>
      <w:bookmarkStart w:id="1118" w:name="Tc_oAqymaHlQEuAx4Y8TwPO_A_7_2"/>
      <w:bookmarkStart w:id="1119" w:name="Tc_IkSKafdSSkm-CFjImbv5PA_7_0"/>
      <w:bookmarkStart w:id="1120" w:name="Tc_w56pK0vXBEyCELEJ1kAGxg_6_0"/>
      <w:bookmarkStart w:id="1121" w:name="Tc_4lKxKG_VCE2DX9NpGrHpfw_5_0"/>
      <w:bookmarkStart w:id="1122" w:name="Tc_dNGnWQLcIUiVqZDjfFarcA_4_11"/>
      <w:bookmarkStart w:id="1123" w:name="Tc_xX_KaCCJVkCYcfdEyaJc6A_4_8"/>
      <w:bookmarkStart w:id="1124" w:name="Tc_NjDj_mCbFUSh-7OSyYdOmg_4_5"/>
      <w:bookmarkStart w:id="1125" w:name="Tc_6epRv9e-0UOFXu5kurzeeg_4_2"/>
      <w:bookmarkStart w:id="1126" w:name="Tc_c4-qpGFOJEySDIWYTaSsQQ_4_0"/>
      <w:bookmarkStart w:id="1127" w:name="Tc_hv17GAc9dUenegEGaWa41g_3_2"/>
      <w:bookmarkStart w:id="1128" w:name="Tc_yUsN_QQRRECWmzI1Jap3WQ_2_11"/>
      <w:bookmarkStart w:id="1129" w:name="Tc_Tu1QKjWGn0ObFtijk0GYgA_2_8"/>
      <w:bookmarkStart w:id="1130" w:name="Tc_R159tifi-EarsnEBl0g_9w_2_5"/>
      <w:bookmarkStart w:id="1131" w:name="Tc_VcAqygNkQEeYmnHkcsm3Ww_2_2"/>
      <w:bookmarkStart w:id="1132" w:name="Tc_N4uuts4nAEGGHOWvzE-6rw_1_8"/>
      <w:bookmarkStart w:id="1133" w:name="Tc_8DiHhkoxAkeBCxipbRCvQw_1_2"/>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r>
        <w:rPr>
          <w:rFonts w:ascii="Times New Roman;Times;serif" w:hAnsi="Times New Roman;Times;serif"/>
          <w:sz w:val="20"/>
        </w:rPr>
        <w:t>The following table reconciles the numerators and denominators used in the calculation of basic and diluted net income per share:</w:t>
      </w:r>
    </w:p>
    <w:p>
      <w:pPr>
        <w:pStyle w:val="TextBody"/>
        <w:bidi w:val="0"/>
        <w:spacing w:before="0" w:after="0"/>
        <w:ind w:left="0" w:right="0" w:hanging="0"/>
        <w:jc w:val="left"/>
        <w:rPr/>
      </w:pPr>
      <w:r>
        <w:rPr/>
        <w:t>​</w:t>
      </w:r>
    </w:p>
    <w:tbl>
      <w:tblPr>
        <w:tblW w:w="9668" w:type="dxa"/>
        <w:jc w:val="left"/>
        <w:tblInd w:w="0" w:type="dxa"/>
        <w:tblLayout w:type="fixed"/>
        <w:tblCellMar>
          <w:top w:w="0" w:type="dxa"/>
          <w:left w:w="0" w:type="dxa"/>
          <w:bottom w:w="0" w:type="dxa"/>
          <w:right w:w="0" w:type="dxa"/>
        </w:tblCellMar>
      </w:tblPr>
      <w:tblGrid>
        <w:gridCol w:w="4531"/>
        <w:gridCol w:w="346"/>
        <w:gridCol w:w="227"/>
        <w:gridCol w:w="727"/>
        <w:gridCol w:w="372"/>
        <w:gridCol w:w="227"/>
        <w:gridCol w:w="727"/>
        <w:gridCol w:w="346"/>
        <w:gridCol w:w="211"/>
        <w:gridCol w:w="676"/>
        <w:gridCol w:w="346"/>
        <w:gridCol w:w="211"/>
        <w:gridCol w:w="721"/>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877185" cy="175260"/>
                      <wp:effectExtent l="0" t="0" r="0" b="0"/>
                      <wp:wrapNone/>
                      <wp:docPr id="100" name="Frame100"/>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61645" cy="175260"/>
                      <wp:effectExtent l="0" t="0" r="0" b="0"/>
                      <wp:wrapNone/>
                      <wp:docPr id="101" name="Frame101"/>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6220" cy="175260"/>
                      <wp:effectExtent l="0" t="0" r="0" b="0"/>
                      <wp:wrapNone/>
                      <wp:docPr id="102" name="Frame10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61645" cy="175260"/>
                      <wp:effectExtent l="0" t="0" r="0" b="0"/>
                      <wp:wrapNone/>
                      <wp:docPr id="103" name="Frame103"/>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57835" cy="175260"/>
                      <wp:effectExtent l="0" t="0" r="0" b="0"/>
                      <wp:wrapNone/>
                      <wp:docPr id="106" name="Frame1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July 31, </w:t>
            </w:r>
          </w:p>
        </w:tc>
        <w:tc>
          <w:tcPr>
            <w:tcW w:w="34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July 31, </w:t>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2" w:type="dxa"/>
            <w:tcBorders/>
            <w:vAlign w:val="center"/>
          </w:tcPr>
          <w:p>
            <w:pPr>
              <w:pStyle w:val="TableContents"/>
              <w:bidi w:val="0"/>
              <w:spacing w:before="0" w:after="1"/>
              <w:ind w:left="0" w:right="0" w:hanging="0"/>
              <w:jc w:val="left"/>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6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91"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 except share and per share amounts)</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20,213</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18,698</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42,399</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43,254</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5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42,399</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43,254</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restricted stock unit awards and stock options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44,338</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44,795</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0.46</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0.42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bookmarkStart w:id="1134" w:name="Tc_OauEDA9u6Uy-yHl72TJtew_8_8"/>
      <w:bookmarkStart w:id="1135" w:name="Tc_oKDSJvvt1kuS4uZFgJ5drw_8_5"/>
      <w:bookmarkStart w:id="1136" w:name="Tc_QbKwxooVTUy0l4VS2hQn6g_8_2"/>
      <w:bookmarkStart w:id="1137" w:name="Tc_0XxdmVUpBUCKcZ_LhmJyaQ_8_0"/>
      <w:bookmarkStart w:id="1138" w:name="Tc_mG7GGB4nREOYl8JYhBTaUQ_7_0"/>
      <w:bookmarkStart w:id="1139" w:name="Tc_V7N_DlGW202ZCSAeRqxh3w_6_0"/>
      <w:bookmarkStart w:id="1140" w:name="Tc_yGCOuu9DF0atfHZ66_5L4Q_5_0"/>
      <w:bookmarkStart w:id="1141" w:name="Tc_VQ9rEKE8Q0qK8EO_0Ua-ew_4_0"/>
      <w:bookmarkStart w:id="1142" w:name="Tc_mLY5MhwexECtB-rnnvYJ2w_3_8"/>
      <w:bookmarkStart w:id="1143" w:name="Tc_9NO4EmwHVU25Kvw0VAATxA_3_5"/>
      <w:bookmarkStart w:id="1144" w:name="Tc_PPoPSLrbSkyvEx-0xij1UQ_3_2"/>
      <w:bookmarkStart w:id="1145" w:name="Tc_PDQqcqw8CESob3S8nPo_Hw_3_0"/>
      <w:bookmarkStart w:id="1146" w:name="Tc_jkYt24hx10OniLwRCbuFFg_2_2"/>
      <w:bookmarkStart w:id="1147" w:name="Tc_LMhzRxzmQ0C771SykrLV_g_1_8"/>
      <w:bookmarkStart w:id="1148" w:name="Tc_bqRSB7YmvUKex7PGJUFTpQ_1_5"/>
      <w:bookmarkStart w:id="1149" w:name="Tc_sPGmTh_ytUOpT_Nphp8H_g_1_2"/>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NOTE 7 – NOTES PAYABLE </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Long-term debt consists of the following: </w:t>
      </w:r>
    </w:p>
    <w:p>
      <w:pPr>
        <w:pStyle w:val="TextBody"/>
        <w:bidi w:val="0"/>
        <w:spacing w:before="0" w:after="0"/>
        <w:ind w:left="0" w:right="0" w:hanging="0"/>
        <w:jc w:val="left"/>
        <w:rPr/>
      </w:pPr>
      <w:r>
        <w:rPr/>
        <w:t>​</w:t>
      </w:r>
    </w:p>
    <w:tbl>
      <w:tblPr>
        <w:tblW w:w="7969" w:type="dxa"/>
        <w:jc w:val="left"/>
        <w:tblInd w:w="0" w:type="dxa"/>
        <w:tblLayout w:type="fixed"/>
        <w:tblCellMar>
          <w:top w:w="0" w:type="dxa"/>
          <w:left w:w="0" w:type="dxa"/>
          <w:bottom w:w="0" w:type="dxa"/>
          <w:right w:w="0" w:type="dxa"/>
        </w:tblCellMar>
      </w:tblPr>
      <w:tblGrid>
        <w:gridCol w:w="3301"/>
        <w:gridCol w:w="346"/>
        <w:gridCol w:w="256"/>
        <w:gridCol w:w="839"/>
        <w:gridCol w:w="346"/>
        <w:gridCol w:w="256"/>
        <w:gridCol w:w="839"/>
        <w:gridCol w:w="346"/>
        <w:gridCol w:w="321"/>
        <w:gridCol w:w="1119"/>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96135" cy="175260"/>
                      <wp:effectExtent l="0" t="0" r="0" b="0"/>
                      <wp:wrapNone/>
                      <wp:docPr id="107" name="Frame10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2560" cy="175260"/>
                      <wp:effectExtent l="0" t="0" r="0" b="0"/>
                      <wp:wrapNone/>
                      <wp:docPr id="109" name="Frame10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32765" cy="175260"/>
                      <wp:effectExtent l="0" t="0" r="0" b="0"/>
                      <wp:wrapNone/>
                      <wp:docPr id="110" name="Frame110"/>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2560" cy="175260"/>
                      <wp:effectExtent l="0" t="0" r="0" b="0"/>
                      <wp:wrapNone/>
                      <wp:docPr id="112" name="Frame11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32765" cy="175260"/>
                      <wp:effectExtent l="0" t="0" r="0" b="0"/>
                      <wp:wrapNone/>
                      <wp:docPr id="113" name="Frame113"/>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3835" cy="175260"/>
                      <wp:effectExtent l="0" t="0" r="0" b="0"/>
                      <wp:wrapNone/>
                      <wp:docPr id="115" name="Frame115"/>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10565" cy="175260"/>
                      <wp:effectExtent l="0" t="0" r="0" b="0"/>
                      <wp:wrapNone/>
                      <wp:docPr id="116" name="Frame116"/>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c>
          <w:tcPr>
            <w:tcW w:w="346" w:type="dxa"/>
            <w:tcBorders/>
            <w:vAlign w:val="center"/>
          </w:tcPr>
          <w:p>
            <w:pPr>
              <w:pStyle w:val="TableContents"/>
              <w:bidi w:val="0"/>
              <w:spacing w:before="0" w:after="1"/>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796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22"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2,224</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5,180</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credit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4,563</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4,696</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7,835</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15,481</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(8,612)</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(7,104)</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4,173</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6,869</w:t>
            </w:r>
          </w:p>
        </w:tc>
        <w:tc>
          <w:tcPr>
            <w:tcW w:w="346" w:type="dxa"/>
            <w:tcBorders/>
            <w:vAlign w:val="center"/>
          </w:tcPr>
          <w:p>
            <w:pPr>
              <w:pStyle w:val="TableContents"/>
              <w:bidi w:val="0"/>
              <w:spacing w:before="0" w:after="1"/>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4,638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Third Amended and Restated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4, 2024, the Company’s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$700.0 million. The Company and certain of its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$650.0 million and was due to expire on August 7, 2025. The Third ABL Credit Agreement extends the maturity date to June 2029, subject to a springing maturity date as defined within the credit agreement.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As of July 31, 2026, interest under the Third ABL Credit Agreement was being paid at an average rate of 7.25% per annum. </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50" w:name="_Hlk143859581"/>
      <w:bookmarkEnd w:id="1150"/>
      <w:r>
        <w:rPr>
          <w:rFonts w:ascii="Times New Roman;Times;serif" w:hAnsi="Times New Roman;Times;serif"/>
          <w:sz w:val="20"/>
        </w:rPr>
        <w:t>The Third ABL Credit Agreement is secured by specified assets of the Borrowers and the Guarantors. In addition to paying interest on any outstanding borrowings under the Third ABL Credit Agreement, the Company is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2026, the Company was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the Company had no borrowings outstanding under the Third ABL Credit Agreement. The Third ABL Credit Agreement also includes amounts available for letters of credit. As of July 31, 2026, there were no outstanding trade letters of credit and $2.5 million of standby letters of credit.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total of $6.3 million in debt issuance costs related to its Third ABL Credit Agreement. As permitted under Accounting Standards Codification (“ASC”) 835, the debt issuance costs have been deferred and are presented as an asset which is amortized ratably over the term of the Third ABL Credit Agreement. Total debt issuance costs, net of amortization, were $3.6 million, $4.8 million and $4.2 million as of July 31, 2026, July 31, 2025 and January 31,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Unsecured Loans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to provide funding for operations in the normal course of business. In the aggregate, the Company is currently required to make quarterly installment payments of principal in the amount of €0.8 million under these loans. Interest on the outstanding principal amount of the unsecured loans accrues at a fixed rate equal to 0% to 5.0% per annum, payable on either a quarterly or monthly basis. As of July 31, 2026, the Company had an aggregate outstanding balance of €1.9 million ($2.2 million) under these unsecured loans.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(“EURIBOR”) plus a margin of 1.75% per annum, payable quarterly. The facility may be cancelled at any time by the Company or HSBC Bank. Additionally, certain of the Company’s foreign entities entered into overdraft facilities with UBS Bank in Switzerland for an aggregate of CHF 4.7 million at varying interest rates of 0% to 0.5%. As of July 31, 2026, the Company had an aggregate outstanding balance of €0.9 million ($1.0 million) under these various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has a credit agreement with ABN AMRO Bank N.V. with a credit limit of €15.0 million which is secured by specified assets of KLH. Borrowings bear interest at the EURIBOR plus a margin of 1.7%. A subsidiary of Vilebrequin has a credit agreement with CIC Bank with a credit limit of €5.0 million. Borrowings bear interest at the Euro Short-Term Rate plus a margin of 1.75%. As of July 31, 2026, the Company had an aggregate outstanding balance of €4.0 million ($4.6 million) under these credit facilities.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151" w:name="_5a527a30_5957_4f4d_989a_5bd317c016aa_3"/>
      <w:bookmarkStart w:id="1152" w:name="_5a527a30_5957_4f4d_989a_5bd317c016aa_2"/>
      <w:bookmarkStart w:id="1153" w:name="_5a527a30_5957_4f4d_989a_5bd317c016aa"/>
      <w:bookmarkEnd w:id="1151"/>
      <w:bookmarkEnd w:id="1152"/>
      <w:bookmarkEnd w:id="1153"/>
      <w:r>
        <w:rPr>
          <w:rFonts w:ascii="Times New Roman;Times;serif" w:hAnsi="Times New Roman;Times;serif"/>
          <w:b/>
          <w:sz w:val="20"/>
        </w:rPr>
        <w:t>NOTE 8 – SUPPLY CHAIN FINANCE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voluntary supply chain finance program (the “SCF Program”) administered through a third-party platform. The Company’s payment obligations confirmed under the SCF Program are due to a financial intermediary that will remit payment to the Company’s suppliers. The SCF Program also provides participating suppliers with the option to sell their receivables due from the Company, at their sole discretion, to a third-party financial institution at terms negotiated between the supplier and the financial institution. The Company is not a party to the agreements between the suppliers and the financial institution. The Company’s payment obligations to its suppliers, including the amounts due and payment terms, which generally do not exceed 75 days, are not impacted by a supplier’s participation in the SCF Program. There are no assets pledged as security or other forms of guarantees provided specifically under the SCF Program; however, the obligations under the SCF Program benefit from guarantees and collateral provided under our revolving credit facility to which the financial institutions involved in the SCF Program are parties.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outstanding payment obligations under its SCF Program are recorded within accounts payable in the Company’s condensed consolidated balance sheets and the corresponding payments are reflected in cash flows from operating activities within the Company’s condensed consolidated statements of cash flows. The Company had $175.5 million and $205.3 million of payment obligations outstanding under the SCF Program as of July 31, 2026 and 2025, respectively. The Company settled obligations of $177.0 million and $343.6 million through the SCF Program during the three and six months ended July 31, 2026. The Company settled obligations of $89.8 million and $131.6 million through the SCF Program during the three and six months ended July 31, 2025.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9 – 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ASC 606 – </w:t>
      </w:r>
      <w:r>
        <w:rPr>
          <w:rFonts w:ascii="Times New Roman;Times;serif" w:hAnsi="Times New Roman;Times;serif"/>
          <w:i/>
          <w:sz w:val="20"/>
        </w:rPr>
        <w:t>Revenue from Contracts with Customers</w:t>
      </w:r>
      <w:r>
        <w:rPr>
          <w:rFonts w:ascii="Times New Roman;Times;serif" w:hAnsi="Times New Roman;Times;serif"/>
          <w:sz w:val="20"/>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Wholesale Operations Segment. </w:t>
      </w:r>
      <w:r>
        <w:rPr>
          <w:rFonts w:ascii="Times New Roman;Times;serif" w:hAnsi="Times New Roman;Times;serif"/>
          <w:sz w:val="20"/>
        </w:rPr>
        <w:t xml:space="preserve">Wholesale revenues include sales of products to retailers under owned, licensed and private label brands, as well as sales related to the Karl Lagerfeld and Vilebrequin businesses, including from retail stores operated by Karl Lagerfeld and Vilebrequin, other than sales of product under the Karl Lagerfeld Paris brand generated by the Company’s retail stores and digital platforms.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trademarks associated with the Company’s owned brands. As of July 31, 2026, revenues from license agreements related to trademarks associated with the Company’s owned brands represented an insignificant portion of wholesale revenues.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Retail Operations Segment. </w:t>
      </w:r>
      <w:r>
        <w:rPr>
          <w:rFonts w:ascii="Times New Roman;Times;serif" w:hAnsi="Times New Roman;Times;serif"/>
          <w:sz w:val="20"/>
        </w:rPr>
        <w:t xml:space="preserve">Retail store revenues are generated by direct sales to consumers through company operated 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in North America.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Contract Liabilities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contract liabilities, which are recorded within accrued expenses in the accompanying condensed consolidated balance sheets, primarily consist of gift card liabilities and advance payments from licensees. Total contract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liabilities were $5.1 million, $5.8 million and $6.2 million at July 31, 2026, July 31, 2025 and January 31, 2026, respectively. The Company recognized $3.4 million in revenue for the three months ended July 31, 2026 related to contract liabilities that existed at April 30, 2026. The Company recognized $4.7 million in revenue for the six months ended July 31, 2026 related to contract liabilities that existed at January 31, 2026. There were no contract assets recorded as of July 31, 2026, July 31, 2025 and January 31, 2026. Substantially all of the advance payments from licensees as of July 31, 2026 are expected to be recognized as revenue within the next twelve months.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54" w:name="Tc_JMBikcMWAEqvNdM2UAZp2w_14_11"/>
      <w:bookmarkStart w:id="1155" w:name="Tc_W1X77rkH0E6e3f1pyzTn_A_14_9"/>
      <w:bookmarkStart w:id="1156" w:name="Tc_Dn48fWYH1EqCjX8jo9d4qw_14_8"/>
      <w:bookmarkStart w:id="1157" w:name="Tc_NC-SHj4hN0WirqvT-Ex3bg_14_5"/>
      <w:bookmarkStart w:id="1158" w:name="Tc_QtzdRmlSXEm5Wt5ddqSFvQ_14_2"/>
      <w:bookmarkStart w:id="1159" w:name="Tc__P0zDSWzoUWQ45F_nmmR_w_14_0"/>
      <w:bookmarkStart w:id="1160" w:name="Tc_AaEI4oUkwU6T2Ev4XzrbUw_13_9"/>
      <w:bookmarkStart w:id="1161" w:name="Tc_dAjfO54VNkmmd4z4RQfbzQ_13_0"/>
      <w:bookmarkStart w:id="1162" w:name="Tc_XNdTT6OPYEKPgC60OYOefg_12_9"/>
      <w:bookmarkStart w:id="1163" w:name="Tc_C880A8pAvUGesqvkkS5p7A_12_0"/>
      <w:bookmarkStart w:id="1164" w:name="Tc_b4wrNuvjUUmd1zpYK-nCtA_11_9"/>
      <w:bookmarkStart w:id="1165" w:name="Tc_M8YtIRuLhE2iiLOqAT6s8g_11_0"/>
      <w:bookmarkStart w:id="1166" w:name="Tc_nMFpI-SBREq4Z5Vj9gWZ1A_10_9"/>
      <w:bookmarkStart w:id="1167" w:name="Tc_Iao1HdPu6U2_IFvOVFoV0Q_10_0"/>
      <w:bookmarkStart w:id="1168" w:name="Tc_Yuz7_ziVPUaeS4xHib98zQ_9_9"/>
      <w:bookmarkStart w:id="1169" w:name="Tc_JwBXOTYg-kOnw23_9-523g_9_0"/>
      <w:bookmarkStart w:id="1170" w:name="Tc_4FfXKSWN1U-A4yhlkyVUPQ_8_9"/>
      <w:bookmarkStart w:id="1171" w:name="Tc_DAT6ebsVsEuSNHzP_dxN7w_8_0"/>
      <w:bookmarkStart w:id="1172" w:name="Tc_5YjNZAxIs0SxvynXmTxuoQ_7_0"/>
      <w:bookmarkStart w:id="1173" w:name="Tc_c-HENbYTYE-6AOvXcCeRpg_6_9"/>
      <w:bookmarkStart w:id="1174" w:name="Tc_QnLrzgXzkEOdYk-xCc6iMw_6_0"/>
      <w:bookmarkStart w:id="1175" w:name="Tc_JLoxDfEmSUyM7bHq2gsUUw_5_4"/>
      <w:bookmarkStart w:id="1176" w:name="Tc_-zwk5s_6VkepXvScdOyo6w_5_0"/>
      <w:bookmarkStart w:id="1177" w:name="Tc_JsbDhPEtg0auQbwPRVcIrQ_4_11"/>
      <w:bookmarkStart w:id="1178" w:name="Tc_jeEXIrJCNEGU-6GXP4jI8w_4_8"/>
      <w:bookmarkStart w:id="1179" w:name="Tc_lTH5VrggZkGYO7gYdcSw7w_4_5"/>
      <w:bookmarkStart w:id="1180" w:name="Tc_665w-7foOESmiXBVPAIQ4g_4_2"/>
      <w:bookmarkStart w:id="1181" w:name="Tc_pDvGBfqbDUGYGNN99o1yfw_4_0"/>
      <w:bookmarkStart w:id="1182" w:name="Tc_-4eviTEnxkmCkH500bphQw_3_2"/>
      <w:bookmarkStart w:id="1183" w:name="Tc_GahDNO5DEkOsUbYaoV7WGg_2_11"/>
      <w:bookmarkStart w:id="1184" w:name="Tc_KZUISWybFky0EXboQNuQBg_2_8"/>
      <w:bookmarkStart w:id="1185" w:name="Tc_FHhxp_DgCUS9KcrJjza0iA_2_5"/>
      <w:bookmarkStart w:id="1186" w:name="Tc_BOnHkJ758Eys092NIW8IkQ_2_2"/>
      <w:bookmarkStart w:id="1187" w:name="Tc_IVaa-bwoDUeVtnLSII_FMg_1_2"/>
      <w:bookmarkStart w:id="1188" w:name="_4e3b0e27_44ed_4574_80e4_7309f32123ab"/>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r>
        <w:rPr>
          <w:rFonts w:ascii="Times New Roman;Times;serif" w:hAnsi="Times New Roman;Times;serif"/>
          <w:b/>
          <w:sz w:val="20"/>
        </w:rPr>
        <w:t>NOTE 10 – 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platforms. Wholesale revenues also include revenues from license agreements related to trademarks associated with the Company’s owned brands. The retail operations segment consists primarily of direct sales to consumers through company operated stores, which consist primarily of DKNY and Karl Lagerfeld Paris stores, as well as the digital channels for DKNY, Donna Karan, Karl Lagerfeld Paris, G.H. Bass and Wilsons Leather. Substantially all DKNY and Karl Lagerfeld Paris stores are operated as outlet stores in North America.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determines its operating segments based on how the Chief Operating Decision Maker (“CODM”) views and analyzes each segment’s operations and performance. The Company’s CODM is its Chief Executive Officer. The CODM utilizes operating profit or loss as the measure of segment profit or loss. The CODM uses operating profit or loss to determine resource allocation and operational decisions for matters including, but not limited to, compensation, advertising and facilities needs.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segment information is presented for the three month periods indicated below: </w:t>
      </w:r>
    </w:p>
    <w:p>
      <w:pPr>
        <w:pStyle w:val="TextBody"/>
        <w:bidi w:val="0"/>
        <w:spacing w:before="0" w:after="240"/>
        <w:ind w:left="0" w:right="0" w:hanging="0"/>
        <w:jc w:val="both"/>
        <w:rPr/>
      </w:pPr>
      <w:r>
        <w:rPr/>
        <w:t>​</w:t>
      </w:r>
    </w:p>
    <w:tbl>
      <w:tblPr>
        <w:tblW w:w="9641" w:type="dxa"/>
        <w:jc w:val="left"/>
        <w:tblInd w:w="0" w:type="dxa"/>
        <w:tblLayout w:type="fixed"/>
        <w:tblCellMar>
          <w:top w:w="0" w:type="dxa"/>
          <w:left w:w="0" w:type="dxa"/>
          <w:bottom w:w="0" w:type="dxa"/>
          <w:right w:w="0" w:type="dxa"/>
        </w:tblCellMar>
      </w:tblPr>
      <w:tblGrid>
        <w:gridCol w:w="4186"/>
        <w:gridCol w:w="346"/>
        <w:gridCol w:w="211"/>
        <w:gridCol w:w="781"/>
        <w:gridCol w:w="346"/>
        <w:gridCol w:w="211"/>
        <w:gridCol w:w="691"/>
        <w:gridCol w:w="346"/>
        <w:gridCol w:w="239"/>
        <w:gridCol w:w="901"/>
        <w:gridCol w:w="346"/>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58110" cy="175260"/>
                      <wp:effectExtent l="0" t="0" r="0" b="0"/>
                      <wp:wrapNone/>
                      <wp:docPr id="117" name="Frame117"/>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38785" cy="175260"/>
                      <wp:effectExtent l="0" t="0" r="0" b="0"/>
                      <wp:wrapNone/>
                      <wp:docPr id="120" name="Frame1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2135" cy="175260"/>
                      <wp:effectExtent l="0" t="0" r="0" b="0"/>
                      <wp:wrapNone/>
                      <wp:docPr id="121" name="Frame1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24510" cy="175260"/>
                      <wp:effectExtent l="0" t="0" r="0" b="0"/>
                      <wp:wrapNone/>
                      <wp:docPr id="123" name="Frame1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31, 2026</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6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554,093</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300,448</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(2)</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19,540</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303,712</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250,381</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106,930</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52,078</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21,306</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51,040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231,354</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10,832</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89" w:name="Tc_P5VH4DgrnE2Yepa67ELPtg_14_11"/>
      <w:bookmarkStart w:id="1190" w:name="Tc_pARaw15gkUGA_r0bZTZ7RQ_14_9"/>
      <w:bookmarkStart w:id="1191" w:name="Tc_KUtE4-nZsEahlcRxKF3rLg_14_8"/>
      <w:bookmarkStart w:id="1192" w:name="Tc_S-y2EcIDlUe82z4pq_FnwQ_14_5"/>
      <w:bookmarkStart w:id="1193" w:name="Tc_dWNLA0CuNEWvU7APbFpwDA_14_2"/>
      <w:bookmarkStart w:id="1194" w:name="Tc_DR1liGnbNkm_u49s4aJGlA_14_0"/>
      <w:bookmarkStart w:id="1195" w:name="Tc_qs93ez6nok-KRJQdqJ5wDg_13_9"/>
      <w:bookmarkStart w:id="1196" w:name="Tc_CPWr7PubZU6OCNqK3SWGbw_13_0"/>
      <w:bookmarkStart w:id="1197" w:name="Tc_JQbDcoNtaUq0Csel61hiTw_12_9"/>
      <w:bookmarkStart w:id="1198" w:name="Tc_3GnydLL9lkGrX98Mb7cqig_12_0"/>
      <w:bookmarkStart w:id="1199" w:name="Tc_6_ADU8yMCEij2nmQggYUWQ_11_9"/>
      <w:bookmarkStart w:id="1200" w:name="Tc_-5p1EE8Pw06aV1fr4s9IhQ_11_0"/>
      <w:bookmarkStart w:id="1201" w:name="Tc_1_qgBYz5nEKJFIcLJPXoQA_10_9"/>
      <w:bookmarkStart w:id="1202" w:name="Tc_i_5cdcEC9k-3UxkyTZ7N2Q_10_0"/>
      <w:bookmarkStart w:id="1203" w:name="Tc_h7T5EE-n_E2twIQfpE3pug_9_9"/>
      <w:bookmarkStart w:id="1204" w:name="Tc_DJ9Xskhouk-b8pa6rLi1ig_9_0"/>
      <w:bookmarkStart w:id="1205" w:name="Tc_Tl_zMJQmiki1MdOu9cLwVw_8_9"/>
      <w:bookmarkStart w:id="1206" w:name="Tc_hdeAOyiy8E2G1zeKTFGw_A_8_0"/>
      <w:bookmarkStart w:id="1207" w:name="Tc_JBFYeh1oVUmPk3UKeVIYAQ_7_0"/>
      <w:bookmarkStart w:id="1208" w:name="Tc_V2NeHQ06v0CJoq-7RMMAmA_6_9"/>
      <w:bookmarkStart w:id="1209" w:name="Tc_uG57AsqUWkiLki1arNoUXA_6_0"/>
      <w:bookmarkStart w:id="1210" w:name="Tc_9PeFDfqyXEeIdbMDm5Uidg_5_0"/>
      <w:bookmarkStart w:id="1211" w:name="Tc_pHd76UD5Y0qeX-vb-XM9Ew_4_11"/>
      <w:bookmarkStart w:id="1212" w:name="Tc_vPZGJ9R23kuwOYbLO5OsMw_4_8"/>
      <w:bookmarkStart w:id="1213" w:name="Tc_6SVhyAFbnE2leAbZdNTOUA_4_5"/>
      <w:bookmarkStart w:id="1214" w:name="Tc_58dPhOGR3E-dTWSR7hHC_A_4_2"/>
      <w:bookmarkStart w:id="1215" w:name="Tc_p5VkxsOsbk-9k61nu6oh_w_4_0"/>
      <w:bookmarkStart w:id="1216" w:name="Tc_qBZQzQE9u0-Q3VuZTotgig_3_2"/>
      <w:bookmarkStart w:id="1217" w:name="Tc_gmSOu48EV0OTDJI64GcPnQ_2_11"/>
      <w:bookmarkStart w:id="1218" w:name="Tc_2u-P-gMZjUubqNMqA4CrJQ_2_8"/>
      <w:bookmarkStart w:id="1219" w:name="Tc_aj7RpYJfvkeRGV1alw6lLg_2_5"/>
      <w:bookmarkStart w:id="1220" w:name="Tc_WyBkZWe5kUCEsHYsjFMclA_2_2"/>
      <w:bookmarkStart w:id="1221" w:name="Tc_Jt0E-HlGh0Cy9NNlHNDL4A_1_2"/>
      <w:bookmarkStart w:id="1222" w:name="_1822776c_e1d5_4914_93d1_5fc738814cc6"/>
      <w:bookmarkStart w:id="1223" w:name="Tc_QVPBeThIBE6oHaAymGHjVg_15_11"/>
      <w:bookmarkStart w:id="1224" w:name="Tc_qHVWjdf1xEW0-LUeJxeueQ_15_9"/>
      <w:bookmarkStart w:id="1225" w:name="Tc_CT8EygtzCkG4cru5YgaVng_15_8"/>
      <w:bookmarkStart w:id="1226" w:name="Tc_GZyuEQ-h106CIcEZdOcmDQ_15_5"/>
      <w:bookmarkStart w:id="1227" w:name="Tc_60dCjq4QMUmAyKBPOk2x6Q_15_2"/>
      <w:bookmarkStart w:id="1228" w:name="Tc_5QMSuBvQqkaRQVqeddvoiQ_15_0"/>
      <w:bookmarkStart w:id="1229" w:name="Tc_trWI0G9UU0Snzgr5oR9OOg_14_12"/>
      <w:bookmarkStart w:id="1230" w:name="Tc_zUVuvL766k26eukNLJ5Rsg_14_9"/>
      <w:bookmarkStart w:id="1231" w:name="Tc_FYITXwGCnUOBj-_iGYiVMQ_14_6"/>
      <w:bookmarkStart w:id="1232" w:name="Tc_ABDHFQfYk0eV0SSMjqwJOQ_14_3"/>
      <w:bookmarkStart w:id="1233" w:name="Tc_GIbJAZBWzEajZdfU8r7XaA_14_0"/>
      <w:bookmarkStart w:id="1234" w:name="Tc_LfFx8sALT0CEZ2ZmJq4g9A_13_9"/>
      <w:bookmarkStart w:id="1235" w:name="Tc_xb8ne2mYkUyZGmlqZG29eQ_13_0"/>
      <w:bookmarkStart w:id="1236" w:name="Tc_qWztdZWeQE-XK2DnBBlYCA_12_9"/>
      <w:bookmarkStart w:id="1237" w:name="Tc_lGTlDinopkOPAFBxRGZaZA_12_0"/>
      <w:bookmarkStart w:id="1238" w:name="Tc_uWZfB0QQHE6pmPSI0JRc_A_11_9"/>
      <w:bookmarkStart w:id="1239" w:name="Tc_a_T8-nEZEU-mFeleU661vA_11_0"/>
      <w:bookmarkStart w:id="1240" w:name="Tc_hJlTzEkKx0yoKU0jRgAsLQ_10_9"/>
      <w:bookmarkStart w:id="1241" w:name="Tc_bGx4s3hp5Ea7dzeCu_QYAw_10_0"/>
      <w:bookmarkStart w:id="1242" w:name="Tc_hykeIzNaQEaHRFFyQsvRZQ_9_9"/>
      <w:bookmarkStart w:id="1243" w:name="Tc_ulGGAGErqEe2UVPlWhEMjg_9_0"/>
      <w:bookmarkStart w:id="1244" w:name="Tc_Q2GITCdwrUmTRnBB_pHzZQ_8_9"/>
      <w:bookmarkStart w:id="1245" w:name="Tc_h3Tzva7-n0Wj3yR6PMq3-Q_8_0"/>
      <w:bookmarkStart w:id="1246" w:name="Tc_PVxuNSN4MEKwYu8QF6KLeQ_7_0"/>
      <w:bookmarkStart w:id="1247" w:name="Tc_gYrdv2L_iEGn7k8Yq0nbBQ_6_9"/>
      <w:bookmarkStart w:id="1248" w:name="Tc_x6YR_fes1UCRGDVN4TkvFQ_6_0"/>
      <w:bookmarkStart w:id="1249" w:name="Tc_LvVk1n9H9ECeawueI-BYyA_5_4"/>
      <w:bookmarkStart w:id="1250" w:name="Tc_fV8dN8sXLkq4Cpw47PsHsw_5_0"/>
      <w:bookmarkStart w:id="1251" w:name="Tc_0BSeBMpw2EqVXAEff496yQ_4_11"/>
      <w:bookmarkStart w:id="1252" w:name="Tc_4UK9NtJs3ka_Rtq_iJsVNg_4_8"/>
      <w:bookmarkStart w:id="1253" w:name="Tc_SBveyRPlYkuM8FVvIxgnOw_4_5"/>
      <w:bookmarkStart w:id="1254" w:name="Tc_7DbA4s9vBUe6ESYXESZQxw_4_2"/>
      <w:bookmarkStart w:id="1255" w:name="Tc_3LG4yQ3DgEeLpSmv_hZzkA_4_0"/>
      <w:bookmarkStart w:id="1256" w:name="Tc_SJ8QagAhtU-oFBevbsJYkQ_3_2"/>
      <w:bookmarkStart w:id="1257" w:name="Tc_qDCc42LNNUuTr8k72dCKYA_2_11"/>
      <w:bookmarkStart w:id="1258" w:name="Tc_umnnJ5kfmkiY4PKxd3NnJw_2_8"/>
      <w:bookmarkStart w:id="1259" w:name="Tc_MrTiuHEqB0S7Q-VsagGpCg_2_5"/>
      <w:bookmarkStart w:id="1260" w:name="Tc_FxsPoC2vBkWUWdAApy3w-Q_2_2"/>
      <w:bookmarkStart w:id="1261" w:name="Tc_uHBL6ukVbE-pDTk6PztbhQ_1_2"/>
      <w:bookmarkStart w:id="1262" w:name="_10b2582d_dbf5_4d7e_b777_dae0a7082c63"/>
      <w:bookmarkStart w:id="1263" w:name="Tc_lGyU0NJLJ0S6bwUGccUtAg_14_11"/>
      <w:bookmarkStart w:id="1264" w:name="Tc_rTFsYxKb6kGpXOvsg4r6oA_14_9"/>
      <w:bookmarkStart w:id="1265" w:name="Tc_aw1_3LfAE0CwywQh_5rdwQ_14_8"/>
      <w:bookmarkStart w:id="1266" w:name="Tc__Qzd5VPwzE6GYWjhGVWeJw_14_5"/>
      <w:bookmarkStart w:id="1267" w:name="Tc_GYZt6pustEOnqa3HwI31fA_14_2"/>
      <w:bookmarkStart w:id="1268" w:name="Tc_Srl8QUhjakCMWZJKdm_7mQ_14_0"/>
      <w:bookmarkStart w:id="1269" w:name="Tc_nPivi1XWuE249DGCUwkarQ_13_9"/>
      <w:bookmarkStart w:id="1270" w:name="Tc_cxTANEn8Y0GXJqX0JyOggQ_13_0"/>
      <w:bookmarkStart w:id="1271" w:name="Tc_b4GR0K0TrESZmY0xuTxA4g_12_9"/>
      <w:bookmarkStart w:id="1272" w:name="Tc_fOYTxyJ2LEudYA8wtU4U8g_12_0"/>
      <w:bookmarkStart w:id="1273" w:name="Tc_gpSJ4CYbPECTeEpFZ9POMw_11_9"/>
      <w:bookmarkStart w:id="1274" w:name="Tc_JirkWQvN5UatbX2y062v5g_11_0"/>
      <w:bookmarkStart w:id="1275" w:name="Tc_qpYx_pn2OkSig3q2_FoWgg_10_9"/>
      <w:bookmarkStart w:id="1276" w:name="Tc_n1IbaZRF5kWVfnTA2egiyg_10_0"/>
      <w:bookmarkStart w:id="1277" w:name="Tc_Rnvym_srSk-Q8129HGSXqg_9_9"/>
      <w:bookmarkStart w:id="1278" w:name="Tc_l0dxnyb4hEaAZt62uN_lVA_9_0"/>
      <w:bookmarkStart w:id="1279" w:name="Tc_JqzSw5JwiE67ZeCMfN18hA_8_9"/>
      <w:bookmarkStart w:id="1280" w:name="Tc_LGTQghlMUU-xqajPiUHTqg_8_0"/>
      <w:bookmarkStart w:id="1281" w:name="Tc_0IJo2UGRJ0Wqbuu8dNY78g_7_0"/>
      <w:bookmarkStart w:id="1282" w:name="Tc_h0t-DclrGU-0kGCFgwIeHA_6_9"/>
      <w:bookmarkStart w:id="1283" w:name="Tc_442u00cYXk6qodLJa45oLQ_6_0"/>
      <w:bookmarkStart w:id="1284" w:name="Tc_EUVmwXLSCUeBakJ3WKus0w_5_0"/>
      <w:bookmarkStart w:id="1285" w:name="Tc_KXK4kRF3Qka8WvIlCvNHsg_4_11"/>
      <w:bookmarkStart w:id="1286" w:name="Tc_qFw6r-3sHUmJbe98scvTrg_4_8"/>
      <w:bookmarkStart w:id="1287" w:name="Tc_vOmurIBWyE6NJD_I2Tw_GA_4_5"/>
      <w:bookmarkStart w:id="1288" w:name="Tc_LfhugpQqWkWolKgPLgkL_A_4_2"/>
      <w:bookmarkStart w:id="1289" w:name="Tc_KEKDNczfN0WYmP1G60TDkg_4_0"/>
      <w:bookmarkStart w:id="1290" w:name="Tc_rwiDTqxUxkmQRzHjDUH_SQ_3_2"/>
      <w:bookmarkStart w:id="1291" w:name="Tc_DgqVuPAPKkmayEdvC3dcIg_2_11"/>
      <w:bookmarkStart w:id="1292" w:name="Tc_KhCh11k8vUeQ9TK36wSLvQ_2_8"/>
      <w:bookmarkStart w:id="1293" w:name="Tc_5nSiVh_Jr0ymwNP_pcj2fA_2_5"/>
      <w:bookmarkStart w:id="1294" w:name="Tc_zaMmDN5lBkC8aTfHyQEGGg_2_2"/>
      <w:bookmarkStart w:id="1295" w:name="Tc_ygJioHVirU6fEZ2fYErJlQ_1_2"/>
      <w:bookmarkStart w:id="1296" w:name="_25566d4f_70c5_4b5c_8f40_d24f8d33c5f8"/>
      <w:bookmarkStart w:id="1297" w:name="Tc_P5VH4DgrnE2Yepa67ELPtg_14_11"/>
      <w:bookmarkStart w:id="1298" w:name="Tc_pARaw15gkUGA_r0bZTZ7RQ_14_9"/>
      <w:bookmarkStart w:id="1299" w:name="Tc_KUtE4-nZsEahlcRxKF3rLg_14_8"/>
      <w:bookmarkStart w:id="1300" w:name="Tc_S-y2EcIDlUe82z4pq_FnwQ_14_5"/>
      <w:bookmarkStart w:id="1301" w:name="Tc_dWNLA0CuNEWvU7APbFpwDA_14_2"/>
      <w:bookmarkStart w:id="1302" w:name="Tc_DR1liGnbNkm_u49s4aJGlA_14_0"/>
      <w:bookmarkStart w:id="1303" w:name="Tc_qs93ez6nok-KRJQdqJ5wDg_13_9"/>
      <w:bookmarkStart w:id="1304" w:name="Tc_CPWr7PubZU6OCNqK3SWGbw_13_0"/>
      <w:bookmarkStart w:id="1305" w:name="Tc_JQbDcoNtaUq0Csel61hiTw_12_9"/>
      <w:bookmarkStart w:id="1306" w:name="Tc_3GnydLL9lkGrX98Mb7cqig_12_0"/>
      <w:bookmarkStart w:id="1307" w:name="Tc_6_ADU8yMCEij2nmQggYUWQ_11_9"/>
      <w:bookmarkStart w:id="1308" w:name="Tc_-5p1EE8Pw06aV1fr4s9IhQ_11_0"/>
      <w:bookmarkStart w:id="1309" w:name="Tc_1_qgBYz5nEKJFIcLJPXoQA_10_9"/>
      <w:bookmarkStart w:id="1310" w:name="Tc_i_5cdcEC9k-3UxkyTZ7N2Q_10_0"/>
      <w:bookmarkStart w:id="1311" w:name="Tc_h7T5EE-n_E2twIQfpE3pug_9_9"/>
      <w:bookmarkStart w:id="1312" w:name="Tc_DJ9Xskhouk-b8pa6rLi1ig_9_0"/>
      <w:bookmarkStart w:id="1313" w:name="Tc_Tl_zMJQmiki1MdOu9cLwVw_8_9"/>
      <w:bookmarkStart w:id="1314" w:name="Tc_hdeAOyiy8E2G1zeKTFGw_A_8_0"/>
      <w:bookmarkStart w:id="1315" w:name="Tc_JBFYeh1oVUmPk3UKeVIYAQ_7_0"/>
      <w:bookmarkStart w:id="1316" w:name="Tc_V2NeHQ06v0CJoq-7RMMAmA_6_9"/>
      <w:bookmarkStart w:id="1317" w:name="Tc_uG57AsqUWkiLki1arNoUXA_6_0"/>
      <w:bookmarkStart w:id="1318" w:name="Tc_9PeFDfqyXEeIdbMDm5Uidg_5_0"/>
      <w:bookmarkStart w:id="1319" w:name="Tc_pHd76UD5Y0qeX-vb-XM9Ew_4_11"/>
      <w:bookmarkStart w:id="1320" w:name="Tc_vPZGJ9R23kuwOYbLO5OsMw_4_8"/>
      <w:bookmarkStart w:id="1321" w:name="Tc_6SVhyAFbnE2leAbZdNTOUA_4_5"/>
      <w:bookmarkStart w:id="1322" w:name="Tc_58dPhOGR3E-dTWSR7hHC_A_4_2"/>
      <w:bookmarkStart w:id="1323" w:name="Tc_p5VkxsOsbk-9k61nu6oh_w_4_0"/>
      <w:bookmarkStart w:id="1324" w:name="Tc_qBZQzQE9u0-Q3VuZTotgig_3_2"/>
      <w:bookmarkStart w:id="1325" w:name="Tc_gmSOu48EV0OTDJI64GcPnQ_2_11"/>
      <w:bookmarkStart w:id="1326" w:name="Tc_2u-P-gMZjUubqNMqA4CrJQ_2_8"/>
      <w:bookmarkStart w:id="1327" w:name="Tc_aj7RpYJfvkeRGV1alw6lLg_2_5"/>
      <w:bookmarkStart w:id="1328" w:name="Tc_WyBkZWe5kUCEsHYsjFMclA_2_2"/>
      <w:bookmarkStart w:id="1329" w:name="Tc_Jt0E-HlGh0Cy9NNlHNDL4A_1_2"/>
      <w:bookmarkStart w:id="1330" w:name="_1822776c_e1d5_4914_93d1_5fc738814cc6"/>
      <w:bookmarkStart w:id="1331" w:name="Tc_QVPBeThIBE6oHaAymGHjVg_15_11"/>
      <w:bookmarkStart w:id="1332" w:name="Tc_qHVWjdf1xEW0-LUeJxeueQ_15_9"/>
      <w:bookmarkStart w:id="1333" w:name="Tc_CT8EygtzCkG4cru5YgaVng_15_8"/>
      <w:bookmarkStart w:id="1334" w:name="Tc_GZyuEQ-h106CIcEZdOcmDQ_15_5"/>
      <w:bookmarkStart w:id="1335" w:name="Tc_60dCjq4QMUmAyKBPOk2x6Q_15_2"/>
      <w:bookmarkStart w:id="1336" w:name="Tc_5QMSuBvQqkaRQVqeddvoiQ_15_0"/>
      <w:bookmarkStart w:id="1337" w:name="Tc_trWI0G9UU0Snzgr5oR9OOg_14_12"/>
      <w:bookmarkStart w:id="1338" w:name="Tc_zUVuvL766k26eukNLJ5Rsg_14_9"/>
      <w:bookmarkStart w:id="1339" w:name="Tc_FYITXwGCnUOBj-_iGYiVMQ_14_6"/>
      <w:bookmarkStart w:id="1340" w:name="Tc_ABDHFQfYk0eV0SSMjqwJOQ_14_3"/>
      <w:bookmarkStart w:id="1341" w:name="Tc_GIbJAZBWzEajZdfU8r7XaA_14_0"/>
      <w:bookmarkStart w:id="1342" w:name="Tc_LfFx8sALT0CEZ2ZmJq4g9A_13_9"/>
      <w:bookmarkStart w:id="1343" w:name="Tc_xb8ne2mYkUyZGmlqZG29eQ_13_0"/>
      <w:bookmarkStart w:id="1344" w:name="Tc_qWztdZWeQE-XK2DnBBlYCA_12_9"/>
      <w:bookmarkStart w:id="1345" w:name="Tc_lGTlDinopkOPAFBxRGZaZA_12_0"/>
      <w:bookmarkStart w:id="1346" w:name="Tc_uWZfB0QQHE6pmPSI0JRc_A_11_9"/>
      <w:bookmarkStart w:id="1347" w:name="Tc_a_T8-nEZEU-mFeleU661vA_11_0"/>
      <w:bookmarkStart w:id="1348" w:name="Tc_hJlTzEkKx0yoKU0jRgAsLQ_10_9"/>
      <w:bookmarkStart w:id="1349" w:name="Tc_bGx4s3hp5Ea7dzeCu_QYAw_10_0"/>
      <w:bookmarkStart w:id="1350" w:name="Tc_hykeIzNaQEaHRFFyQsvRZQ_9_9"/>
      <w:bookmarkStart w:id="1351" w:name="Tc_ulGGAGErqEe2UVPlWhEMjg_9_0"/>
      <w:bookmarkStart w:id="1352" w:name="Tc_Q2GITCdwrUmTRnBB_pHzZQ_8_9"/>
      <w:bookmarkStart w:id="1353" w:name="Tc_h3Tzva7-n0Wj3yR6PMq3-Q_8_0"/>
      <w:bookmarkStart w:id="1354" w:name="Tc_PVxuNSN4MEKwYu8QF6KLeQ_7_0"/>
      <w:bookmarkStart w:id="1355" w:name="Tc_gYrdv2L_iEGn7k8Yq0nbBQ_6_9"/>
      <w:bookmarkStart w:id="1356" w:name="Tc_x6YR_fes1UCRGDVN4TkvFQ_6_0"/>
      <w:bookmarkStart w:id="1357" w:name="Tc_LvVk1n9H9ECeawueI-BYyA_5_4"/>
      <w:bookmarkStart w:id="1358" w:name="Tc_fV8dN8sXLkq4Cpw47PsHsw_5_0"/>
      <w:bookmarkStart w:id="1359" w:name="Tc_0BSeBMpw2EqVXAEff496yQ_4_11"/>
      <w:bookmarkStart w:id="1360" w:name="Tc_4UK9NtJs3ka_Rtq_iJsVNg_4_8"/>
      <w:bookmarkStart w:id="1361" w:name="Tc_SBveyRPlYkuM8FVvIxgnOw_4_5"/>
      <w:bookmarkStart w:id="1362" w:name="Tc_7DbA4s9vBUe6ESYXESZQxw_4_2"/>
      <w:bookmarkStart w:id="1363" w:name="Tc_3LG4yQ3DgEeLpSmv_hZzkA_4_0"/>
      <w:bookmarkStart w:id="1364" w:name="Tc_SJ8QagAhtU-oFBevbsJYkQ_3_2"/>
      <w:bookmarkStart w:id="1365" w:name="Tc_qDCc42LNNUuTr8k72dCKYA_2_11"/>
      <w:bookmarkStart w:id="1366" w:name="Tc_umnnJ5kfmkiY4PKxd3NnJw_2_8"/>
      <w:bookmarkStart w:id="1367" w:name="Tc_MrTiuHEqB0S7Q-VsagGpCg_2_5"/>
      <w:bookmarkStart w:id="1368" w:name="Tc_FxsPoC2vBkWUWdAApy3w-Q_2_2"/>
      <w:bookmarkStart w:id="1369" w:name="Tc_uHBL6ukVbE-pDTk6PztbhQ_1_2"/>
      <w:bookmarkStart w:id="1370" w:name="_10b2582d_dbf5_4d7e_b777_dae0a7082c63"/>
      <w:bookmarkStart w:id="1371" w:name="Tc_lGyU0NJLJ0S6bwUGccUtAg_14_11"/>
      <w:bookmarkStart w:id="1372" w:name="Tc_rTFsYxKb6kGpXOvsg4r6oA_14_9"/>
      <w:bookmarkStart w:id="1373" w:name="Tc_aw1_3LfAE0CwywQh_5rdwQ_14_8"/>
      <w:bookmarkStart w:id="1374" w:name="Tc__Qzd5VPwzE6GYWjhGVWeJw_14_5"/>
      <w:bookmarkStart w:id="1375" w:name="Tc_GYZt6pustEOnqa3HwI31fA_14_2"/>
      <w:bookmarkStart w:id="1376" w:name="Tc_Srl8QUhjakCMWZJKdm_7mQ_14_0"/>
      <w:bookmarkStart w:id="1377" w:name="Tc_nPivi1XWuE249DGCUwkarQ_13_9"/>
      <w:bookmarkStart w:id="1378" w:name="Tc_cxTANEn8Y0GXJqX0JyOggQ_13_0"/>
      <w:bookmarkStart w:id="1379" w:name="Tc_b4GR0K0TrESZmY0xuTxA4g_12_9"/>
      <w:bookmarkStart w:id="1380" w:name="Tc_fOYTxyJ2LEudYA8wtU4U8g_12_0"/>
      <w:bookmarkStart w:id="1381" w:name="Tc_gpSJ4CYbPECTeEpFZ9POMw_11_9"/>
      <w:bookmarkStart w:id="1382" w:name="Tc_JirkWQvN5UatbX2y062v5g_11_0"/>
      <w:bookmarkStart w:id="1383" w:name="Tc_qpYx_pn2OkSig3q2_FoWgg_10_9"/>
      <w:bookmarkStart w:id="1384" w:name="Tc_n1IbaZRF5kWVfnTA2egiyg_10_0"/>
      <w:bookmarkStart w:id="1385" w:name="Tc_Rnvym_srSk-Q8129HGSXqg_9_9"/>
      <w:bookmarkStart w:id="1386" w:name="Tc_l0dxnyb4hEaAZt62uN_lVA_9_0"/>
      <w:bookmarkStart w:id="1387" w:name="Tc_JqzSw5JwiE67ZeCMfN18hA_8_9"/>
      <w:bookmarkStart w:id="1388" w:name="Tc_LGTQghlMUU-xqajPiUHTqg_8_0"/>
      <w:bookmarkStart w:id="1389" w:name="Tc_0IJo2UGRJ0Wqbuu8dNY78g_7_0"/>
      <w:bookmarkStart w:id="1390" w:name="Tc_h0t-DclrGU-0kGCFgwIeHA_6_9"/>
      <w:bookmarkStart w:id="1391" w:name="Tc_442u00cYXk6qodLJa45oLQ_6_0"/>
      <w:bookmarkStart w:id="1392" w:name="Tc_EUVmwXLSCUeBakJ3WKus0w_5_0"/>
      <w:bookmarkStart w:id="1393" w:name="Tc_KXK4kRF3Qka8WvIlCvNHsg_4_11"/>
      <w:bookmarkStart w:id="1394" w:name="Tc_qFw6r-3sHUmJbe98scvTrg_4_8"/>
      <w:bookmarkStart w:id="1395" w:name="Tc_vOmurIBWyE6NJD_I2Tw_GA_4_5"/>
      <w:bookmarkStart w:id="1396" w:name="Tc_LfhugpQqWkWolKgPLgkL_A_4_2"/>
      <w:bookmarkStart w:id="1397" w:name="Tc_KEKDNczfN0WYmP1G60TDkg_4_0"/>
      <w:bookmarkStart w:id="1398" w:name="Tc_rwiDTqxUxkmQRzHjDUH_SQ_3_2"/>
      <w:bookmarkStart w:id="1399" w:name="Tc_DgqVuPAPKkmayEdvC3dcIg_2_11"/>
      <w:bookmarkStart w:id="1400" w:name="Tc_KhCh11k8vUeQ9TK36wSLvQ_2_8"/>
      <w:bookmarkStart w:id="1401" w:name="Tc_5nSiVh_Jr0ymwNP_pcj2fA_2_5"/>
      <w:bookmarkStart w:id="1402" w:name="Tc_zaMmDN5lBkC8aTfHyQEGGg_2_2"/>
      <w:bookmarkStart w:id="1403" w:name="Tc_ygJioHVirU6fEZ2fYErJlQ_1_2"/>
      <w:bookmarkStart w:id="1404" w:name="_25566d4f_70c5_4b5c_8f40_d24f8d33c5f8"/>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p>
    <w:tbl>
      <w:tblPr>
        <w:tblW w:w="9626" w:type="dxa"/>
        <w:jc w:val="left"/>
        <w:tblInd w:w="0" w:type="dxa"/>
        <w:tblLayout w:type="fixed"/>
        <w:tblCellMar>
          <w:top w:w="0" w:type="dxa"/>
          <w:left w:w="0" w:type="dxa"/>
          <w:bottom w:w="0" w:type="dxa"/>
          <w:right w:w="0" w:type="dxa"/>
        </w:tblCellMar>
      </w:tblPr>
      <w:tblGrid>
        <w:gridCol w:w="4186"/>
        <w:gridCol w:w="346"/>
        <w:gridCol w:w="211"/>
        <w:gridCol w:w="781"/>
        <w:gridCol w:w="346"/>
        <w:gridCol w:w="211"/>
        <w:gridCol w:w="676"/>
        <w:gridCol w:w="346"/>
        <w:gridCol w:w="239"/>
        <w:gridCol w:w="901"/>
        <w:gridCol w:w="346"/>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58110" cy="175260"/>
                      <wp:effectExtent l="0" t="0" r="0" b="0"/>
                      <wp:wrapNone/>
                      <wp:docPr id="124" name="Frame124"/>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5"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2135" cy="175260"/>
                      <wp:effectExtent l="0" t="0" r="0" b="0"/>
                      <wp:wrapNone/>
                      <wp:docPr id="128" name="Frame12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24510" cy="175260"/>
                      <wp:effectExtent l="0" t="0" r="0" b="0"/>
                      <wp:wrapNone/>
                      <wp:docPr id="130" name="Frame1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31, 2025</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62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613,266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362,795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250,471</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24,133</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226,845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16,300</w:t>
            </w:r>
          </w:p>
        </w:tc>
      </w:tr>
    </w:tbl>
    <w:p>
      <w:pPr>
        <w:pStyle w:val="TextBody"/>
        <w:bidi w:val="0"/>
        <w:spacing w:before="0" w:after="0"/>
        <w:ind w:left="0" w:right="0" w:hanging="0"/>
        <w:jc w:val="left"/>
        <w:rPr/>
      </w:pPr>
      <w:r>
        <w:rPr/>
        <w:t>​</w:t>
      </w:r>
    </w:p>
    <w:tbl>
      <w:tblPr>
        <w:tblW w:w="9941" w:type="dxa"/>
        <w:jc w:val="left"/>
        <w:tblInd w:w="0" w:type="dxa"/>
        <w:tblLayout w:type="fixed"/>
        <w:tblCellMar>
          <w:top w:w="0" w:type="dxa"/>
          <w:left w:w="0" w:type="dxa"/>
          <w:bottom w:w="0" w:type="dxa"/>
          <w:right w:w="0" w:type="dxa"/>
        </w:tblCellMar>
      </w:tblPr>
      <w:tblGrid>
        <w:gridCol w:w="4186"/>
        <w:gridCol w:w="346"/>
        <w:gridCol w:w="211"/>
        <w:gridCol w:w="931"/>
        <w:gridCol w:w="346"/>
        <w:gridCol w:w="211"/>
        <w:gridCol w:w="691"/>
        <w:gridCol w:w="346"/>
        <w:gridCol w:w="239"/>
        <w:gridCol w:w="901"/>
        <w:gridCol w:w="346"/>
        <w:gridCol w:w="211"/>
        <w:gridCol w:w="97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658110" cy="175260"/>
                      <wp:effectExtent l="0" t="0" r="0" b="0"/>
                      <wp:wrapNone/>
                      <wp:docPr id="131" name="Frame131"/>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91185" cy="175260"/>
                      <wp:effectExtent l="0" t="0" r="0" b="0"/>
                      <wp:wrapNone/>
                      <wp:docPr id="132" name="Frame1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4" name="Frame1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2135" cy="175260"/>
                      <wp:effectExtent l="0" t="0" r="0" b="0"/>
                      <wp:wrapNone/>
                      <wp:docPr id="135" name="Frame13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19760" cy="175260"/>
                      <wp:effectExtent l="0" t="0" r="0" b="0"/>
                      <wp:wrapNone/>
                      <wp:docPr id="137" name="Frame13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31, 2026</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1,090,055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487,004</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(2)</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491,928</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598,127</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228,083</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14,727</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101,396</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56,576</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100,622</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41,914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486,677</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96,067</w:t>
            </w:r>
          </w:p>
        </w:tc>
      </w:tr>
    </w:tbl>
    <w:p>
      <w:pPr>
        <w:pStyle w:val="TextBody"/>
        <w:bidi w:val="0"/>
        <w:spacing w:before="0" w:after="0"/>
        <w:ind w:left="0" w:right="0" w:hanging="0"/>
        <w:jc w:val="left"/>
        <w:rPr/>
      </w:pPr>
      <w:r>
        <w:rPr/>
        <w:t>​</w:t>
      </w:r>
    </w:p>
    <w:tbl>
      <w:tblPr>
        <w:tblW w:w="9941" w:type="dxa"/>
        <w:jc w:val="left"/>
        <w:tblInd w:w="0" w:type="dxa"/>
        <w:tblLayout w:type="fixed"/>
        <w:tblCellMar>
          <w:top w:w="0" w:type="dxa"/>
          <w:left w:w="0" w:type="dxa"/>
          <w:bottom w:w="0" w:type="dxa"/>
          <w:right w:w="0" w:type="dxa"/>
        </w:tblCellMar>
      </w:tblPr>
      <w:tblGrid>
        <w:gridCol w:w="4186"/>
        <w:gridCol w:w="346"/>
        <w:gridCol w:w="211"/>
        <w:gridCol w:w="931"/>
        <w:gridCol w:w="346"/>
        <w:gridCol w:w="211"/>
        <w:gridCol w:w="691"/>
        <w:gridCol w:w="346"/>
        <w:gridCol w:w="239"/>
        <w:gridCol w:w="901"/>
        <w:gridCol w:w="346"/>
        <w:gridCol w:w="211"/>
        <w:gridCol w:w="97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658110" cy="175260"/>
                      <wp:effectExtent l="0" t="0" r="0" b="0"/>
                      <wp:wrapNone/>
                      <wp:docPr id="138" name="Frame138"/>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91185" cy="175260"/>
                      <wp:effectExtent l="0" t="0" r="0" b="0"/>
                      <wp:wrapNone/>
                      <wp:docPr id="139"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8785" cy="175260"/>
                      <wp:effectExtent l="0" t="0" r="0" b="0"/>
                      <wp:wrapNone/>
                      <wp:docPr id="141"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72135" cy="175260"/>
                      <wp:effectExtent l="0" t="0" r="0" b="0"/>
                      <wp:wrapNone/>
                      <wp:docPr id="142" name="Frame14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9760" cy="175260"/>
                      <wp:effectExtent l="0" t="0" r="0" b="0"/>
                      <wp:wrapNone/>
                      <wp:docPr id="144" name="Frame14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31, 2025</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77,435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1,196,875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695,611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36,480</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699,860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497,015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205,988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110,636</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55,737</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85,979</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458,340</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13,899</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24,776</w:t>
            </w:r>
          </w:p>
        </w:tc>
      </w:tr>
    </w:tbl>
    <w:p>
      <w:pPr>
        <w:pStyle w:val="TextBody"/>
        <w:bidi w:val="0"/>
        <w:spacing w:before="0" w:after="0"/>
        <w:ind w:left="0" w:right="0" w:hanging="0"/>
        <w:jc w:val="left"/>
        <w:rPr/>
      </w:pPr>
      <w:r>
        <w:rPr/>
        <w:t>​</w:t>
      </w:r>
    </w:p>
    <w:tbl>
      <w:tblPr>
        <w:tblW w:w="5702" w:type="dxa"/>
        <w:jc w:val="left"/>
        <w:tblInd w:w="0" w:type="dxa"/>
        <w:tblLayout w:type="fixed"/>
        <w:tblCellMar>
          <w:top w:w="0" w:type="dxa"/>
          <w:left w:w="0" w:type="dxa"/>
          <w:bottom w:w="0" w:type="dxa"/>
          <w:right w:w="0" w:type="dxa"/>
        </w:tblCellMar>
      </w:tblPr>
      <w:tblGrid>
        <w:gridCol w:w="286"/>
        <w:gridCol w:w="541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intersegment sales to the Company’s retail operations segment.</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wholesale operations segment includes reductions of $6.8</w:t>
            </w:r>
            <w:r>
              <w:rPr>
                <w:caps w:val="false"/>
                <w:smallCaps w:val="false"/>
              </w:rPr>
              <w:t xml:space="preserve"> </w:t>
            </w:r>
            <w:r>
              <w:rPr>
                <w:rFonts w:ascii="Times New Roman;Times;serif" w:hAnsi="Times New Roman;Times;serif"/>
                <w:b w:val="false"/>
                <w:i w:val="false"/>
                <w:caps w:val="false"/>
                <w:smallCaps w:val="false"/>
                <w:sz w:val="18"/>
              </w:rPr>
              <w:t>million and $126.4</w:t>
            </w:r>
            <w:r>
              <w:rPr>
                <w:caps w:val="false"/>
                <w:smallCaps w:val="false"/>
              </w:rPr>
              <w:t xml:space="preserve"> </w:t>
            </w:r>
            <w:r>
              <w:rPr>
                <w:rFonts w:ascii="Times New Roman;Times;serif" w:hAnsi="Times New Roman;Times;serif"/>
                <w:b w:val="false"/>
                <w:i w:val="false"/>
                <w:caps w:val="false"/>
                <w:smallCaps w:val="false"/>
                <w:sz w:val="18"/>
              </w:rPr>
              <w:t>million in cost of goods sold during the three and six months ended July 31, 2026, respectively, resulting from the tariff refund receivable. See Note 12 — IEEPA Tariff Refund.</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Other segment items include design and product development costs, professional fees, office expenses, freight and packaging, allowance for doubtful account charges and other selling, general and administrative expenses. Professional fees include expenses related to the Marc Jacobs transaction of $4.0</w:t>
            </w:r>
            <w:r>
              <w:rPr>
                <w:caps w:val="false"/>
                <w:smallCaps w:val="false"/>
              </w:rPr>
              <w:t xml:space="preserve"> </w:t>
            </w:r>
            <w:r>
              <w:rPr>
                <w:rFonts w:ascii="Times New Roman;Times;serif" w:hAnsi="Times New Roman;Times;serif"/>
                <w:b w:val="false"/>
                <w:i w:val="false"/>
                <w:caps w:val="false"/>
                <w:smallCaps w:val="false"/>
                <w:sz w:val="18"/>
              </w:rPr>
              <w:t>million and $7.4</w:t>
            </w:r>
            <w:r>
              <w:rPr>
                <w:caps w:val="false"/>
                <w:smallCaps w:val="false"/>
              </w:rPr>
              <w:t xml:space="preserve"> </w:t>
            </w:r>
            <w:r>
              <w:rPr>
                <w:rFonts w:ascii="Times New Roman;Times;serif" w:hAnsi="Times New Roman;Times;serif"/>
                <w:b w:val="false"/>
                <w:i w:val="false"/>
                <w:caps w:val="false"/>
                <w:smallCaps w:val="false"/>
                <w:sz w:val="18"/>
              </w:rPr>
              <w:t>million for the three and six months ended July 31, 2026, respectively.</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05" w:name="Tc_AZ-WuBurQEibRt1BzZcowA_6_8"/>
      <w:bookmarkStart w:id="1406" w:name="Tc_LVxAa1_95U2RJtyuI0IouA_6_5"/>
      <w:bookmarkStart w:id="1407" w:name="Tc_wqIDpfYzV0adnZLY53IkJQ_6_2"/>
      <w:bookmarkStart w:id="1408" w:name="Tc_SI_pbvL4PEyyZRiJ_rLYkw_6_0"/>
      <w:bookmarkStart w:id="1409" w:name="Tc_KfFDtSiZAk2mFGfhRUTIJw_5_0"/>
      <w:bookmarkStart w:id="1410" w:name="Tc_F3idFFvIg0WS9jAzqJLIwA_4_0"/>
      <w:bookmarkStart w:id="1411" w:name="Tc_HZ-TBWQu7UiwWvatHhpi2Q_3_8"/>
      <w:bookmarkStart w:id="1412" w:name="Tc_SpOxwtqYSES_QLSAJNcNXA_3_5"/>
      <w:bookmarkStart w:id="1413" w:name="Tc_heJiWOHbFE22mFsSqTCuBg_3_2"/>
      <w:bookmarkStart w:id="1414" w:name="Tc_LG6nl0AnRk6Kbu2LCUxUww_3_0"/>
      <w:bookmarkStart w:id="1415" w:name="Tc_RomkRg7UhUiW0nqL-4tIkg_2_2"/>
      <w:bookmarkStart w:id="1416" w:name="Tc_X4RYRv09V0294bEUciycBA_1_8"/>
      <w:bookmarkStart w:id="1417" w:name="Tc_tyV5M2bHGUC2E_8ayhkemQ_1_5"/>
      <w:bookmarkStart w:id="1418" w:name="Tc_RTeUb2aoOECCEtD6LWTdNQ_1_2"/>
      <w:bookmarkStart w:id="1419" w:name="Tc_02H04NweBUezYZj0Y8TSxA_9_11"/>
      <w:bookmarkStart w:id="1420" w:name="Tc_ofK_D7Bt-USY4yAXf6ka-w_9_8"/>
      <w:bookmarkStart w:id="1421" w:name="Tc_e0Ha2cxB_ES-5Xa4mi0eCA_9_5"/>
      <w:bookmarkStart w:id="1422" w:name="Tc_34ZwwD8Zr0avODVdabqz_A_9_2"/>
      <w:bookmarkStart w:id="1423" w:name="Tc_Guh_xRUU6kyuEEle4W5_5Q_9_0"/>
      <w:bookmarkStart w:id="1424" w:name="Tc_53ghe_Iv7kuG86ihSphbTA_8_11"/>
      <w:bookmarkStart w:id="1425" w:name="Tc_RQtP-L9-A0eHGcjFf6xdTw_8_8"/>
      <w:bookmarkStart w:id="1426" w:name="Tc_VbYWbBlMN0yrW5vPMGdcuw_8_5"/>
      <w:bookmarkStart w:id="1427" w:name="Tc_OLZPJKrO-UKTQR7hWj9BVA_8_2"/>
      <w:bookmarkStart w:id="1428" w:name="Tc_v85Nd4tVkkyTNnsF9J6M0g_8_0"/>
      <w:bookmarkStart w:id="1429" w:name="Tc_U90WMi7UAUqoQodY71XP9Q_6_11"/>
      <w:bookmarkStart w:id="1430" w:name="Tc_8sW3hW8Xx0G7ckQZSyeiIw_6_8"/>
      <w:bookmarkStart w:id="1431" w:name="Tc_IP7S-LO8vUeFjAatr9EtJg_6_5"/>
      <w:bookmarkStart w:id="1432" w:name="Tc_PnDGssmQXUWuGNcFYrvz4Q_6_2"/>
      <w:bookmarkStart w:id="1433" w:name="Tc_nH5VMsY1xUaDEHRRp7ZXGA_6_0"/>
      <w:bookmarkStart w:id="1434" w:name="Tc_gJIkSGwX1EaJReq35uN9nQ_5_0"/>
      <w:bookmarkStart w:id="1435" w:name="Tc_cY1CnrWnHUWYwIHXFjgynA_4_11"/>
      <w:bookmarkStart w:id="1436" w:name="Tc_Jtv0KERWdUW3oMQVkwlDSg_4_8"/>
      <w:bookmarkStart w:id="1437" w:name="Tc_dYR-5EhdBkW8wm1u6G7kGg_4_5"/>
      <w:bookmarkStart w:id="1438" w:name="Tc_jh_ZlhkOOk6_ejyepOpBkQ_4_2"/>
      <w:bookmarkStart w:id="1439" w:name="Tc_r2q1nJzUq0G0vV2tEjzouQ_4_0"/>
      <w:bookmarkStart w:id="1440" w:name="Tc__JrG21h9M0uEQ1dlN749DQ_3_2"/>
      <w:bookmarkStart w:id="1441" w:name="Tc_OFhFP0Q4hE6ikMZoI84kzQ_2_11"/>
      <w:bookmarkStart w:id="1442" w:name="Tc_1E7MyJX0NkGVumtuwi9l4w_2_8"/>
      <w:bookmarkStart w:id="1443" w:name="Tc_7C0LfmvVCUqt1Gg6pAwyww_2_5"/>
      <w:bookmarkStart w:id="1444" w:name="Tc_m-B-oU4skUSJ3YzlXGL-xg_2_2"/>
      <w:bookmarkStart w:id="1445" w:name="Tc_yOkvVQA5hkyqkUz5BSaKtQ_1_8"/>
      <w:bookmarkStart w:id="1446" w:name="Tc_7dFV-8jU8EShL-_v8H9FcQ_1_2"/>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r>
        <w:rPr>
          <w:rFonts w:ascii="Times New Roman;Times;serif" w:hAnsi="Times New Roman;Times;serif"/>
          <w:sz w:val="20"/>
        </w:rPr>
        <w:t>The total net sales by licensed and proprietary product sales for each of the Company’s reportable segments are as follows:</w:t>
      </w:r>
    </w:p>
    <w:p>
      <w:pPr>
        <w:pStyle w:val="TextBody"/>
        <w:bidi w:val="0"/>
        <w:spacing w:before="0" w:after="0"/>
        <w:ind w:left="0" w:right="0" w:hanging="0"/>
        <w:jc w:val="both"/>
        <w:rPr/>
      </w:pPr>
      <w:r>
        <w:rPr/>
        <w:t>​</w:t>
      </w:r>
    </w:p>
    <w:tbl>
      <w:tblPr>
        <w:tblW w:w="7614" w:type="dxa"/>
        <w:jc w:val="left"/>
        <w:tblInd w:w="0" w:type="dxa"/>
        <w:tblLayout w:type="fixed"/>
        <w:tblCellMar>
          <w:top w:w="0" w:type="dxa"/>
          <w:left w:w="0" w:type="dxa"/>
          <w:bottom w:w="0" w:type="dxa"/>
          <w:right w:w="0" w:type="dxa"/>
        </w:tblCellMar>
      </w:tblPr>
      <w:tblGrid>
        <w:gridCol w:w="1711"/>
        <w:gridCol w:w="346"/>
        <w:gridCol w:w="233"/>
        <w:gridCol w:w="862"/>
        <w:gridCol w:w="346"/>
        <w:gridCol w:w="233"/>
        <w:gridCol w:w="862"/>
        <w:gridCol w:w="346"/>
        <w:gridCol w:w="211"/>
        <w:gridCol w:w="931"/>
        <w:gridCol w:w="346"/>
        <w:gridCol w:w="211"/>
        <w:gridCol w:w="97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86485" cy="175260"/>
                      <wp:effectExtent l="0" t="0" r="0" b="0"/>
                      <wp:wrapNone/>
                      <wp:docPr id="145" name="Frame14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47370" cy="175260"/>
                      <wp:effectExtent l="0" t="0" r="0" b="0"/>
                      <wp:wrapNone/>
                      <wp:docPr id="146" name="Frame146"/>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47370" cy="175260"/>
                      <wp:effectExtent l="0" t="0" r="0" b="0"/>
                      <wp:wrapNone/>
                      <wp:docPr id="148" name="Frame14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91185" cy="175260"/>
                      <wp:effectExtent l="0" t="0" r="0" b="0"/>
                      <wp:wrapNone/>
                      <wp:docPr id="149" name="Frame1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19760" cy="175260"/>
                      <wp:effectExtent l="0" t="0" r="0" b="0"/>
                      <wp:wrapNone/>
                      <wp:docPr id="151" name="Frame15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761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5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176,953</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445,174</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353,874</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342,909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705,715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706,497</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530,827</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1,151,671</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77,435</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net sales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39,542</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77,435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allocates overhead to its business segments on various bases, which include units shipped, space utilization, inventory levels and relative sales levels, among other factors. The method of allocation has been applied consistently on a period-to-period basis.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assets for each of the Company’s reportable segments, as well as assets not allocated to a segment, are as follows:</w:t>
      </w:r>
    </w:p>
    <w:p>
      <w:pPr>
        <w:pStyle w:val="TextBody"/>
        <w:bidi w:val="0"/>
        <w:spacing w:before="0" w:after="0"/>
        <w:ind w:left="0" w:right="0" w:hanging="0"/>
        <w:jc w:val="both"/>
        <w:rPr/>
      </w:pPr>
      <w:r>
        <w:rPr/>
        <w:t>​</w:t>
      </w:r>
    </w:p>
    <w:tbl>
      <w:tblPr>
        <w:tblW w:w="5828" w:type="dxa"/>
        <w:jc w:val="left"/>
        <w:tblInd w:w="0" w:type="dxa"/>
        <w:tblLayout w:type="fixed"/>
        <w:tblCellMar>
          <w:top w:w="0" w:type="dxa"/>
          <w:left w:w="0" w:type="dxa"/>
          <w:bottom w:w="0" w:type="dxa"/>
          <w:right w:w="0" w:type="dxa"/>
        </w:tblCellMar>
      </w:tblPr>
      <w:tblGrid>
        <w:gridCol w:w="1066"/>
        <w:gridCol w:w="346"/>
        <w:gridCol w:w="211"/>
        <w:gridCol w:w="931"/>
        <w:gridCol w:w="346"/>
        <w:gridCol w:w="211"/>
        <w:gridCol w:w="931"/>
        <w:gridCol w:w="346"/>
        <w:gridCol w:w="243"/>
        <w:gridCol w:w="1197"/>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76910" cy="175260"/>
                      <wp:effectExtent l="0" t="0" r="0" b="0"/>
                      <wp:wrapNone/>
                      <wp:docPr id="152" name="Frame15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91185" cy="175260"/>
                      <wp:effectExtent l="0" t="0" r="0" b="0"/>
                      <wp:wrapNone/>
                      <wp:docPr id="153" name="Frame1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91185" cy="175260"/>
                      <wp:effectExtent l="0" t="0" r="0" b="0"/>
                      <wp:wrapNone/>
                      <wp:docPr id="155" name="Frame1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60095" cy="175260"/>
                      <wp:effectExtent l="0" t="0" r="0" b="0"/>
                      <wp:wrapNone/>
                      <wp:docPr id="156" name="Frame156"/>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c>
          <w:tcPr>
            <w:tcW w:w="346" w:type="dxa"/>
            <w:tcBorders/>
            <w:vAlign w:val="center"/>
          </w:tcPr>
          <w:p>
            <w:pPr>
              <w:pStyle w:val="TableContents"/>
              <w:bidi w:val="0"/>
              <w:spacing w:before="0" w:after="0"/>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582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16"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1,741,392</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1,549,760</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86,763</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87,769</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1,011,626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862,826</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973,291</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2,751,847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2,690,981</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2,610,820</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Capital expenditures during the six months ended July 31, 2026 for the wholesale operations segment and retail operations segment were $15.8 million and $1.7 million, respectively. Capital expenditures during the six months ended July 31, 2025 for the wholesale operations segment and retail operations segment were $17.2 million and $1.2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 STOCKHOLDERS’ EQUITY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July 31, 2026, the Company issued no shares of common stock and utilized 547,179 shares of treasury stock in connection with the vesting of equity awards. For the three months ended July 31, 2025, the Company issued no shares of common stock and utilized 63,362 shares of treasury stock in connection with the vesting of equity awards. For the six months ended July 31, 2026, the Company issued no shares of common stock and utilized 548,465 shares of treasury stock in connection with the vesting of equity awards. For the six months ended July 31, 2025, the Company issued no shares of common stock and utilized 277,191 shares of treasury stock in connection with the vesting of equity awards.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Dividends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26, 2026, the Board of Directors declared a quarterly cash dividend of $0.10 per share on the issued and outstanding common stock of the Company. The dividend was paid on July 8, 2026, to all stockholders of record as of June 22, 2026.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18, 2026, the Board of Directors declared a cash dividend of $0.10 per share. The dividend will be paid on September 29, 2026 to all stockholders of record as of September 15, 2026.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 IEEPA TARIFF REFUND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2026, the Supreme Court of the United States ruled against the current administration’s use of the International Emergency Economic Powers Act (“IEEPA”) to impose certain tariffs levied since February 2025. Pursuant to a court order on March 4, 2026 from the U.S. Court of International Trade (“CIT”) directing the refund of such tariffs, including applicable interest, on April 20, 2026, U.S. Customs and Border Protection (“CBP”) launched the Consolidated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Administration and Processing of Entries (“CAPE”) system to facilitate refund claims, to which the Company successfully submitted its refund claim.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2026, the Company assessed that the recovery of previously paid IEEPA tariffs was probable and reasonably estimable in accordance with the cost recovery accounting guidance, based on the Supreme Court ruling, the CIT order and actions taken by CBP regarding the refund process and other available information, including offers from third-party financial institutions to acquire the Company’s tariff refund claim. Accordingly, during the first quarter of fiscal 2027, the Company recorded a receivable of approximately $139.5 million related to IEEPA tariffs paid by the Company between February 2025 and February 2026, which was included within prepaid expenses and other current assets on the Company’s condensed consolidated balance sheets.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for the IEEPA tariff refund reflects the original treatment of the underlying tariff costs. During the six months ended July 31, 2026, the Company recognized a $126.4 million reduction in cost of goods sold in the Company’s condensed consolidated statements of income, representing the expense for IEEPA tariffs on inventory sold to customers since the tariffs were enacted in February 2025. Additionally, the Company recognized a $13.6 million reduction in the carrying value of its inventories on hand on the Company’s condensed consolidated balance sheet as of July 31, 2026 for tariffs previously capitalized as cost of inventory. Interest associated with refunded IEEPA tariffs is recognized in the Company’s condensed consolidated statements of income in the period it is received.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second quarter of fiscal 2027, the Company received approximately $129.7 million in tariff refunds and $4.2 million in statutory interest from the U.S. Department of Treasury related to its Phase 1 IEEPA tariff claim. The receipt of the principal reduced the previously recognized tariff refund receivable. The interest was recognized within interest and financing charges, net in the Company’s condensed consolidated statements of income and comprehensive income. As of July 31, 2026, the Company has a tariff refund receivable remaining of approximately $9.8 million which is expected to be processed as part of CBP's Phase 2 refund process.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timing of cash receipts for the remaining tariff refund claim remains dependent upon the processing of refund claims by CBP and the U.S. Department of Treasury.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447" w:name="_Hlk207805079"/>
      <w:bookmarkEnd w:id="1447"/>
      <w:r>
        <w:rPr>
          <w:rFonts w:ascii="Times New Roman;Times;serif" w:hAnsi="Times New Roman;Times;serif"/>
          <w:b/>
          <w:sz w:val="20"/>
        </w:rPr>
        <w:t>NOTE 13 – LITIGATION AND OTHER MATTERS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Litigation with PVH Corp.</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13, 2025, the Company filed a complaint against </w:t>
      </w:r>
      <w:r>
        <w:rPr>
          <w:rFonts w:ascii="Times New Roman;Times;serif" w:hAnsi="Times New Roman;Times;serif"/>
          <w:b w:val="false"/>
          <w:i w:val="false"/>
          <w:caps w:val="false"/>
          <w:smallCaps w:val="false"/>
          <w:sz w:val="20"/>
        </w:rPr>
        <w:t>PVH Corp</w:t>
      </w:r>
      <w:r>
        <w:rPr>
          <w:rFonts w:ascii="Times New Roman;Times;serif" w:hAnsi="Times New Roman;Times;serif"/>
          <w:sz w:val="20"/>
        </w:rPr>
        <w:t xml:space="preserve">. and two of its subsidiaries (“Defendants”) in the New York County Commercial Division of the Supreme Court of the State of New York for breach of contract, breach of the implied covenant of good faith and fair dealing, and tortious interference with contract arising out of the unreasonable denial of the Company’s request to extend the Calvin Klein and Tommy Hilfiger licenses for the women’s suits category for an additional three-year period and other actions taken by Defendants that undermined the Company’s ability to perform under Calvin Klein and Tommy Hilfiger license agreements and subjected the Company to contractual penalties. On July 30, 2025, Calvin Klein, Inc. and Tommy Hilfiger Licensing LLC filed their own complaint against G-III in the same court alleging breaches of the license agreements between the parties. On April 30, 2026, in response to the Company’s amended complaint, Defendants filed counterclaims alleging breaches of the license agreements. The Company has moved to dismiss those counterclaims. On June 18, 2026, the Company filed a motion seeking leave to file a second amended complaint to add allegations that the PVH parties tortiously interfered with the Company’s subsidiaries’ agreements with AWWG Investments B.V. (“AWWG”) and that the PVH parties breached the confidentiality provisions in the license agreements between the parties.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believes that Calvin Klein, Inc. and Tommy Hilfiger Licensing LLC’s complaint and counterclaims are without merit, and the Company intends to vigorously defend against these actions. Due to the uncertainty inherent in any litigation, the Company is unable to estimate any reasonably possible loss, or range of loss, with respect to this matter.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AWWG Brand Agency Termination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2025, the Company entered into agreements for AWWG to act as the official agent for DKNY, Donna Karan and Karl Lagerfeld across Spain and Portugal, as well as for the Company’s licensed Converse products in select countries. In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June 2026, the Company and AWWG agreed to terminate the brand agency agreements as well as certain related service agreements and are working toward an orderly transition of the affected operations with termination effective as of December 31,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448" w:name="_Hlk168051877"/>
      <w:bookmarkStart w:id="1449" w:name="_601536e1_eeb5_4b1d_85fb_5506cf0633ac"/>
      <w:bookmarkEnd w:id="1448"/>
      <w:bookmarkEnd w:id="1449"/>
      <w:r>
        <w:rPr>
          <w:rFonts w:ascii="Times New Roman;Times;serif" w:hAnsi="Times New Roman;Times;serif"/>
          <w:b/>
          <w:sz w:val="20"/>
        </w:rPr>
        <w:t>NOTE 14 – RECENTLY ADOPTED AND ISSUED ACCOUNTING PRONOUNCEMENTS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Recently Adopted Accounting Guidance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 was no accounting guidance adopted during the three months ended July 31, 2026.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Issued Accounting Guidance Being Evaluated for Adoption</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November 2024, the FASB issued </w:t>
      </w:r>
      <w:r>
        <w:rPr>
          <w:rFonts w:ascii="Times New Roman;Times;serif" w:hAnsi="Times New Roman;Times;serif"/>
          <w:sz w:val="20"/>
        </w:rPr>
        <w:t>ASU 2024-03</w:t>
      </w:r>
      <w:r>
        <w:rPr>
          <w:rFonts w:ascii="Times New Roman;Times;serif" w:hAnsi="Times New Roman;Times;serif"/>
          <w:sz w:val="20"/>
          <w:shd w:fill="FFFFFF" w:val="clear"/>
        </w:rPr>
        <w:t xml:space="preserve">, “Income Statement – Reporting Comprehensive Income – Expense Disaggregation Disclosures (Subtopic 220-40): Disaggregation of Income Statement Expenses”. The ASU requires public entities to disclose more detailed information about certain costs and expenses presented in the income statement, including inventory purchases, employee compensation, selling expenses, depreciation and intangible asset amortization. ASU 2024-03 is effective for fiscal years beginning after December 15, 2026, and interim periods within fiscal years beginning after December 15, 2027, with early adoption permitted. The amendments in this ASU should be applied prospectively; however, retrospective application is permitted. The Company is currently evaluating the impact of ASU 2024-03 on its consolidated financial statements and related disclosures.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 MARC JACOBS ACQUISITION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14, 2026, the Company entered into certain agreements relating to the acquisition of the Marc Jacobs business from LVMH Moet Hennessy Louis Vuitton Inc. and its affiliates (“LVMH”), which was completed as of September 1, 2026 (the “Closing Date”). The transaction was structured such that (i) MJ Topco, LLC (“IPCo”), a newly formed joint venture in which a subsidiary of the Company owns 50% of the membership interests and an affiliate of WHP Global (“WHP”) owns the remaining 50%, acquired all of the issued and outstanding units of Marc Jacobs Holdings, LLC through a wholly-owned indirect subsidiary, Majestic AcqCo, LLC, (ii) following such acquisition, the Company acquired 100% of the Marc Jacobs operating business through its subsidiaries, and (iii) IPCo retained the Marc Jacobs intellectual property and certain other retained assets. The Company funded its approximately $500 million investment using cash on hand and borrowings under its revolving credit facility. The Company will operate the business pursuant to a license from IPCo.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license agreement, entered into on the Closing Date by IPCo and certain subsidiaries of the Company, granted an exclusive right to use the Marc Jacobs brand in the United States, Canada, Mexico and Western Europe for the distribution, promotion and sale of specified product categories, including women’s and men’s apparel, handbags, footwear, swim, small leather goods, luggage and cold weather accessories, through wholesale channels, branded retail stores and branded e-commerce sites. The initial term of the license agreement is from the Closing Date through December 2041, and we have 10 successive options to renew the license agreement for periods of 5 years.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Due to the limited time since the Closing Date, the initial accounting for the Marc Jacobs acquisition is incomplete as of the date of this filing. As such, it is impracticable for the Company to make certain business combination disclosures required by ASC 805 – </w:t>
      </w:r>
      <w:r>
        <w:rPr>
          <w:rFonts w:ascii="Times New Roman;Times;serif" w:hAnsi="Times New Roman;Times;serif"/>
          <w:i/>
          <w:sz w:val="20"/>
        </w:rPr>
        <w:t>Business Combinations</w:t>
      </w:r>
      <w:r>
        <w:rPr>
          <w:rFonts w:ascii="Times New Roman;Times;serif" w:hAnsi="Times New Roman;Times;serif"/>
          <w:sz w:val="20"/>
        </w:rPr>
        <w:t xml:space="preserve"> at this time. The Company is unable to provide i) the allocation of the preliminary purchase price to the fair value of assets acquired and liabilities assumed and ii) supplemental pro forma revenue and earnings of the combined entity. The Company will provide this information in its quarterly report on Form 10-Q for the quarter ending October 31, 2026.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50" w:name="Item2ManagementsDiscussion_401041"/>
      <w:bookmarkStart w:id="1451" w:name="_41adda17_0a08_44ca_bb50_b5777236460c"/>
      <w:bookmarkEnd w:id="1450"/>
      <w:bookmarkEnd w:id="145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Unless the context otherwise requires, “G-III,” “us,” “we” and “our” refer to G-III Apparel Group, Ltd. and its subsidiaries. References to fiscal years refer to the year ended or ending on January 31 of that year. For example, our fiscal year ending January 31, 2027 is referred to as “fiscal 2027.”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Each of Vilebrequin, KLH and certain other subsidiaries report results on a calendar year basis rather than on the January 31 fiscal year basis used by G-III. Accordingly, the results of Vilebrequin, KLH and certain other subsidiaries are included in the financial statements for the quarter ended or ending closest to G-III’s fiscal quarter end. For example, with respect to our results for the six-month period ended July 31, 2026, the results of Vilebrequin, KLH and certain other subsidiaries are included for the six-month period ended June 30, 2026. Our retail operations segment reports on a 52/53 week fiscal year. For fiscal 2027 and 2026, the three and six-month periods for the retail operations segment were each 13-week and 26-week periods and ended on August 1, 2026 and August 2, 2025,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Various statements contained in this Quarterly Report on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“believe,” “envision,” “forecast” and similar words or phrases and involve known and unknown risks, uncertainties and other factors that may cause actual results, performance or achievements to be materially different from the expected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 </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failure to maintain or renew our material license agreements could cause us to lose significant revenues and have a material adverse effect on our results of operations;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the strategies and reputation of our licensors;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risks associated with</w:t>
            </w:r>
            <w:r>
              <w:rPr>
                <w:caps w:val="false"/>
                <w:smallCaps w:val="false"/>
              </w:rPr>
              <w:t xml:space="preserve"> </w:t>
            </w:r>
            <w:r>
              <w:rPr>
                <w:rFonts w:ascii="Times New Roman;Times;serif" w:hAnsi="Times New Roman;Times;serif"/>
                <w:b w:val="false"/>
                <w:i w:val="false"/>
                <w:caps w:val="false"/>
                <w:smallCaps w:val="false"/>
                <w:sz w:val="20"/>
              </w:rPr>
              <w:t>our wholesale operations including risks relating to the image of our proprietary brands and business practices of our customers;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social media and our collaborations with influencers;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customers changing buying patterns, requesting additional allowances, developing private-label brands, or entering exclusive agreements with national brand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customer concentration, and the risk that the loss of one of our largest customers could adversely affect our business;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retail operations segment;</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existing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strategic acquisitions and investments and possible disruptions from acquisitions (including our acquisition of the Marc Jacobs business and our joint venture with WHP Global that holds the Marc Jacobs intellectual property) and the risks associated with our ability to maintain an effective internal control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acquisition of the Marc Jacobs business, including our ability to transition the Marc Jacobs business and to realize the anticipated benefits of the acquisition on a timely basis, the expenses related to the acquisition and the transition of the business, and our ability to operate the Marc Jacobs business being dependent on a license agreement that is terminable under certain circumstances;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nature of our business and effect of unseasonable or extreme weather on our business;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from disruptions to the worldwide supply chain;</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availability and quality of materials used in our products;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protect our trademarks and other intellectual property;</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our partners may not generate expected sales or maintain the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current economic and credit environment on us, our customers, suppliers and vendors, including without limitation, the effects of inflationary cost pressures and higher interest rates;</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bankruptcy or liquidation of major department, mass merchant and specialty store chains;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war, acts of terrorism, natural disasters or public health crises could adversely affect our business and results of operations, including the conflicts in Ukraine and the Middle East;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anticipate and respond to changing customer preferences and shifts in fashion and industry trends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foreign manufacturers and arrangements with them, exposing us to potential import restrictions, duties and tariffs;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expansion into foreign markets, conducting business internationally and exposures to foreign 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evolving privacy laws that impose additional limits on how we collect or use customer information;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rules relating to the processing of credit card payments;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of data security or privacy breaches;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use of artificial intelligence;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policies and tariffs imposed by the United States government and the governments of other nations;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the imposition of tariffs by the United States government and the escalation of trade tensions between countries;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legislation or exposure to additional tax liabilities that could impact our business;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regulations applicable to us as a U.S. public company;</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in the price of our common stock;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effect on the price of our stock if actual results are worse than financial forecasts or if we are unable to provide financial forecasts;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trademarks or other intangibles may require us to record charges against earnings;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dividends on our common stock;</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our indebtedness may have on our financial condition and our ability to obtain financing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and financial restrictions related to our ABL credit agreement that may limit our current and future operating flexibility.</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2026. We undertake no obligation to publicly update or revise any forward-looking statements, whether as a result of new information, future events or otherwise, except as required by law.</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452" w:name="_Hlk167102937"/>
      <w:bookmarkEnd w:id="1452"/>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G-III is a global leader in fashion with expertise in design, sourcing, distribution and marketing, which enables us to fuel growth across a portfolio of over 30 globally recognized owned and licensed brands, anchored by our key owned brands, DKNY, Donna Karan, Karl Lagerfeld and Vilebrequin. We develop products across a diverse range of lifestyle categories which include outerwear, dresses, sportswear, suit separates, athleisure, jeans, swimwear, as well as handbags, footwear, small leather goods, cold weather accessories and luggage. Our brands are positioned to sell at various price points with global distribution across a diverse mix of channels and geographies to reach a broad range of consumers.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owned brands include DKNY, Donna Karan, Karl Lagerfeld, Vilebrequin, Eliza J, Jessica Howard, Andrew Marc, G.H. Bass, Wilsons Leather and Sonia Rykiel. We have an extensive portfolio of well-known licensed brands, including Calvin Klein, Tommy Hilfiger, BCBG, Converse, French Connection, Halston, Levi’s, Champion, Nautica, Starter and major national sports leagues, among others. Through our licensed team sports business, we have partnerships with the National Football League, National Basketball Association, Major League Baseball, National Hockey League and over 150 U.S. colleges and universities. We also source and sell products to major retailers for their own private label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Bloomingdale’s, Dillard’s, Nordstrom, El Cortes Ingles, Kohl’s, TJ Maxx, Marshall’s, Ross Stores, Burlington and Costco. We also sell our products using digital channels through retail partners such as macys.com, bloomingdales.com, nordstrom.com and dillards.com, each of which operates significant digital businesses.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Karl Lagerfeld, Karl Lagerfeld Paris and Vilebrequin retail stores, as well as through our digital sites for our DKNY, Donna Karan, Karl Lagerfeld, Karl Lagerfeld Paris, Vilebrequin and Wilsons Leather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that are accepted in the marketplace, source the manufacture of our products on a competitive basis and continue to diversify our product portfolio and the markets we serve.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Marc Jacobs Acquisition and License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14, 2026, we entered into certain agreements relating to the acquisition of the Marc Jacobs business (the “Marc Jacobs Acquisition”) from LVMH Moet Hennessy Louis Vuitton Inc. and its affiliates (“LVMH”), which was completed as of September 1, 2026 (the “Closing Date”). The transaction was structured such that (i) MJ Topco, LLC (“IPCo”), a newly formed joint venture in which a subsidiary of the Company owns 50% of the membership interests and an affiliate of WHP Global (“WHP”) owns the remaining 50%, acquired all of the issued and outstanding units of Marc Jacobs Holdings, LLC through a wholly-owned indirect subsidiary, Majestic AcqCo, LLC, (ii) following such acquisition, we acquired 100% of the Marc Jacobs operating business through our subsidiaries, and (iii) IPCo retained the Marc Jacobs intellectual property and certain other retained assets. We funded our approximately $500 million investment using cash on hand and borrowings under our revolving credit facility. We operate the business pursuant to a license from IPCo.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license agreement, entered into on the Closing Date by IPCo and certain subsidiaries of the Company, granted an exclusive right to use the Marc Jacobs brand in the United States, Canada, Mexico and Western Europe for the distribution, promotion and sale of specified product categories, including women’s and men’s apparel, handbags, footwear, swim, small leather goods, luggage and cold weather accessories, through wholesale channels, branded retail stores and branded e-commerce sites. The initial term of the license agreement is from the Closing Date through December 2041, and we have 10 successive options to renew the license agreement for periods of 5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French Connection License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February 2026, we entered into a license agreement with French Connection Limited to design and produce women’s and men’s apparel (subject to certain exclusions), women’s and men’s outerwear, handbags and men’s footwear under the French Connection brand. The license agreement includes an initial term of five-years with an option to renew for an additional five-year term. The products produced under this license agreement are expected to be distributed in North America through our diversified distribution network, including premier department stores, digital channels, as well as other channels. First deliveries of our French Connection product began in February 2026 for Spring 2026. We believe that significant opportunity exists in the categories subject to this license agreement where we have strong expertise, and the products expected to be produced align with G-III’s core competencies.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AWWG Brand Agency Termination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2025, we entered into agreements for AWWG Investments B.V. (“AWWG”) to act as the official agent for DKNY, Donna Karan and Karl Lagerfeld across Spain and Portugal, as well as for our licensed Converse products in select countries. In June 2026, the Company and AWWG agreed to terminate the brand agency agreements as well as certain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related service agreements and are working toward an orderly transition of the affected operations, with termination effective as of December 31,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our retail stores and digital sites. Wholesale revenues also include royalty revenues from license agreements related to our owned trademarks including DKNY, Donna Karan, Karl Lagerfeld, G.H. Bass, Andrew Marc, Vilebrequin and Sonia Rykiel in product categories we do not produce ourselves.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retail operations segment consists primarily of direct sales to consumers through our company operated stores and product sales through our digital sites for the DKNY, Donna Karan, Karl Lagerfeld Paris and Wilsons Leather brands. As of July 31, 2026, our retail operations segment consisted of 47 company operated stores for our DKNY and Karl Lagerfeld Paris brands, substantially all of which are operated as outlet stores in North America.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Affecting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Tariffs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Beginning in April 2025, the United States announced additional tariffs on goods imported into the United States, with incremental tariffs on products imported from many countries, including China, Vietnam and Bangladesh, and the potential for further increases and revisions or terminations to existing trade agreements. In response, some countries have announced, or are otherwise considering, retaliatory tariffs on United States exports and other trade restrictions. These actions have led to significant volatility and uncertainty in global markets. During fiscal 2026, approximately 71.6% of our product was sourced from China, Vietnam and Bangladesh.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February 2026, the Supreme Court of the United States ruled against the current administration’s use of the International Emergency Economic Powers Act (“IEEPA”) to impose certain tariffs levied since February 2025. Pursuant to a court order on March 4, 2026 from the U.S. Court of International Trade (“CIT”) directing the refund of such tariffs, including applicable interest, on April 20, 2026, U.S. Customs and Border Protection (“CBP”) launched the Consolidated Administration and Processing of Entries (“CAPE”) system to facilitate refund claims, to which we have successfully submitted our refund claim. We received approximately $129.7 million in tariff refunds from the U.S. Department of Treasury during the second quarter of fiscal 2027. As of July 31, 2026, we have a tariff refund receivable remaining of approximately $9.8 million, which is included within prepaid expenses and other current assets in our condensed consolidated balance sheets. The timing of cash receipts for our remaining tariff refund claim remains dependent upon the processing of refund claims by CBP and the U.S. Department of Treasury.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Following the Supreme Court ruling, the current administration imposed a global tariff of 10% effective February 24, 2026, under Section 122 of the Trade Act of 1974. The Section 122 tariff expired on July 24, 2026 following the expiration of the 150-day period authorized under Section 122. On May 7, 2026, the CIT ruled that the Section 122 tariffs exceeded the President’s authority. The government appealed the CIT’s decision, and the U.S. Court of Appeals for the Federal Circuit stayed the CIT’s judgment pending resolution of the appeal.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Effective July 24, 2026, the Office of the United States Trade Representative (“USTR”) imposed additional tariffs under Section 301 of the Trade Act of 1974 on products imported from numerous countries. Subject to certain product exemptions, these tariffs include additional duties of 12.5% on products from China and Vietnam and 10% on products from Bangladesh. USTR also continues to pursue other Section 301 investigations involving various countries, including China, Vietnam and Bangladesh, which could result in additional tariffs or other trade restrictions.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While the elimination of IEEPA tariffs is expected to have a favorable impact on gross margin, the Section 301 tariffs that became effective in July 2026, as well as any additional tariffs or trade restrictions that may be imposed in the future, may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offset such benefits and could adversely affect our financial results. We continue to monitor these changing tariffs and trade restrictions. We are taking steps to mitigate the impact of new and increased tariffs by working with our long-standing vendors to participate in the increased costs, increasing prices where possible and continuing to look for alternative sourcing options.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Industry Trends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distribute our products through multiple channels, including online through retail partners such as macys.com, bloomingdales.com, nordstrom.com and dillards.com, each of which operates a significant online business. In addition, we sell to leading online retail partners such as Amazon, Fanatics, Zalando and Zappos. We also distribute apparel and other products directly to consumers through our own DKNY, Karl Lagerfeld and Vilebrequin retail stores, as well as through our digital sites for our DKNY, Donna Karan, Karl Lagerfeld, Karl Lagerfeld Paris, Vilebrequin and Wilsons Leather brands. As sales of apparel through digital channels continue to increase, we are developing additional digital marketing initiatives on both our own websites and third party websites and through social media. We are investing in digital personnel, marketing, logistics, planning, distribution and other strategic opportunities to expand our digital footprint.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number of retailers have experienced financial difficulties, which in some cases have resulted in bankruptcies, liquidations and/or store closings, such as the recent bankruptcy filing by Saks Global.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 We may also obtain credit insurance in certain circumstances to further mitigate credit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attempted to respond to general trends in our industry by continuing to focus on selling products with recognized brand equity, by attention to design, quality and value and by improving our sourcing capabilities. We have also pursued several strategic opportunities, such as (i) our purchase of the interests not previously owned by us that resulted in Karl Lagerfeld becoming our wholly-owned subsidiary, (ii) new license agreements entered into by us, such as our recent license agreements for the Halston, Champion, Converse, BCBG and French Connection brands and (iii) our formation of a joint venture with WHP which acquired Marc Jacobs Holdings, LLC. Our actions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Calvin Klein and Tommy Hilfiger Licenses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sale of licensed products is an important part of our business. Net sales of products under the Calvin Klein and Tommy Hilfiger brands constituted approximately 28.0% of our net sales in fiscal 2026 and approximately 34.0% of our net sales in fiscal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licenses for Calvin Klein and Tommy Hilfiger products expire on a staggered basis, with expirations that began on December 31, 2024 and continue through December 31, 2026. Unless we are able to increase the sales of our other products, acquire new businesses and/or enter into other license agreements covering different products, the staggered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expirations of the Calvin Klein and Tommy Hilfiger license agreements will cause a significant decrease in our net sales and have a material adverse effect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continue to take strategic actions to mitigate the loss of this business by continuing to develop and expand our owned brands, such as DKNY, Donna Karan and Karl Lagerfeld, through new product lines, marketing initiatives, international growth, executing on digital channel business opportunities and our recent formation of a joint venture with WHP which acquired Marc Jacobs Holdings, LLC. Additionally, we also recognize higher gross profit percentages on sales of our owned brands. We also seek to expand sales in our go-forward portfolio of licensed brands, including our team sports business, as well as through our recent licenses for the Halston and Champion brands that launched in fiscal 2025, the Converse and BCBG brands that launched in fiscal 2026 and the French Connection brand that launched in fiscal 2027.</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Calvin Klein and Tommy Hilfiger licenses that expired in fiscal 2026 or have expirations in our fiscal 2027 year contributed the following net sales to our total net sales in fiscal 2026:</w:t>
      </w:r>
    </w:p>
    <w:p>
      <w:pPr>
        <w:pStyle w:val="TextBody"/>
        <w:bidi w:val="0"/>
        <w:spacing w:before="0" w:after="0"/>
        <w:ind w:left="0" w:right="0" w:hanging="0"/>
        <w:jc w:val="both"/>
        <w:rPr>
          <w:shd w:fill="FFFF00" w:val="clear"/>
        </w:rPr>
      </w:pPr>
      <w:r>
        <w:rPr>
          <w:shd w:fill="FFFF00" w:val="clear"/>
        </w:rPr>
        <w:t>​</w:t>
      </w:r>
    </w:p>
    <w:tbl>
      <w:tblPr>
        <w:tblW w:w="8584" w:type="dxa"/>
        <w:jc w:val="left"/>
        <w:tblInd w:w="0" w:type="dxa"/>
        <w:tblLayout w:type="fixed"/>
        <w:tblCellMar>
          <w:top w:w="0" w:type="dxa"/>
          <w:left w:w="0" w:type="dxa"/>
          <w:bottom w:w="0" w:type="dxa"/>
          <w:right w:w="0" w:type="dxa"/>
        </w:tblCellMar>
      </w:tblPr>
      <w:tblGrid>
        <w:gridCol w:w="5146"/>
        <w:gridCol w:w="109"/>
        <w:gridCol w:w="222"/>
        <w:gridCol w:w="1595"/>
        <w:gridCol w:w="222"/>
        <w:gridCol w:w="645"/>
        <w:gridCol w:w="645"/>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67710" cy="175260"/>
                      <wp:effectExtent l="0" t="0" r="0" b="0"/>
                      <wp:wrapNone/>
                      <wp:docPr id="157" name="Frame157"/>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0970" cy="175260"/>
                      <wp:effectExtent l="0" t="0" r="0" b="0"/>
                      <wp:wrapNone/>
                      <wp:docPr id="159" name="Frame15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012825" cy="175260"/>
                      <wp:effectExtent l="0" t="0" r="0" b="0"/>
                      <wp:wrapNone/>
                      <wp:docPr id="160" name="Frame160"/>
                      <a:graphic xmlns:a="http://schemas.openxmlformats.org/drawingml/2006/main">
                        <a:graphicData uri="http://schemas.microsoft.com/office/word/2010/wordprocessingShape">
                          <wps:wsp>
                            <wps:cNvSpPr txBox="1"/>
                            <wps:spPr>
                              <a:xfrm>
                                <a:off x="0" y="0"/>
                                <a:ext cx="1012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0970" cy="175260"/>
                      <wp:effectExtent l="0" t="0" r="0" b="0"/>
                      <wp:wrapNone/>
                      <wp:docPr id="161" name="Frame16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09575" cy="175260"/>
                      <wp:effectExtent l="0" t="0" r="0" b="0"/>
                      <wp:wrapNone/>
                      <wp:docPr id="162" name="Frame162"/>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09575" cy="175260"/>
                      <wp:effectExtent l="0" t="0" r="0" b="0"/>
                      <wp:wrapNone/>
                      <wp:docPr id="163" name="Frame163"/>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Portion of Total G-III Fiscal 2026 Net Sales</w:t>
            </w:r>
          </w:p>
        </w:tc>
      </w:tr>
      <w:tr>
        <w:trPr/>
        <w:tc>
          <w:tcPr>
            <w:tcW w:w="5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2"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858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9"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 except for percentages)</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Calvin Klein and Tommy Hilfiger license expirations by date:</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159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1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435,642</w:t>
            </w:r>
          </w:p>
        </w:tc>
        <w:tc>
          <w:tcPr>
            <w:tcW w:w="222"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2026</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1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391,561</w:t>
            </w:r>
          </w:p>
        </w:tc>
        <w:tc>
          <w:tcPr>
            <w:tcW w:w="222"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Litigation with PVH Corp.</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13, 2025, the Company filed a complaint against PVH Corp. and two of its subsidiaries (“Defendants”) in the New York County Commercial Division of the Supreme Court of the State of New York for breach of contract, breach of the implied covenant of good faith and fair dealing, and tortious interference with contract arising out of the unreasonable denial of the Company’s request to extend the Calvin Klein and Tommy Hilfiger licenses for the women’s suits category for an additional three-year period and other actions taken by Defendants that undermined the Company’s ability to perform under Calvin Klein and Tommy Hilfiger license agreements and subjected the Company to contractual penalties. On July 30, 2025, Calvin Klein, Inc. and Tommy Hilfiger Licensing LLC filed their own complaint against G-III in the same court alleging breaches of the license agreements between the parties. On April 30, 2026, in response to the Company’s amended complaint, Defendants filed counterclaims alleging breaches of the license agreements. The Company has moved to dismiss those counterclaims. On June 18, 2026, the Company filed a motion seeking leave to file a second amended complaint to add allegations that the PVH parties tortiously interfered with the Company’s subsidiaries’ agreements with AWWG, and that the PVH parties breached the confidentiality provisions in the license agreements between the parties.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believes that Calvin Klein, Inc. and Tommy Hilfiger Licensing LLC’s complaint and counterclaims are without merit, and the Company intends to vigorously defend against these actions. Due to the uncertainty inherent in any litigation, the Company is unable to estimate any reasonably possible loss, or range of loss, with respect to this matter.</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Tax Laws and Regulations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2025, the One Big Beautiful Bill Act (“OBBBA”) was enacted in the United States. The legislation has multiple effective dates, with certain provisions becoming effective in 2025 and others implemented through 2029. The OBBBA makes key elements of the Tax Cuts and Jobs Act permanent, including 100% bonus depreciation, and makes modifications to the international tax framework. We recognized the impact of the OBBBA in our second fiscal quarter ended July 31, 2025, the period in which the legislation was enacted. The impact of the OBBBA was immaterial to our provision for income taxes for the three and six months ended July 31, 2026 and our condensed consolidated balance sheet as of July 31,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Council of the European Union (“EU”) announced that EU member states reached an agreement to implement the minimum tax component of the Organization for Economic Co-operation and Development’s (“OECD”) international tax reform initiative, known as Pillar Two. The Pillar Two Model Rules provide for a global minimum tax of 15% for multinational enterprise groups (“MNEs”) and were effective beginning fiscal 2025. In January 2026, the OECD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introduced a side-by-side agreement in which U.S.-parented MNEs are exempt from certain aspects of the global minimum tax. This agreement is effective for our fiscal year ending January 31, 2027, but is subject to adoption by each jurisdiction. While these rules are not expected to have a material impact on our effective tax rate or financial results for fiscal 2027, we continue to monitor our operations and evolving tax legislation in the jurisdictions in which we operate.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Inflation and Interest Rates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Inflationary pressures have impacted the entire economy, including our industry. Recent high rates of inflation, including increased fuel and food prices and the enactment of additional tariffs by the United States government, have led to a softening of consumer demand, increased promotional activity in the apparel categories we sell and higher pricing of our products. Ongoing inflation may lead to further challenges to increase our sales and may also negatively impact our cost structure and labor costs in the future.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rates in the United States and certain international markets remain elevated, continuing to influence consumer borrowing costs and discretionary spending patterns.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Foreign Currency Fluctuation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International Conflicts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are monitoring the direct and indirect impacts from the military conflicts in Ukraine and the Middle East. These international conflicts and the continued threat of terrorism, heightened security measures and military action in response to acts of terrorism or civil unrest have disrupted commerce and intensified concerns regarding the United States and world economies. </w:t>
      </w:r>
      <w:r>
        <w:rPr>
          <w:rFonts w:ascii="Times New Roman;Times;serif" w:hAnsi="Times New Roman;Times;serif"/>
          <w:sz w:val="20"/>
        </w:rPr>
        <w:t>The imposition of additional sanctions by the United States and/or foreign governments, as well as the sanctions already in place, could lead to restrictions related to sales and our supply chain for which the financial impact is uncertain. In addition,</w:t>
      </w:r>
      <w:r>
        <w:rPr>
          <w:rFonts w:ascii="Times New Roman;Times;serif" w:hAnsi="Times New Roman;Times;serif"/>
          <w:sz w:val="20"/>
          <w:shd w:fill="FFFFFF" w:val="clear"/>
        </w:rPr>
        <w:t xml:space="preserve">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bookmarkStart w:id="1453" w:name="_Hlk143611891"/>
      <w:bookmarkEnd w:id="1453"/>
      <w:r>
        <w:rPr>
          <w:rFonts w:ascii="Times New Roman;Times;serif" w:hAnsi="Times New Roman;Times;serif"/>
          <w:i/>
          <w:sz w:val="20"/>
        </w:rPr>
        <w:t>Supply Chain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global supply chain continues to be negatively impacted by various factors, including the ongoing disruptions in the Middle East, the various tariffs imposed across all countries and recent typhoon activity in Asia. The latest developments related to Iran have added further uncertainty to our supply chain operations. Conflicts in the Middle East continue to cause major disruptions to global supply chains by impacting critical shipping routes through the Suez Canal and Red Sea for cargo, adding time and cost to shipments. To date, our business has not been significantly impacted by such disruptions; however, we have experienced shipping delays impacting the timing of inventory receipts. These delays have not resulted in a significant loss of customer sales. If there is further escalation of these conflicts, it may negatively impact the timely receipt of inventory as well as increase our shipping costs.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imposition of tariffs by the U.S. government and certain foreign jurisdictions, along with geopolitical tensions, has created an uncertain environment for global trade. As the impact of new or increased tariffs, quotas, embargoes or other trade barriers that could impact our supply chain and cost structure is dependent on global trade negotiations, we continue to monitor these changing tariffs and trade restrictions. We source substantially all of our products from a global network of independent, third-party manufacturers, primarily located in Asia.</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Recent typhoon activity across China and Vietnam has created significant disruption to ocean shipping throughout Asia. Repeated port closures and temporary terminal suspensions have interrupted vessel schedules, reduced terminal productivity and created vessel and container backlogs at several major export gateways. Shanghai and Ningbo have been particularly affected, as has the Hai Phong region of Vietnam. The series of typhoons has reduced schedule reliability across ocean shipping networks in Asia and is expected to result in longer transit times, an increased risk of cargo rollover, equipment and space constraints and downstream delays at destination ports as displaced vessel schedules move through the global network. Recovery at the most congested Chinese ports could take several weeks.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will continue to monitor supply chain challenges and coordinate with our partners to divert or adjust routes and destinations accordingly to ensure timely delivery of our product.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July 31, 2026 compared to three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July 31,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three months ended July 31, 2026 decreased to $554.1 million from $613.3 million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of our wholesale operations segment decreased to $530.8 million for the three months ended July 31, 2026 from $589.0 million in the comparable period last year. We sell a broad range of products at varying price points and deliver newly designed products each year. In addition, we have certain revenues, primarily from royalty revenues, that are not based on our shipping units of product. In total, our decrease in sales was driven by a decrease in the number of units we shipped, partially offset by higher average prices. The decrease in net sales of our wholesale operations segment was primarily the result of decreases in net sales of $95.2 million of our Calvin Klein and Tommy Hilfiger licensed products, due in part to several expired licenses that are not part of our go-forward business. These decreases were partially offset by increases in net sales of $28.9 million of our Donna Karan products and our BCBG, Converse and French Connection licensed products. The increase in sales of Donna Karan products was primarily related to the dresses, suits and sportswear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decreased to $39.5 million for the three months ended July 31, 2026 from $41.1 million in the same period last year. The decrease in net sales in our retail operations segment was primarily the result of the transition of our G.H. Bass digital business to a licensee during the current fiscal year. </w:t>
      </w:r>
      <w:r>
        <w:rPr>
          <w:rFonts w:ascii="Times New Roman;Times;serif" w:hAnsi="Times New Roman;Times;serif"/>
          <w:sz w:val="20"/>
          <w:shd w:fill="FFFFFF" w:val="clear"/>
        </w:rPr>
        <w:t>The number of retail stores operated by us was 47 at both July 31, 2026 and 2025. Comparable store sales, which include both stores and digital channels, increased for Donna Karan and DKNY compared to the same period in the prior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$250.4 million, or 45.2% of net sales, for the three months ended July 31, 2026, compared to $250.5 million, or 40.8% of net sales, in the same period last year. The gross profit percentage in our wholesale operations segment was 43.3% in the three months ended July 31, 2026 compared to 38.9% in the same period last year. The gross profit percentage in the current year period was positively impacted by price increases as well as a shift in product mix to owned brands in which we recognize higher gross profit percentages compared to licensed brands. Additionally, the gross profit percentage in the prior year period was negatively impacted by increased tariffs. The gross profit percentage in our retail operations segment was 50.6% for the three months ended July 31, 2026 compared to 52.4% for the same period last year. The gross profit percentage in the current year period was negatively impacted by increased promotional 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to $231.4 million in the three months ended July 31, 2026 from $226.8 million in the same period last year. Selling, general and administrative expenses of our wholesale operations segment increased to $210.4 million in the three months ended July 31, 2026 from $205.9 million in the comparable period last year. The increase in expenses was primarily due to increases of (i) $6.3 million in professional fees related to our strategic joint venture to acquire the Marc Jacobs operating business as well as legal fees related to other matters and (ii) $5.1 million in compensation expenses, primarily due to an increase in salaries and share-based compensation expense. These increases were partially offset by a decrease of $6.9 million in third-party warehouse expenses resulting from shipping fewer units of inventory. Selling, general and administrative expenses of our retail operations segment were $21.0 million in the three months ended July 31, 2026 compared to $20.9 million in the same period last year.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was $8.2 million for the three months ended July 31, 2026 compared to $7.3 million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454" w:name="_Hlk119669502"/>
      <w:bookmarkEnd w:id="1454"/>
      <w:r>
        <w:rPr>
          <w:rFonts w:ascii="Times New Roman;Times;serif" w:hAnsi="Times New Roman;Times;serif"/>
          <w:sz w:val="20"/>
        </w:rPr>
        <w:t>Other loss was $2.7 million in the three months ended July 31, 2026 compared to other loss of $0.7 million in the same period last year. Other loss in the current period consisted of $0.9 million of foreign currency loss during the current year period compared to $1.3 million of foreign currency income in the same period last year. Our foreign currency income and losses are primarily related to the euro. Additionally, other loss in the current period consisted of a $2.4 million loss from unconsolidated affiliates during the current year period compared to $2.0 million of losses from unconsolidated affiliates in the same period last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and financing charges, net, for the three months ended July 31, 2026 resulted in income of $6.0 million compared to income of $0.3 million in the same period last year. The increase in interest income was primarily due to $4.2 million of interest income received from refunded IEEPA tariffs and a $1.3 million increase in investment income from having a larger cash position in the current period compared to the prior year’s period.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455" w:name="_Hlk143617728"/>
      <w:bookmarkEnd w:id="1455"/>
      <w:r>
        <w:rPr>
          <w:rFonts w:ascii="Times New Roman;Times;serif" w:hAnsi="Times New Roman;Times;serif"/>
          <w:sz w:val="20"/>
        </w:rPr>
        <w:t>Income tax benefit was $6.1 million for the three months ended July 31, 2026 compared to income tax expense of $5.0 million for the same period last year. We recognized a negative effective tax rate of 43.5% in the current year’s quarter compared to a positive effective tax rate of 31.2% in last year’s comparable quarter. The negative effective tax rate in the current year period was driven by discrete items in the quarter, principally the release of a valuation allowance related to prior year impairments that have been determined to be deductible for tax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July 31, 2026 compared to six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July 31,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six months ended July 31, 2026 decreased to $1.09 billion from $1.20 billion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of our wholesale operations segment decreased to $1.05 billion for the six months ended July 31, 2026 from $1.15 billion in the comparable period last year. We sell a broad range of products at varying price points and deliver newly designed products each year. In addition, we have certain revenues, primarily from royalty revenues, that are not based on our shipping units of product. In total, our decrease in sales was driven by a decrease in the number of units we shipped, partially offset by higher average prices. The decrease in net sales of our wholesale operations segment was primarily the result of decreases in net sales of $186.3 million of our Calvin Klein and Tommy Hilfiger licensed products, due in part to several expired licenses that are not part of our go-forward business, as well as in DKNY products. These decreases were partially offset by increases in net sales of $71.8 million of our Donna Karan products and our BCBG, Converse and French Connection licensed products. The increase in sales of Donna Karan products was primarily related to the dresses, suits and sportswear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increased to $80.1 million for the six months ended July 31, 2026 from $77.4 million in the same period last year. </w:t>
      </w:r>
      <w:r>
        <w:rPr>
          <w:rFonts w:ascii="Times New Roman;Times;serif" w:hAnsi="Times New Roman;Times;serif"/>
          <w:sz w:val="20"/>
          <w:shd w:fill="FFFFFF" w:val="clear"/>
        </w:rPr>
        <w:t>The increase in sales in our retail operations segment was the result of increased sales through our Karl Lagerfeld Paris stores, DKNY stores and Donna Karan website. The number of retail stores operated by us was 47 at both July 31, 2026 and 2025. Comparable store sales, which include both stores and digital channels, increased for Karl Lagerfeld Paris, Donna Karan and DKNY compared to the same period in the prior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$598.1 million, or 54.9% of net sales, for the six months ended July 31, 2026, compared to $497.0 million, or 41.5% of net sales, in the same period last year. The gross profit percentage in our wholesale operations segment was 53.4% in the six months ended July 31, 2026 compared to 39.6% in the same period last year. The gross profit percentage in the current year period was positively impacted by a benefit of $102.8 million recognized in cost of goods sold related to the recovery of previously incurred IEEPA tariffs on inventory sold in the prior year. Excluding the impact of the IEEPA tariff benefit, the gross profit percentage in our wholesale operations segment was 43.6% for the six months ended July 31, 2026, which was positively impacted by price increases as well as a shift in product mix to owned brands in which we recognize higher gross profit percentages compared to licensed brands. The gross profit percentage in our retail operations segment was 49.3% for the six months ended July 31, 2026 compared to 52.9% for the same period last year. The gross profit percentage in the current year period was negatively impacted by increased promotional activity.</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to $486.7 million in the six months ended July 31, 2026 from $458.3 million in the same period last year. Selling, general and administrative expenses of our wholesale operations segment increased to $444.8 million in the six months ended July 31, 2026 from $415.6 million in the comparable period last year. The increase in expenses was primarily due to increases of (i) $22.5 million in compensation expenses, primarily due to an increase in incentive compensation, salaries and share-based compensation expense and (ii) $12.7 million in professional fees related to our strategic joint venture to acquire the Marc Jacobs operating business as well as legal fees related to other matters. These increases were partially offset by a decrease of $11.2 million in third-party warehouse expenses resulting from shipping fewer units of inventory. Selling, general and administrative expenses of our retail operations segment were $41.9 million during the six months ended July 31, 2026 compared to $42.7 million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was $15.4 million for the six months ended July 31, 2026 compared to $13.9 million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loss was $3.5 million in the six months ended July 31, 2026 compared to other income of $2.8 million in the same period last year. Other loss in the current period consisted of $1.6 million of foreign currency loss during the current year period compared to $3.2 million of foreign currency income in the same period last year. Our foreign currency income and losses are primarily related to the euro. Additionally, other loss in the current period consisted of $2.4 million of losses from unconsolidated affiliates during the current year period compared to $0.4 million of losses from unconsolidated affiliates in the same period last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and financing charges, net, for the six months ended July 31, 2026 resulted in income of $7.1 million compared to expense of $0.2 million in the same period last year. The increase in interest income was primarily due to $4.2 million of interest income received from refunded IEEPA tariffs and a $2.5 million increase in investment income from having a larger cash position in the current period compared to the prior year’s period.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expense was $13.0 million for the six months ended July 31, 2026 compared to $8.7 million for the same period last year. Our effective tax rate decreased to 13.0% in the current year’s period from 31.7% in last year’s comparable period. The lower effective tax rate in the current year period was driven by discrete items in the period, principally the tariff refund that was taxed at a lower rate and the release of a valuation allowance related to prior year impairments that have been determined to be deductible for tax purposes.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6" w:name="_Hlk167108057"/>
      <w:bookmarkEnd w:id="1456"/>
      <w:r>
        <w:rPr>
          <w:rFonts w:ascii="Times New Roman;Times;serif" w:hAnsi="Times New Roman;Times;serif"/>
          <w:b/>
          <w:sz w:val="20"/>
        </w:rPr>
        <w:t xml:space="preserve">Liquidity and Capital Resources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Availability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occupancy, payments to vendors in the normal course of business, capital expenditures, interest payments on debt obligations, payments of cash dividends, income tax payments and acquisitions. We have also used cash to repurchase our shares and make strategic investments.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July 31, 2026, we had cash and cash equivalents of $529.2 million and availability under our revolving credit facility of approximately $470.0 million. As of July 31, 2026, we were in compliance with all covenants under our revolving credit facility.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18, 2026, our Board of Directors declared a cash dividend of $0.10 per share. The dividend will be paid on September 29, 2026 to all stockholders of record as of September 15, 2026. </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Tariff Refund</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second quarter of fiscal 2027, we received approximately $129.7 million from the U.S. Department of Treasury related to our IEEPA tariff refund claim and approximately $4.2 million of statutory interest. As of July 31, 2026, approximately $9.8 million of our original tariff refund claim remains outstanding and is expected to be processed as part of CBP’s Phase 2 refund process.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Third Amended and Restated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4,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$700.0 million. We and certain of our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 As of July 31, 2026, interest under the Third ABL Credit Agreement was being paid at an average rate of 7.25% per annum.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paying interest on any outstanding borrowings under the Third ABL Credit Agreement, we are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July 31, 2026, we were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we had no borrowings outstanding under the Third ABL Credit Agreement. The Third ABL Credit Agreement also includes amounts available for letters of credit. As of July 31, 2026, there were no outstanding trade letters of credit and $2.5 million of standby letters of credit.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 total of $6.3 million in debt issuance costs related to our Third ABL Credit Agreement. As permitted under ASC 835, the debt issuance costs have been deferred and are presented as an asset which is amortized ratably over the term of the Third ABL Credit Agreement. Total debt issuance costs, net of amortization, were $3.6 million, $4.8 million and $4.2 million as of July 31, 2026, July 31, 2025 and January 31, 2026, respectively.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Unsecured Loans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to provide funding for operations in the normal course of business. In the aggregate, the Company is currently required to make quarterly installment payments of principal in the amount of €0.8 million under these loans. Interest on the outstanding principal amount of the unsecured loans accrues at a fixed rate equal to 0% to 5.0% per annum, payable on either a quarterly or monthly basis. As of July 31, 2026, we had an aggregate outstanding balance of €1.9 million ($2.2 million) under these various unsecured loans.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of our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EURIBOR plus a margin of 1.75% per annum, payable quarterly. The facility may be cancelled at any time by us or HSBC Bank. Certain of our foreign entities have also entered into several state backed overdraft facilities with UBS Bank in Switzerland for an aggregate of CHF 4.7 million at varying interest rates of 0% to 0.5%. As of July 31, 2026, we had an aggregate outstanding balance of €0.9 million ($1.0 million) under these various facilities.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KLH has a credit agreement with ABN AMRO Bank N.V. with a credit limit of €15.0 million which is secured by specified assets of KLH. Borrowings bear interest at the EURIBOR plus a margin of 1.7%. A subsidiary of Vilebrequin has a credit agreement with CIC Bank with a credit limit of €5.0 million. Borrowings bear interest at the Euro Short-Term Rate plus a margin of 1.75%. As of July 31, 2026, we had an aggregate outstanding balance of €4.0 million ($4.6 million) in borrowings outstanding under these credit facilities.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Outstanding Borrowings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primary operating cash requirements are to fund our seasonal buildup in inventories and accounts receivable, primarily during the second and third fiscal quarters each year. The primary sources to meet our operating cash requirements have been borrowings under the revolving credit facility and cash generated from operations.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had no borrowings outstanding under our Third ABL Credit Agreement at July 31, 2026 and 2025, respectively. Our contingent liability under open letters of credit was approximately $2.5 million and $3.3 million at July 31, 2026 and 2025, respectively. We had an aggregate of €1.9 million ($2.2 million) and €4.4 million ($5.2 million) outstanding under our various unsecured loans as of July 31, 2026 and 2025, respectively. We had €0.9 million ($1.0 million) and €3.5 million ($4.1 million) outstanding under our overdraft facilities as of July 31, 2026 and 2025, respectively. We had €4.0 million ($4.6 million) and €5.3 million ($6.2 million) outstanding under our foreign credit facilities as of July 31, 2026 and 2025,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Supply Chain Finance Program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 voluntary supply chain finance program (the “SCF Program”) administered through a third-party platform. Our payment obligations confirmed under the SCF Program are due to a financial intermediary that will remit payment to our suppliers. The SCF Program also provides participating suppliers with the option to sell their receivables due from us, at their sole discretion, to a third-party financial institution at terms negotiated between the supplier and the financial institution. We are not a party to the agreements between the suppliers and the financial institution and have no economic interest in a supplier’s decision to sell a receivable. Our payment obligations to our suppliers, including the amounts due and payment terms, which generally do not exceed 75 days, are not impacted by a supplier’s participation in the SCF Program. See Note 8 – “Supply Chain Finance Program” in the Notes to Condensed Consolidated Financial Statements for further discussion of the SCF Program.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2026, our Board of Directors authorized an increase in the number of shares covered by our share repurchase program to an aggregate amount of 10,000,000 shares. Pursuant to this program, during the six months ended July 31, 2026, we acquired 236,724 shares of our common stock for an aggregate purchase price of $7.9 million, excluding excise tax.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July 31, 2026, we had 9,763,276 shares remaining that are authorized for purchase under this program. As of September 3, 2026, we had 42,876,508 shares of common stock outstanding.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Operating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generated $178.7 million in cash from operating activities during the six months ended July 31, 2026, representing an increase of $9.9 million from $168.9 million of cash generated from operating activities during the six months ended July 31, 2025. This increase was primarily driven by an increase in our net income of $68.0 million, which includes the $126.4 million reduction in cost of goods sold and $4.2 million of interest income related to the IEEPA tariff refund, partially offset by a change in operating assets and liabilities of $53.2 million.  The $53.2 million decrease in changes in operating assets and liabilities balances was primarily driven by the following: </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accrued expenses and other liabilities increased $50.6 million in the current year period compared to an increase of $170.5 million in the same period last year as a result of decreased inventory purchases and accrued royalties in the current year period due to expired licenses, partially offset by a higher bonus accrual in the current year period. Additionally, accounts payable increased in the prior year due to the implementation of our SCF program which extended payment terms to our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decreased $133.6 million in the current year period compared to a decrease of $149.8 million in the same period last year as a result of a decline in net sales in the current year compared to the prior year resulting from expired licenses.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increased $95.0 million in the current year period compared to an increase of $161.7 million in the prior year period as a result of decreased inventory purchases in the current year period due to expired licenses.</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Investing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used $17.6 million of cash in investing activities during the six months ended July 31, 2026 as a result of capital expenditures primarily related to leasehold improvements and computer software expenditures.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Financing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financing activities was $36.4 million during the six months ended July 31, 2026 primarily as a result of $16.3 million of taxes paid in connection with net share settlements of vested stock grants, $8.5 million of cash dividends paid to common stockholders, $7.9 million used to repurchase 236,724 shares of our common stock under our share repurchase program, excluding excise tax and</w:t>
      </w:r>
      <w:r>
        <w:rPr>
          <w:rFonts w:ascii="Times New Roman;Times;serif" w:hAnsi="Times New Roman;Times;serif"/>
          <w:sz w:val="20"/>
          <w:shd w:fill="FFFFFF" w:val="clear"/>
        </w:rPr>
        <w:t xml:space="preserve"> net repayments of $3.7 million under our various foreign credit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policies and related estimates described in our Annual Report on Form 10-K for the year ended January 31, 2026 are those that depend most heavily on these judgments and estimates. As of July 31, 2026, there have been no material changes to our 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457" w:name="Item3Quantitative_475780"/>
      <w:bookmarkStart w:id="1458" w:name="_a335c764_c2d0_42f4_9cab_bb448f3f47e7"/>
      <w:bookmarkEnd w:id="1457"/>
      <w:bookmarkEnd w:id="1458"/>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material changes to the disclosure made with respect to these matters in our Annual Report on Form 10-K for the year ended January 31, 2026.</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459" w:name="Item4ControlsandProcedures_978659"/>
      <w:bookmarkStart w:id="1460" w:name="_df6a502d_2371_4eae_ab1e_b50f40ddbb38"/>
      <w:bookmarkEnd w:id="1459"/>
      <w:bookmarkEnd w:id="1460"/>
      <w:r>
        <w:rPr>
          <w:rFonts w:ascii="Times New Roman;Times;serif" w:hAnsi="Times New Roman;Times;serif"/>
          <w:b/>
          <w:sz w:val="20"/>
        </w:rPr>
        <w:t xml:space="preserve">Item 4.         Controls and Procedures.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Evaluation of Disclosure Controls and Procedures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only to provide “reasonable assurance” that the controls and procedures will meet their objectives.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because of a material weakness in the Company’s internal control over financial reporting as described below, our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were not effective in making known to them material information relating to G-III required to be included in this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Weakness in Internal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Within the KLH subsidiary, which represented approximately 9% of the total net sales of the Company for fiscal 2026, the Company identified a material weakness in the operating effectiveness of controls related to information technology general controls (“ITGCs”) over business applications that support the Company’s financial reporting processes. Automated and manual business process controls that are dependent on the affected ITGCs were also deemed ineffective because they rely upon information and configurations from the affected IT systems.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concluded that the material weakness did not result in any material misstatements in our financial statements or disclosures in the current year.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Remediation Measures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with oversight from the Audit Committee of the Board of Directors, is performing remedial actions and has developed a full plan designed to remediate these deficiencies. This plan includes, among other items, additional risk assessment procedures over information technology, enhancements to controls, and additional training related to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operational effectiveness of control procedures. These deficiencies will not be considered remediated until the remediation plan is complete, and controls have been operational for a sufficient period of time and successfully tested.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than the material weakness described above, there were no changes in our internal control over financial reporting (as defined in Rules 13a-15(f) and 15d-15(f) under the Exchange Act) during the quarter ended July 31,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461" w:name="PARTIIOTHERINFORMATION_14841"/>
      <w:bookmarkStart w:id="1462" w:name="_3aaf1dcc_d5b4_4343_9fa8_a0406012797e"/>
      <w:bookmarkEnd w:id="1461"/>
      <w:bookmarkEnd w:id="1462"/>
      <w:r>
        <w:rPr>
          <w:rFonts w:ascii="Times New Roman;Times;serif" w:hAnsi="Times New Roman;Times;serif"/>
          <w:b/>
          <w:sz w:val="20"/>
        </w:rPr>
        <w:t>PART II – OTHER INFORMATION</w:t>
      </w:r>
    </w:p>
    <w:p>
      <w:pPr>
        <w:pStyle w:val="TextBody"/>
        <w:bidi w:val="0"/>
        <w:spacing w:before="0" w:after="0"/>
        <w:ind w:left="0" w:right="0" w:hanging="0"/>
        <w:jc w:val="left"/>
        <w:rPr>
          <w:rFonts w:ascii="Times New Roman;Times;serif" w:hAnsi="Times New Roman;Times;serif"/>
          <w:b/>
          <w:sz w:val="20"/>
        </w:rPr>
      </w:pPr>
      <w:bookmarkStart w:id="1463" w:name="Item1ARiskFactors_273079"/>
      <w:bookmarkEnd w:id="1463"/>
      <w:r>
        <w:rPr>
          <w:rFonts w:ascii="Times New Roman;Times;serif" w:hAnsi="Times New Roman;Times;serif"/>
          <w:b/>
          <w:sz w:val="20"/>
        </w:rPr>
        <w:t>Item 1A.      Risk Factors.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contained in “Item 1A. Risk Factors” in our Annual Report on Form 10-K for the year ended January 31, 2026 (the “Annual Report”), which could materially affect our business, financial condition and/or future results. Other than the risk factors set forth below relating to our acquisition of the Marc Jacobs business, which was completed on September 1, 2026,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interest in the Marc Jacobs intellectual property is held through a non-controlled joint venture, and our ability to operate the Marc Jacobs business depends on a license agreement that is terminable under certain circumstances.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Marc Jacobs Acquisition was structured through IPCo, a joint venture in which we own 50% of the membership interests and an affiliate of WHP Global (“WHP”) owns the remaining 50%. IPCo retained ownership of the Marc Jacobs intellectual property. We operate the Marc Jacobs business pursuant to a license from IPCo that grants an exclusive right to use the Marc Jacobs brands in the United States, Canada, Mexico and Western Europe for specified product categories. The initial term of the license agreement runs through December 2041, and we have 10 successive options to renew the license agreement for periods of 5 years. The license agreement is terminable by IPCo if we fail to make required payments or otherwise materially breach the agreement, in each case subject to an opportunity to cure within a specified period of time.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IPCo is governed by a board of managers initially consisting of five managers, with two managers appointed by us and three appointed by WHP, which is subject to change in the future based on the relative ownership percentages of us and WHP in IPCo, and other circumstances provided in the amended and restated operating agreement of IPCo entered into at the closing. Subject to those potential changes or circumstances, WHP controls the board of IPCo. Certain significant decisions, including amendments to the operating agreement, mergers, acquisitions, dispositions, incurrence of indebtedness above certain thresholds, related party transactions and bankruptcy, require approval of both members for so long as they continue to own certain ownership percentages. Disagreements with WHP regarding the management or direction of IPCo or the Marc Jacobs intellectual property could adversely affect our ability to operate the Marc Jacobs business effectively. In addition, we and WHP generally may not transfer our membership interests in IPCo prior to the third anniversary of the closing, other than to permitted transferees or with the prior written consent of the other member, and any transfer after the third anniversary is subject to a right of first offer and tag along right in favor of the other party, which may limit our ability to exit or monetize our investment on favorable terms.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unable to successfully transition and operate the Marc Jacobs business, and we may not realize the anticipated benefits of the Marc Jacobs Acquisition.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required to transition the Marc Jacobs operating business away from the infrastructure and support systems historically provided by LVMH. Pursuant to a Transition Services Agreement entered into at the closing, LVMH and/or third-party providers will provide certain transition services to Marc Jacobs International, L.L.C. and its subsidiaries for a limited period following the closing. Under the Transition Services Agreement, we have guaranteed the due, prompt and full performance by Marc Jacobs International and its subsidiaries of all of their payment and indemnification obligations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thereunder. Our ability to realize the expected benefits of the Marc Jacobs Acquisition is subject to a number of risks, including:</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build standalone operational capabilities for functions historically provided by LVMH prior to the expiration of the transition services;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retaining key creative, design and management personnel who may be critical to the brand’s identity and market position.</w:t>
            </w:r>
          </w:p>
        </w:tc>
      </w:tr>
    </w:tbl>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incurred, and expect to continue to incur, substantial expenses in connection with the Marc Jacobs Acquisition and the transition of the business. Even if we are able to successfully transition and operate the Marc Jacobs business, the anticipated benefits may not be realized fully, or at all, or may take longer to realize than expected, which could adversely impact our business, results of operations and financial condition.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64" w:name="ITEM2Unregisteredsalesofequity"/>
      <w:bookmarkStart w:id="1465" w:name="_0e049fe4_e64d_4bd6_b980_ea2983cbace3"/>
      <w:bookmarkEnd w:id="1464"/>
      <w:bookmarkEnd w:id="1465"/>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provides information with respect to the Company’s common stock that the Company repurchased during the three months ended July 31, 2026. Included in this table are shares withheld during the three months ended July 31, 2026 to satisfy tax withholding requirements in connection with stock awards.</w:t>
      </w:r>
    </w:p>
    <w:p>
      <w:pPr>
        <w:pStyle w:val="TextBody"/>
        <w:bidi w:val="0"/>
        <w:spacing w:before="0" w:after="0"/>
        <w:ind w:left="0" w:right="0" w:hanging="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1254"/>
        <w:gridCol w:w="109"/>
        <w:gridCol w:w="1569"/>
        <w:gridCol w:w="109"/>
        <w:gridCol w:w="375"/>
        <w:gridCol w:w="1016"/>
        <w:gridCol w:w="109"/>
        <w:gridCol w:w="2672"/>
        <w:gridCol w:w="109"/>
        <w:gridCol w:w="263"/>
        <w:gridCol w:w="2620"/>
      </w:tblGrid>
      <w:tr>
        <w:trPr/>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96290" cy="175260"/>
                      <wp:effectExtent l="0" t="0" r="0" b="0"/>
                      <wp:wrapNone/>
                      <wp:docPr id="164" name="Frame164"/>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96315" cy="175260"/>
                      <wp:effectExtent l="0" t="0" r="0" b="0"/>
                      <wp:wrapNone/>
                      <wp:docPr id="166" name="Frame166"/>
                      <a:graphic xmlns:a="http://schemas.openxmlformats.org/drawingml/2006/main">
                        <a:graphicData uri="http://schemas.microsoft.com/office/word/2010/wordprocessingShape">
                          <wps:wsp>
                            <wps:cNvSpPr txBox="1"/>
                            <wps:spPr>
                              <a:xfrm>
                                <a:off x="0" y="0"/>
                                <a:ext cx="996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38125" cy="175260"/>
                      <wp:effectExtent l="0" t="0" r="0" b="0"/>
                      <wp:wrapNone/>
                      <wp:docPr id="168" name="Frame16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5160" cy="175260"/>
                      <wp:effectExtent l="0" t="0" r="0" b="0"/>
                      <wp:wrapNone/>
                      <wp:docPr id="169" name="Frame169"/>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96720" cy="175260"/>
                      <wp:effectExtent l="0" t="0" r="0" b="0"/>
                      <wp:wrapNone/>
                      <wp:docPr id="171" name="Frame171"/>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67005" cy="175260"/>
                      <wp:effectExtent l="0" t="0" r="0" b="0"/>
                      <wp:wrapNone/>
                      <wp:docPr id="173" name="Frame17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63700" cy="175260"/>
                      <wp:effectExtent l="0" t="0" r="0" b="0"/>
                      <wp:wrapNone/>
                      <wp:docPr id="174" name="Frame174"/>
                      <a:graphic xmlns:a="http://schemas.openxmlformats.org/drawingml/2006/main">
                        <a:graphicData uri="http://schemas.microsoft.com/office/word/2010/wordprocessingShape">
                          <wps:wsp>
                            <wps:cNvSpPr txBox="1"/>
                            <wps:spPr>
                              <a:xfrm>
                                <a:off x="0" y="0"/>
                                <a:ext cx="166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Purchased</w:t>
            </w:r>
          </w:p>
        </w:tc>
        <w:tc>
          <w:tcPr>
            <w:tcW w:w="109" w:type="dxa"/>
            <w:tcBorders/>
            <w:vAlign w:val="center"/>
          </w:tcPr>
          <w:p>
            <w:pPr>
              <w:pStyle w:val="TableContents"/>
              <w:bidi w:val="0"/>
              <w:spacing w:before="0" w:after="0"/>
              <w:ind w:left="0" w:right="0" w:hanging="0"/>
              <w:jc w:val="left"/>
              <w:rPr/>
            </w:pPr>
            <w:r>
              <w:rPr/>
              <w:t>​</w:t>
            </w:r>
          </w:p>
        </w:tc>
        <w:tc>
          <w:tcPr>
            <w:tcW w:w="156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Shares Purchased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139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Average Price Paid Per Share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267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Shares Purchased as Part of Publicly Announced Program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center"/>
              <w:rPr/>
            </w:pPr>
            <w:r>
              <w:rPr/>
              <w:t>​</w:t>
            </w:r>
          </w:p>
        </w:tc>
        <w:tc>
          <w:tcPr>
            <w:tcW w:w="288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Maximum Number of Shares that may yet be Purchased Under the Program </w:t>
            </w:r>
            <w:r>
              <w:rPr>
                <w:rFonts w:ascii="Times New Roman;Times;serif" w:hAnsi="Times New Roman;Times;serif"/>
                <w:b/>
                <w:sz w:val="12"/>
              </w:rPr>
              <w:t>(2)</w:t>
            </w:r>
          </w:p>
        </w:tc>
      </w:tr>
      <w:tr>
        <w:trPr/>
        <w:tc>
          <w:tcPr>
            <w:tcW w:w="1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2026</w:t>
            </w:r>
          </w:p>
        </w:tc>
        <w:tc>
          <w:tcPr>
            <w:tcW w:w="109" w:type="dxa"/>
            <w:tcBorders/>
            <w:shd w:fill="CCEEFF" w:val="clear"/>
            <w:vAlign w:val="center"/>
          </w:tcPr>
          <w:p>
            <w:pPr>
              <w:pStyle w:val="TableContents"/>
              <w:bidi w:val="0"/>
              <w:spacing w:before="0" w:after="0"/>
              <w:ind w:left="0" w:right="0" w:hanging="0"/>
              <w:jc w:val="left"/>
              <w:rPr/>
            </w:pPr>
            <w:r>
              <w:rPr/>
              <w:t>​</w:t>
            </w:r>
          </w:p>
        </w:tc>
        <w:tc>
          <w:tcPr>
            <w:tcW w:w="15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2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 2026</w:t>
            </w:r>
          </w:p>
        </w:tc>
        <w:tc>
          <w:tcPr>
            <w:tcW w:w="109" w:type="dxa"/>
            <w:tcBorders/>
            <w:vAlign w:val="center"/>
          </w:tcPr>
          <w:p>
            <w:pPr>
              <w:pStyle w:val="TableContents"/>
              <w:bidi w:val="0"/>
              <w:spacing w:before="0" w:after="0"/>
              <w:ind w:left="0" w:right="0" w:hanging="0"/>
              <w:jc w:val="left"/>
              <w:rPr/>
            </w:pPr>
            <w:r>
              <w:rPr/>
              <w:t>​</w:t>
            </w:r>
          </w:p>
        </w:tc>
        <w:tc>
          <w:tcPr>
            <w:tcW w:w="15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552,871</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0"/>
              <w:ind w:left="0" w:right="0" w:hanging="0"/>
              <w:jc w:val="left"/>
              <w:rPr/>
            </w:pPr>
            <w:r>
              <w:rPr/>
              <w:t>​</w:t>
            </w:r>
          </w:p>
        </w:tc>
        <w:tc>
          <w:tcPr>
            <w:tcW w:w="2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82,644</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2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9,917,356</w:t>
            </w:r>
          </w:p>
        </w:tc>
      </w:tr>
      <w:tr>
        <w:trPr/>
        <w:tc>
          <w:tcPr>
            <w:tcW w:w="1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 2026</w:t>
            </w:r>
          </w:p>
        </w:tc>
        <w:tc>
          <w:tcPr>
            <w:tcW w:w="109" w:type="dxa"/>
            <w:tcBorders/>
            <w:shd w:fill="CCEEFF" w:val="clear"/>
            <w:vAlign w:val="center"/>
          </w:tcPr>
          <w:p>
            <w:pPr>
              <w:pStyle w:val="TableContents"/>
              <w:bidi w:val="0"/>
              <w:spacing w:before="0" w:after="0"/>
              <w:ind w:left="0" w:right="0" w:hanging="0"/>
              <w:jc w:val="left"/>
              <w:rPr/>
            </w:pPr>
            <w:r>
              <w:rPr/>
              <w:t>​</w:t>
            </w:r>
          </w:p>
        </w:tc>
        <w:tc>
          <w:tcPr>
            <w:tcW w:w="15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154,080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w:t>
            </w:r>
          </w:p>
        </w:tc>
        <w:tc>
          <w:tcPr>
            <w:tcW w:w="109" w:type="dxa"/>
            <w:tcBorders/>
            <w:shd w:fill="CCEEFF" w:val="clear"/>
            <w:vAlign w:val="center"/>
          </w:tcPr>
          <w:p>
            <w:pPr>
              <w:pStyle w:val="TableContents"/>
              <w:bidi w:val="0"/>
              <w:spacing w:before="0" w:after="0"/>
              <w:ind w:left="0" w:right="0" w:hanging="0"/>
              <w:jc w:val="left"/>
              <w:rPr/>
            </w:pPr>
            <w:r>
              <w:rPr/>
              <w:t>​</w:t>
            </w:r>
          </w:p>
        </w:tc>
        <w:tc>
          <w:tcPr>
            <w:tcW w:w="2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154,080</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2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9,763,276</w:t>
            </w:r>
          </w:p>
        </w:tc>
      </w:tr>
      <w:tr>
        <w:trPr/>
        <w:tc>
          <w:tcPr>
            <w:tcW w:w="1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706,951</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34.25</w:t>
            </w:r>
          </w:p>
        </w:tc>
        <w:tc>
          <w:tcPr>
            <w:tcW w:w="109" w:type="dxa"/>
            <w:tcBorders/>
            <w:vAlign w:val="center"/>
          </w:tcPr>
          <w:p>
            <w:pPr>
              <w:pStyle w:val="TableContents"/>
              <w:bidi w:val="0"/>
              <w:spacing w:before="0" w:after="0"/>
              <w:ind w:left="0" w:right="0" w:hanging="0"/>
              <w:jc w:val="left"/>
              <w:rPr/>
            </w:pPr>
            <w:r>
              <w:rPr/>
              <w:t>​</w:t>
            </w:r>
          </w:p>
        </w:tc>
        <w:tc>
          <w:tcPr>
            <w:tcW w:w="26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236,724</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262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9,763,276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this table are 470,227 shares withheld during June 2026 in connection with the settlement of vested restricted stock units to satisfy tax withholding requirements. Our 2015 Long-Term Incentive Plan provides that shares withheld are valued at the closing price per share on the date withheld.</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April 2026, our Board of Directors reapproved our previously authorized share repurchase program and increased the number of shares remaining under that program to 10,000,000 shares. This program has no expiration date. Repurchases under the program may be made from time to time through open market purchases, accelerated share repurchase programs, privately negotiated transactions or other methods, as we deem appropriate.</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66" w:name="Item5OtherInformation_516384"/>
      <w:bookmarkStart w:id="1467" w:name="OtherInformation"/>
      <w:bookmarkStart w:id="1468" w:name="_537e563c_b7eb_4f6e_a22a_f0693f58db14"/>
      <w:bookmarkEnd w:id="1466"/>
      <w:bookmarkEnd w:id="1467"/>
      <w:bookmarkEnd w:id="1468"/>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July 31,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9" w:name="Exhibits"/>
      <w:bookmarkStart w:id="1470" w:name="_bff93c60_cb04_45ee_984f_ce4c0ff383ba"/>
      <w:bookmarkEnd w:id="1469"/>
      <w:bookmarkEnd w:id="1470"/>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656"/>
        <w:gridCol w:w="9549"/>
      </w:tblGrid>
      <w:tr>
        <w:trPr/>
        <w:tc>
          <w:tcPr>
            <w:tcW w:w="656" w:type="dxa"/>
            <w:tcBorders/>
            <w:vAlign w:val="center"/>
          </w:tcPr>
          <w:p>
            <w:pPr>
              <w:pStyle w:val="TableContents"/>
              <w:bidi w:val="0"/>
              <w:spacing w:before="0" w:after="283"/>
              <w:ind w:left="0" w:right="0" w:hanging="0"/>
              <w:jc w:val="left"/>
              <w:rPr>
                <w:sz w:val="4"/>
                <w:szCs w:val="4"/>
              </w:rPr>
            </w:pPr>
            <w:r>
              <w:rPr>
                <w:sz w:val="4"/>
                <w:szCs w:val="4"/>
              </w:rPr>
            </w:r>
          </w:p>
        </w:tc>
        <w:tc>
          <w:tcPr>
            <w:tcW w:w="9549" w:type="dxa"/>
            <w:tcBorders/>
            <w:vAlign w:val="center"/>
          </w:tcPr>
          <w:p>
            <w:pPr>
              <w:pStyle w:val="TableContents"/>
              <w:bidi w:val="0"/>
              <w:spacing w:before="0" w:after="283"/>
              <w:ind w:left="0" w:right="0" w:hanging="0"/>
              <w:jc w:val="left"/>
              <w:rPr>
                <w:sz w:val="4"/>
                <w:szCs w:val="4"/>
              </w:rPr>
            </w:pPr>
            <w:r>
              <w:rPr>
                <w:sz w:val="4"/>
                <w:szCs w:val="4"/>
              </w:rPr>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5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Certificate of Incorporation (incorporated by reference to Exhibit 3.1 to the Company’s Registration Statement on Form S-1, dated November 3, 1989).</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9549"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Certificate of Amendment of Certificate of Incorporation, dated June 8, 2006 (incorporated by reference to Exhibit 3.1 to the Company’s Form 10-Q, dated September 13, 2006).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9549"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dated June 7, 2011 (incorporated by reference to Exhibit 3.1 to the Company’s Form 8-K, dated June 9, 2011).</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3.1(c)</w:t>
            </w:r>
          </w:p>
        </w:tc>
        <w:tc>
          <w:tcPr>
            <w:tcW w:w="9549"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of Certificate of Incorporation, dated June 30, 2015 (incorporated by reference to Exhibit 3.1 to the Company’s Form 8-K, dated July 1, 2015).</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49"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By-Laws, as amended, of G-III (incorporated by reference to Exhibit 3.1 to the Company’s Form 8-K, dated March 15, 2013).</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49"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Equity Commitment Letter, dated as of May 14, 2026, by and between the Company and MJ Topco, LLC (incorporated by reference to Exhibit 10.1 to the Company’s Form 8-K, dated May 14,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549"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Equity Purchase and Distribution Agreement, dated as of May 14, 2026, by and among G-III Leather Fashions, Inc., MJ Topco, LLC and MJ Buyer Parent, LLC, and, solely for specified sections, G-III Apparel Group, Ltd. and WH Borrower, LLC (incorporated by reference to Exhibit 10.2 to the Company’s Form 8-K, dated May 14,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549"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Amended and Restated Operating Agreement of MJ Topco, LLC, dated as of September 1, 2026, by and among MJ Topco, LLC, MJWHP, LLC and G-III Investments, Inc. (incorporated by reference to Exhibit 10.1 to the Company’s Form 8-K, dated September 2,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49"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G-III Apparel Group, Ltd. 2023 Long-Term Incentive Plan, as amended (incorporated by reference to Appendix A of the Company’s Schedule 14A, filed on May 5,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549" w:type="dxa"/>
            <w:tcBorders/>
            <w:vAlign w:val="center"/>
          </w:tcPr>
          <w:p>
            <w:pPr>
              <w:pStyle w:val="TableContents"/>
              <w:bidi w:val="0"/>
              <w:spacing w:before="0" w:after="0"/>
              <w:ind w:left="0" w:right="0" w:hanging="0"/>
              <w:jc w:val="both"/>
              <w:rPr/>
            </w:pPr>
            <w:hyperlink w:anchor="giii-20260731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13a-14(a) or Rule 15d-14(a) of the Securities Exchange Act of 1934, as amended, in connection with G-III Apparel Group, Ltd.’s Quarterly Report on Form 10-Q for the fiscal quarter ended July 31,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549" w:type="dxa"/>
            <w:tcBorders/>
            <w:vAlign w:val="center"/>
          </w:tcPr>
          <w:p>
            <w:pPr>
              <w:pStyle w:val="TableContents"/>
              <w:bidi w:val="0"/>
              <w:spacing w:before="0" w:after="0"/>
              <w:ind w:left="0" w:right="0" w:hanging="0"/>
              <w:jc w:val="both"/>
              <w:rPr/>
            </w:pPr>
            <w:hyperlink w:anchor="giii-20260731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13a-14(a) or Rule 15d-14(a) of the Securities Exchange Act of 1934, as amended, in connection with G-III Apparel Group, Ltd.’s Quarterly Report on Form 10-Q for the fiscal quarter ended July 31,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549" w:type="dxa"/>
            <w:tcBorders/>
            <w:vAlign w:val="center"/>
          </w:tcPr>
          <w:p>
            <w:pPr>
              <w:pStyle w:val="TableContents"/>
              <w:bidi w:val="0"/>
              <w:spacing w:before="0" w:after="0"/>
              <w:ind w:left="0" w:right="0" w:hanging="0"/>
              <w:jc w:val="both"/>
              <w:rPr/>
            </w:pPr>
            <w:hyperlink w:anchor="giii-20260731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Quarterly Report on Form 10-Q for the fiscal quarter ended July 31,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549" w:type="dxa"/>
            <w:tcBorders/>
            <w:vAlign w:val="center"/>
          </w:tcPr>
          <w:p>
            <w:pPr>
              <w:pStyle w:val="TableContents"/>
              <w:bidi w:val="0"/>
              <w:spacing w:before="0" w:after="0"/>
              <w:ind w:left="0" w:right="0" w:hanging="0"/>
              <w:jc w:val="both"/>
              <w:rPr/>
            </w:pPr>
            <w:hyperlink w:anchor="giii-20260731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Quarterly Report on Form 10-Q for the fiscal quarter ended July 31,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Schema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Indicates a management contract.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471" w:name="_1bad15a6_bdd5_414a_ace7_1cd9eaaf1641"/>
      <w:bookmarkEnd w:id="147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741" w:type="dxa"/>
        <w:jc w:val="left"/>
        <w:tblInd w:w="0" w:type="dxa"/>
        <w:tblLayout w:type="fixed"/>
        <w:tblCellMar>
          <w:top w:w="0" w:type="dxa"/>
          <w:left w:w="0" w:type="dxa"/>
          <w:bottom w:w="0" w:type="dxa"/>
          <w:right w:w="0" w:type="dxa"/>
        </w:tblCellMar>
      </w:tblPr>
      <w:tblGrid>
        <w:gridCol w:w="2116"/>
        <w:gridCol w:w="430"/>
        <w:gridCol w:w="2195"/>
      </w:tblGrid>
      <w:tr>
        <w:trPr/>
        <w:tc>
          <w:tcPr>
            <w:tcW w:w="2116"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br/>
              <w:t>                  (Registrant)</w:t>
            </w:r>
          </w:p>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8, 2026</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8, 2026</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tLeast" w:line="220" w:before="0" w:after="200"/>
        <w:ind w:left="0" w:right="0" w:hanging="0"/>
        <w:jc w:val="right"/>
        <w:rPr>
          <w:rFonts w:ascii="Times New Roman;Times;serif" w:hAnsi="Times New Roman;Times;serif"/>
          <w:b/>
          <w:sz w:val="20"/>
        </w:rPr>
      </w:pPr>
      <w:bookmarkStart w:id="1472" w:name="_Hlk167288405"/>
      <w:bookmarkStart w:id="1473" w:name="giii-20260731xex31d1.htm"/>
      <w:bookmarkStart w:id="1474" w:name="ksgiii20260731xex31d1"/>
      <w:bookmarkEnd w:id="1472"/>
      <w:bookmarkEnd w:id="1473"/>
      <w:bookmarkEnd w:id="1474"/>
      <w:r>
        <w:rPr>
          <w:rFonts w:ascii="Times New Roman;Times;serif" w:hAnsi="Times New Roman;Times;serif"/>
          <w:b/>
          <w:sz w:val="20"/>
        </w:rPr>
        <w:t>Exhibit 31.1</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both"/>
        <w:rPr>
          <w:rFonts w:ascii="Times New Roman;Times;serif" w:hAnsi="Times New Roman;Times;serif"/>
          <w:sz w:val="20"/>
        </w:rPr>
      </w:pPr>
      <w:r>
        <w:rPr>
          <w:rFonts w:ascii="Times New Roman;Times;serif" w:hAnsi="Times New Roman;Times;serif"/>
          <w:sz w:val="20"/>
        </w:rPr>
        <w:t>I, Morris Goldfarb,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September 8, 2026</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475" w:name="_Hlk143762188"/>
      <w:bookmarkStart w:id="1476" w:name="giii-20260731xex31d2.htm"/>
      <w:bookmarkStart w:id="1477" w:name="ksgiii20260731xex31d2"/>
      <w:bookmarkEnd w:id="1475"/>
      <w:bookmarkEnd w:id="1476"/>
      <w:bookmarkEnd w:id="1477"/>
      <w:r>
        <w:rPr>
          <w:rFonts w:ascii="Times New Roman;Times;serif" w:hAnsi="Times New Roman;Times;serif"/>
          <w:b/>
          <w:sz w:val="20"/>
        </w:rPr>
        <w:t>Exhibit 31.2</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I, Neal S. Nackman,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September 8, 2026</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478" w:name="_Hlk143762242"/>
      <w:bookmarkStart w:id="1479" w:name="giii-20260731xex32d1.htm"/>
      <w:bookmarkStart w:id="1480" w:name="ksgiii20260731xex32d1"/>
      <w:bookmarkEnd w:id="1478"/>
      <w:bookmarkEnd w:id="1479"/>
      <w:bookmarkEnd w:id="148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July 31, 2026,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September 8,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481" w:name="_Hlk167288594"/>
      <w:bookmarkStart w:id="1482" w:name="_Hlk143762286"/>
      <w:bookmarkStart w:id="1483" w:name="giii-20260731xex32d2.htm"/>
      <w:bookmarkStart w:id="1484" w:name="ksgiii20260731xex32d2"/>
      <w:bookmarkEnd w:id="1481"/>
      <w:bookmarkEnd w:id="1482"/>
      <w:bookmarkEnd w:id="1483"/>
      <w:bookmarkEnd w:id="148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July 31, 2026,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September 8,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1002/000095013606007680/file2.htm" TargetMode="External"/><Relationship Id="rId3" Type="http://schemas.openxmlformats.org/officeDocument/2006/relationships/hyperlink" Target="https://www.sec.gov/Archives/edgar/data/821002/000095012311057737/y04932exv3w1.htm" TargetMode="External"/><Relationship Id="rId4" Type="http://schemas.openxmlformats.org/officeDocument/2006/relationships/hyperlink" Target="https://www.sec.gov/Archives/edgar/data/821002/000157104915005420/t1501536_ex3-1.htm" TargetMode="External"/><Relationship Id="rId5" Type="http://schemas.openxmlformats.org/officeDocument/2006/relationships/hyperlink" Target="https://www.sec.gov/Archives/edgar/data/821002/000119312513107874/d503217dex31.htm" TargetMode="External"/><Relationship Id="rId6" Type="http://schemas.openxmlformats.org/officeDocument/2006/relationships/hyperlink" Target="https://www.sec.gov/Archives/edgar/data/821002/000095014226001394/eh260778952_ex1001.htm" TargetMode="External"/><Relationship Id="rId7" Type="http://schemas.openxmlformats.org/officeDocument/2006/relationships/hyperlink" Target="https://www.sec.gov/Archives/edgar/data/821002/000095014226001394/eh260778952_ex1002.htm" TargetMode="External"/><Relationship Id="rId8" Type="http://schemas.openxmlformats.org/officeDocument/2006/relationships/hyperlink" Target="https://www.sec.gov/Archives/edgar/data/821002/000095014226002481/eh260826006_ex1001.htm" TargetMode="External"/><Relationship Id="rId9" Type="http://schemas.openxmlformats.org/officeDocument/2006/relationships/hyperlink" Target="https://www.sec.gov/ix?doc=/Archives/edgar/data/0000821002/000110465926055621/giii-20260611xdef14a.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21989</Words>
  <Characters>120374</Characters>
  <CharactersWithSpaces>143781</CharactersWithSpaces>
  <Paragraphs>4991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