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203200</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263525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ind w:left="4480"/>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1580" w:hanging="1086"/>
        <w:spacing w:after="0"/>
        <w:tabs>
          <w:tab w:leader="none" w:pos="1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ind w:left="158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For the fiscal year ended January 31, 2018</w:t>
      </w:r>
    </w:p>
    <w:p>
      <w:pPr>
        <w:spacing w:after="0" w:line="6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580" w:hanging="1086"/>
        <w:spacing w:after="0"/>
        <w:tabs>
          <w:tab w:leader="none" w:pos="1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58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0240"/>
          </w:cols>
          <w:pgMar w:left="240" w:top="239" w:right="1419" w:bottom="1440" w:gutter="0" w:footer="0" w:header="0"/>
        </w:sectPr>
      </w:pPr>
    </w:p>
    <w:p>
      <w:pPr>
        <w:spacing w:after="0" w:line="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80" w:lineRule="exact"/>
        <w:rPr>
          <w:sz w:val="24"/>
          <w:szCs w:val="24"/>
          <w:color w:val="auto"/>
        </w:rPr>
      </w:pPr>
    </w:p>
    <w:p>
      <w:pPr>
        <w:sectPr>
          <w:pgSz w:w="11900" w:h="16838" w:orient="portrait"/>
          <w:cols w:equalWidth="0" w:num="2">
            <w:col w:w="4220" w:space="720"/>
            <w:col w:w="5300"/>
          </w:cols>
          <w:pgMar w:left="240" w:top="239" w:right="1419" w:bottom="1440" w:gutter="0" w:footer="0" w:header="0"/>
          <w:type w:val="continuous"/>
        </w:sectPr>
      </w:pPr>
    </w:p>
    <w:p>
      <w:pPr>
        <w:ind w:left="4100"/>
        <w:spacing w:after="0"/>
        <w:rPr>
          <w:sz w:val="20"/>
          <w:szCs w:val="20"/>
          <w:color w:val="auto"/>
        </w:rPr>
      </w:pPr>
      <w:r>
        <w:rPr>
          <w:rFonts w:ascii="Arial" w:cs="Arial" w:eastAsia="Arial" w:hAnsi="Arial"/>
          <w:sz w:val="16"/>
          <w:szCs w:val="16"/>
          <w:b w:val="1"/>
          <w:bCs w:val="1"/>
          <w:color w:val="auto"/>
        </w:rPr>
        <w:t>Commission file number 0-18183</w:t>
      </w:r>
    </w:p>
    <w:p>
      <w:pPr>
        <w:sectPr>
          <w:pgSz w:w="11900" w:h="16838" w:orient="portrait"/>
          <w:cols w:equalWidth="0" w:num="1">
            <w:col w:w="10240"/>
          </w:cols>
          <w:pgMar w:left="240" w:top="239" w:right="1419" w:bottom="1440" w:gutter="0" w:footer="0" w:header="0"/>
          <w:type w:val="continuous"/>
        </w:sectPr>
      </w:pPr>
    </w:p>
    <w:p>
      <w:pPr>
        <w:spacing w:after="0" w:line="75"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G-III APPAREL GROUP, LTD.</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25"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4500" w:type="dxa"/>
            <w:vAlign w:val="bottom"/>
          </w:tcPr>
          <w:p>
            <w:pPr>
              <w:jc w:val="center"/>
              <w:ind w:right="1141"/>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left="1141"/>
              <w:spacing w:after="0"/>
              <w:rPr>
                <w:sz w:val="20"/>
                <w:szCs w:val="20"/>
                <w:color w:val="auto"/>
              </w:rPr>
            </w:pPr>
            <w:r>
              <w:rPr>
                <w:rFonts w:ascii="Arial" w:cs="Arial" w:eastAsia="Arial" w:hAnsi="Arial"/>
                <w:sz w:val="18"/>
                <w:szCs w:val="18"/>
                <w:b w:val="1"/>
                <w:bCs w:val="1"/>
                <w:color w:val="auto"/>
                <w:w w:val="91"/>
              </w:rPr>
              <w:t>41-1590959</w:t>
            </w:r>
          </w:p>
        </w:tc>
      </w:tr>
      <w:tr>
        <w:trPr>
          <w:trHeight w:val="176"/>
        </w:trPr>
        <w:tc>
          <w:tcPr>
            <w:tcW w:w="4500" w:type="dxa"/>
            <w:vAlign w:val="bottom"/>
          </w:tcPr>
          <w:p>
            <w:pPr>
              <w:jc w:val="center"/>
              <w:ind w:right="1141"/>
              <w:spacing w:after="0"/>
              <w:rPr>
                <w:sz w:val="20"/>
                <w:szCs w:val="20"/>
                <w:color w:val="auto"/>
              </w:rPr>
            </w:pPr>
            <w:r>
              <w:rPr>
                <w:rFonts w:ascii="Arial" w:cs="Arial" w:eastAsia="Arial" w:hAnsi="Arial"/>
                <w:sz w:val="14"/>
                <w:szCs w:val="14"/>
                <w:i w:val="1"/>
                <w:iCs w:val="1"/>
                <w:color w:val="auto"/>
                <w:w w:val="95"/>
              </w:rPr>
              <w:t>(State or other jurisdiction of</w:t>
            </w:r>
          </w:p>
        </w:tc>
        <w:tc>
          <w:tcPr>
            <w:tcW w:w="2300" w:type="dxa"/>
            <w:vAlign w:val="bottom"/>
          </w:tcPr>
          <w:p>
            <w:pPr>
              <w:jc w:val="center"/>
              <w:ind w:left="1141"/>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4500" w:type="dxa"/>
            <w:vAlign w:val="bottom"/>
          </w:tcPr>
          <w:p>
            <w:pPr>
              <w:jc w:val="center"/>
              <w:ind w:right="1121"/>
              <w:spacing w:after="0"/>
              <w:rPr>
                <w:sz w:val="20"/>
                <w:szCs w:val="20"/>
                <w:color w:val="auto"/>
              </w:rPr>
            </w:pPr>
            <w:r>
              <w:rPr>
                <w:rFonts w:ascii="Arial" w:cs="Arial" w:eastAsia="Arial" w:hAnsi="Arial"/>
                <w:sz w:val="14"/>
                <w:szCs w:val="14"/>
                <w:i w:val="1"/>
                <w:iCs w:val="1"/>
                <w:color w:val="auto"/>
                <w:w w:val="97"/>
              </w:rPr>
              <w:t>incorporation or organization)</w:t>
            </w:r>
          </w:p>
        </w:tc>
        <w:tc>
          <w:tcPr>
            <w:tcW w:w="2300" w:type="dxa"/>
            <w:vAlign w:val="bottom"/>
          </w:tcPr>
          <w:p>
            <w:pPr>
              <w:jc w:val="center"/>
              <w:ind w:left="1161"/>
              <w:spacing w:after="0"/>
              <w:rPr>
                <w:sz w:val="20"/>
                <w:szCs w:val="20"/>
                <w:color w:val="auto"/>
              </w:rPr>
            </w:pPr>
            <w:r>
              <w:rPr>
                <w:rFonts w:ascii="Arial" w:cs="Arial" w:eastAsia="Arial" w:hAnsi="Arial"/>
                <w:sz w:val="14"/>
                <w:szCs w:val="14"/>
                <w:i w:val="1"/>
                <w:iCs w:val="1"/>
                <w:color w:val="auto"/>
                <w:w w:val="97"/>
              </w:rPr>
              <w:t>Identification No.)</w:t>
            </w:r>
          </w:p>
        </w:tc>
      </w:tr>
      <w:tr>
        <w:trPr>
          <w:trHeight w:val="269"/>
        </w:trPr>
        <w:tc>
          <w:tcPr>
            <w:tcW w:w="4500" w:type="dxa"/>
            <w:vAlign w:val="bottom"/>
          </w:tcPr>
          <w:p>
            <w:pPr>
              <w:jc w:val="center"/>
              <w:ind w:right="1161"/>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2300" w:type="dxa"/>
            <w:vAlign w:val="bottom"/>
          </w:tcPr>
          <w:p>
            <w:pPr>
              <w:jc w:val="center"/>
              <w:ind w:left="1121"/>
              <w:spacing w:after="0"/>
              <w:rPr>
                <w:sz w:val="20"/>
                <w:szCs w:val="20"/>
                <w:color w:val="auto"/>
              </w:rPr>
            </w:pPr>
            <w:r>
              <w:rPr>
                <w:rFonts w:ascii="Arial" w:cs="Arial" w:eastAsia="Arial" w:hAnsi="Arial"/>
                <w:sz w:val="18"/>
                <w:szCs w:val="18"/>
                <w:b w:val="1"/>
                <w:bCs w:val="1"/>
                <w:color w:val="auto"/>
                <w:w w:val="91"/>
              </w:rPr>
              <w:t>10018</w:t>
            </w:r>
          </w:p>
        </w:tc>
      </w:tr>
      <w:tr>
        <w:trPr>
          <w:trHeight w:val="191"/>
        </w:trPr>
        <w:tc>
          <w:tcPr>
            <w:tcW w:w="4500" w:type="dxa"/>
            <w:vAlign w:val="bottom"/>
          </w:tcPr>
          <w:p>
            <w:pPr>
              <w:jc w:val="center"/>
              <w:ind w:right="1101"/>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300" w:type="dxa"/>
            <w:vAlign w:val="bottom"/>
          </w:tcPr>
          <w:p>
            <w:pPr>
              <w:jc w:val="center"/>
              <w:ind w:left="1161"/>
              <w:spacing w:after="0"/>
              <w:rPr>
                <w:sz w:val="20"/>
                <w:szCs w:val="20"/>
                <w:color w:val="auto"/>
              </w:rPr>
            </w:pPr>
            <w:r>
              <w:rPr>
                <w:rFonts w:ascii="Arial" w:cs="Arial" w:eastAsia="Arial" w:hAnsi="Arial"/>
                <w:sz w:val="14"/>
                <w:szCs w:val="14"/>
                <w:i w:val="1"/>
                <w:iCs w:val="1"/>
                <w:color w:val="auto"/>
                <w:w w:val="93"/>
              </w:rPr>
              <w:t>(Zip Code)</w:t>
            </w:r>
          </w:p>
        </w:tc>
      </w:tr>
    </w:tbl>
    <w:p>
      <w:pPr>
        <w:spacing w:after="0" w:line="12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 403-0500</w:t>
      </w:r>
    </w:p>
    <w:p>
      <w:pPr>
        <w:spacing w:after="0" w:line="1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3" w:lineRule="exact"/>
        <w:rPr>
          <w:sz w:val="24"/>
          <w:szCs w:val="24"/>
          <w:color w:val="auto"/>
        </w:rPr>
      </w:pPr>
    </w:p>
    <w:tbl>
      <w:tblPr>
        <w:tblLayout w:type="fixed"/>
        <w:tblInd w:w="170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Title of Class</w:t>
            </w:r>
          </w:p>
        </w:tc>
        <w:tc>
          <w:tcPr>
            <w:tcW w:w="2060" w:type="dxa"/>
            <w:vAlign w:val="bottom"/>
          </w:tcPr>
          <w:p>
            <w:pPr>
              <w:spacing w:after="0"/>
              <w:rPr>
                <w:sz w:val="14"/>
                <w:szCs w:val="14"/>
                <w:color w:val="auto"/>
              </w:rPr>
            </w:pPr>
          </w:p>
        </w:tc>
        <w:tc>
          <w:tcPr>
            <w:tcW w:w="3700" w:type="dxa"/>
            <w:vAlign w:val="bottom"/>
            <w:gridSpan w:val="3"/>
          </w:tcPr>
          <w:p>
            <w:pPr>
              <w:jc w:val="center"/>
              <w:ind w:left="1228"/>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0"/>
        </w:trPr>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640" w:type="dxa"/>
            <w:vAlign w:val="bottom"/>
            <w:gridSpan w:val="3"/>
          </w:tcPr>
          <w:p>
            <w:pPr>
              <w:jc w:val="center"/>
              <w:ind w:right="1300"/>
              <w:spacing w:after="0"/>
              <w:rPr>
                <w:sz w:val="20"/>
                <w:szCs w:val="20"/>
                <w:color w:val="auto"/>
              </w:rPr>
            </w:pPr>
            <w:r>
              <w:rPr>
                <w:rFonts w:ascii="Arial" w:cs="Arial" w:eastAsia="Arial" w:hAnsi="Arial"/>
                <w:sz w:val="18"/>
                <w:szCs w:val="18"/>
                <w:color w:val="auto"/>
                <w:w w:val="90"/>
              </w:rPr>
              <w:t>Common Stock, $0.01 par value</w:t>
            </w:r>
          </w:p>
        </w:tc>
        <w:tc>
          <w:tcPr>
            <w:tcW w:w="1320" w:type="dxa"/>
            <w:vAlign w:val="bottom"/>
          </w:tcPr>
          <w:p>
            <w:pPr>
              <w:spacing w:after="0"/>
              <w:rPr>
                <w:sz w:val="24"/>
                <w:szCs w:val="24"/>
                <w:color w:val="auto"/>
              </w:rPr>
            </w:pPr>
          </w:p>
        </w:tc>
        <w:tc>
          <w:tcPr>
            <w:tcW w:w="2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Nasdaq Global Select Market</w:t>
            </w:r>
          </w:p>
        </w:tc>
      </w:tr>
    </w:tbl>
    <w:p>
      <w:pPr>
        <w:spacing w:after="0" w:line="11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None.</w:t>
      </w:r>
    </w:p>
    <w:p>
      <w:pPr>
        <w:spacing w:after="0" w:line="7" w:lineRule="exact"/>
        <w:rPr>
          <w:sz w:val="24"/>
          <w:szCs w:val="24"/>
          <w:color w:val="auto"/>
        </w:rPr>
      </w:pPr>
    </w:p>
    <w:p>
      <w:pPr>
        <w:ind w:left="860" w:right="1280"/>
        <w:spacing w:after="0" w:line="22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left="500" w:firstLine="360"/>
        <w:spacing w:after="0" w:line="17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left="500" w:right="20" w:firstLine="360"/>
        <w:spacing w:after="0" w:line="178"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left="500" w:firstLine="360"/>
        <w:spacing w:after="0" w:line="17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8" w:lineRule="exact"/>
        <w:rPr>
          <w:sz w:val="24"/>
          <w:szCs w:val="24"/>
          <w:color w:val="auto"/>
        </w:rPr>
      </w:pPr>
    </w:p>
    <w:p>
      <w:pPr>
        <w:jc w:val="both"/>
        <w:ind w:left="500" w:firstLine="3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240" w:top="239" w:right="1419" w:bottom="1440" w:gutter="0" w:footer="0" w:header="0"/>
          <w:type w:val="continuous"/>
        </w:sectPr>
      </w:pPr>
    </w:p>
    <w:p>
      <w:pPr>
        <w:spacing w:after="0" w:line="61" w:lineRule="exact"/>
        <w:rPr>
          <w:sz w:val="24"/>
          <w:szCs w:val="24"/>
          <w:color w:val="auto"/>
        </w:rPr>
      </w:pPr>
    </w:p>
    <w:p>
      <w:pPr>
        <w:ind w:left="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2">
            <w:col w:w="4760" w:space="720"/>
            <w:col w:w="4760"/>
          </w:cols>
          <w:pgMar w:left="240" w:top="239" w:right="1419" w:bottom="1440" w:gutter="0" w:footer="0" w:header="0"/>
          <w:type w:val="continuous"/>
        </w:sectPr>
      </w:pPr>
    </w:p>
    <w:p>
      <w:pPr>
        <w:ind w:left="8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292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4760" w:space="720"/>
            <w:col w:w="4760"/>
          </w:cols>
          <w:pgMar w:left="240" w:top="239" w:right="1419" w:bottom="1440" w:gutter="0" w:footer="0" w:header="0"/>
          <w:type w:val="continuous"/>
        </w:sectPr>
      </w:pPr>
    </w:p>
    <w:p>
      <w:pPr>
        <w:ind w:left="8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240"/>
          </w:cols>
          <w:pgMar w:left="240" w:top="239" w:right="1419" w:bottom="1440" w:gutter="0" w:footer="0" w:header="0"/>
          <w:type w:val="continuous"/>
        </w:sectPr>
      </w:pPr>
    </w:p>
    <w:p>
      <w:pPr>
        <w:spacing w:after="0" w:line="288" w:lineRule="exact"/>
        <w:rPr>
          <w:sz w:val="24"/>
          <w:szCs w:val="24"/>
          <w:color w:val="auto"/>
        </w:rPr>
      </w:pPr>
    </w:p>
    <w:p>
      <w:pPr>
        <w:jc w:val="both"/>
        <w:ind w:left="500" w:right="20" w:firstLine="360"/>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8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left="500" w:firstLine="360"/>
        <w:spacing w:after="0" w:line="281" w:lineRule="auto"/>
        <w:rPr>
          <w:sz w:val="20"/>
          <w:szCs w:val="20"/>
          <w:color w:val="auto"/>
        </w:rPr>
      </w:pPr>
      <w:r>
        <w:rPr>
          <w:rFonts w:ascii="Arial" w:cs="Arial" w:eastAsia="Arial" w:hAnsi="Arial"/>
          <w:sz w:val="16"/>
          <w:szCs w:val="16"/>
          <w:b w:val="1"/>
          <w:bCs w:val="1"/>
          <w:color w:val="auto"/>
        </w:rPr>
        <w:t>As of July 31, 2017, the aggregate market value of the registrant’s voting stock held by non-affiliates of the registrant (based on the last sale price for such shares as quoted by the Nasdaq Global Select Market) was approximately $1,156,454,072.</w:t>
      </w:r>
    </w:p>
    <w:p>
      <w:pPr>
        <w:spacing w:after="0" w:line="2" w:lineRule="exact"/>
        <w:rPr>
          <w:sz w:val="24"/>
          <w:szCs w:val="24"/>
          <w:color w:val="auto"/>
        </w:rPr>
      </w:pPr>
    </w:p>
    <w:p>
      <w:pPr>
        <w:ind w:left="860"/>
        <w:spacing w:after="0"/>
        <w:rPr>
          <w:sz w:val="20"/>
          <w:szCs w:val="20"/>
          <w:color w:val="auto"/>
        </w:rPr>
      </w:pPr>
      <w:r>
        <w:rPr>
          <w:rFonts w:ascii="Arial" w:cs="Arial" w:eastAsia="Arial" w:hAnsi="Arial"/>
          <w:sz w:val="15"/>
          <w:szCs w:val="15"/>
          <w:color w:val="auto"/>
        </w:rPr>
        <w:t>The number of outstanding shares of the registrant’s Common Stock as of April 2, 2018 was 49,145,809.</w:t>
      </w:r>
    </w:p>
    <w:p>
      <w:pPr>
        <w:spacing w:after="0" w:line="44" w:lineRule="exact"/>
        <w:rPr>
          <w:sz w:val="24"/>
          <w:szCs w:val="24"/>
          <w:color w:val="auto"/>
        </w:rPr>
      </w:pPr>
    </w:p>
    <w:p>
      <w:pPr>
        <w:jc w:val="both"/>
        <w:ind w:left="500" w:firstLine="360"/>
        <w:spacing w:after="0"/>
        <w:rPr>
          <w:sz w:val="20"/>
          <w:szCs w:val="20"/>
          <w:color w:val="auto"/>
        </w:rPr>
      </w:pPr>
      <w:r>
        <w:rPr>
          <w:rFonts w:ascii="Arial" w:cs="Arial" w:eastAsia="Arial" w:hAnsi="Arial"/>
          <w:sz w:val="15"/>
          <w:szCs w:val="15"/>
          <w:color w:val="auto"/>
        </w:rPr>
        <w:t>Documents incorporated by reference: Certain portions of the registrant’s definitive Proxy Statement relating to the registrant’s Annual Meeting of Stockholders to be held on or about June 14, 2018, to be filed pursuant to Regulation 14A of the Securities Exchange Act of 1934 with the Securities and Exchange Commission,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48895</wp:posOffset>
            </wp:positionV>
            <wp:extent cx="6182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91440</wp:posOffset>
            </wp:positionV>
            <wp:extent cx="618299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353060</wp:posOffset>
            </wp:positionV>
            <wp:extent cx="68345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Various statements contained in this Annual Report on Form 10-K or incorporated by reference into this Annual Report on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 and the following:</w:t>
      </w:r>
    </w:p>
    <w:p>
      <w:pPr>
        <w:spacing w:after="0" w:line="85" w:lineRule="exact"/>
        <w:rPr>
          <w:sz w:val="20"/>
          <w:szCs w:val="20"/>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current economic and credit environment on us, our customers, suppliers and vendors;</w:t>
      </w:r>
    </w:p>
    <w:p>
      <w:pPr>
        <w:spacing w:after="0" w:line="140" w:lineRule="exact"/>
        <w:rPr>
          <w:rFonts w:ascii="Arial" w:cs="Arial" w:eastAsia="Arial" w:hAnsi="Arial"/>
          <w:sz w:val="16"/>
          <w:szCs w:val="16"/>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in the markets in which we operate, including from e-commerce retailers;</w:t>
      </w:r>
    </w:p>
    <w:p>
      <w:pPr>
        <w:spacing w:after="0" w:line="128"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redefinition of the retail store landscape in light of widespread retail store closings and the bankruptcy of a number of prominent retailers;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effect on the price of our common stock if actual results are worse than financial forecasts;</w:t>
      </w:r>
    </w:p>
    <w:p>
      <w:pPr>
        <w:spacing w:after="0" w:line="3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matters relating to the business of Donna Karan International Inc. (“DKI”), including:</w:t>
      </w:r>
    </w:p>
    <w:p>
      <w:pPr>
        <w:spacing w:after="0" w:line="184"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  our ability to realize the anticipated benefits of the acquisition of DKI;</w:t>
      </w:r>
    </w:p>
    <w:p>
      <w:pPr>
        <w:spacing w:after="0" w:line="184"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  the increase in our indebtedness as a result of the acquisition; and</w:t>
      </w:r>
    </w:p>
    <w:p>
      <w:pPr>
        <w:spacing w:after="0" w:line="198"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  the significant increase in the amount of our goodwill and other intangibles.</w:t>
      </w:r>
    </w:p>
    <w:p>
      <w:pPr>
        <w:spacing w:after="0" w:line="11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“Risk Factors.” We undertake no obligation to publicly update or revise any forward-looking statements, whether as a result of new information, future events or otherwise, except as required by law.</w:t>
      </w:r>
    </w:p>
    <w:p>
      <w:pPr>
        <w:spacing w:after="0" w:line="16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WEBSITE ACCESS TO REPORTS</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Our website is www.g-iii.com. We make available, free of charge, on our website (under the heading “Investor Relations”)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 Relations.” Paper copies of these filings and corporate governance documents are available to stockholders free of charge by written request to Investor Relations, G-III Apparel Group, Ltd., 512 Seventh Avenue, 31st Floor, New York, New York 10018. Documents filed with the SEC are also available on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r>
        <w:rPr>
          <w:rFonts w:ascii="Arial" w:cs="Arial" w:eastAsia="Arial" w:hAnsi="Arial"/>
          <w:sz w:val="18"/>
          <w:szCs w:val="18"/>
          <w:b w:val="1"/>
          <w:bCs w:val="1"/>
          <w:color w:val="auto"/>
        </w:rPr>
        <w:t>.</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Unless the context otherwise requires, “G-III”, “us”, “we” and “our” refer to G-III Apparel Group, Ltd. and its subsidiaries. References to fiscal years refer to the year ended or ending on January 31 of that year. For example, our fiscal year ended January 31, 2018 is referred to as “fiscal 2018.”</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G-III Apparel Group, Ltd. is a Delaware corporation that was formed in 1989. We and our predecessors have conducted our business since 1974.</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All share and per share data in this Annual Report on Form 10-K have been retroactively adjusted to reflect our two-for-one stock split effected on May 1, 2015.</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G-III designs, manufactures and markets an extensive range of apparel, including outerwear, dresses, sportswear, swimwear, women’s suits and women’s performance wear, as well as women’s handbags, footwear, small leather goods, cold weather accessories and luggage. G-III has a substantial portfolio of over 40 licensed and proprietary brands, anchored by five global power brands: DKNY, Donna Karan, Calvin Klein, Tommy Hilfiger and Karl Lagerfeld. We are not only licensees, but also brand owners, and we distribute our products through multiple channels of distribution including brick and mortar and online channels.</w:t>
      </w:r>
    </w:p>
    <w:p>
      <w:pPr>
        <w:spacing w:after="0" w:line="57"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Our own proprietary brands include DKNY, Donna Karan, Vilebrequin, Eliza J, Jessica Howard, G.H. Bass, Andrew Marc and Marc New York. We sell products under an extensive portfolio of well-known licensed brands, including Calvin Klein, Tommy Hilfiger, Karl Lagerfeld Paris, Levi’s, Docker’s, Kenneth Cole, Cole Haan and Guess?. In our team sports business, we have licenses with the National Football League, National Basketball Association, Major League Baseball, National Hockey League and over 150 U.S. colleges and universities. We also sell products under private retail labels for retailers such as Costco, Christopher A. Banks, Express, Harley Davidson, JC Penney and Ross Stores.</w:t>
      </w:r>
    </w:p>
    <w:p>
      <w:pPr>
        <w:spacing w:after="0" w:line="7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products are sold through a cross section of leading retailers such as Macy’s, Hudson’s Bay Company, including their Lord &amp; Taylor and Saks Fifth Avenue divisions, Ross Stores, Dillard’s, Burlington Coat Factory, Nordstrom, JC Penney and TJX Companies. We also sell our products over the web through retail partners such as Macys.com and Nordstrom.com, each of which has a significant online business. We have also increased sales to pure play online retail partners such as Amazon and Fanatics.</w:t>
      </w:r>
    </w:p>
    <w:p>
      <w:pPr>
        <w:spacing w:after="0" w:line="6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also distribute apparel and other products through our own retail stores. Substantially all of our DKNY, Wilsons Leather and G.H. Bass stores are operated as outlet stores. As of January 31, 2018, we operated 165 Wilsons Leather stores, 139 G.H. Bass stores, 51 DKNY stores, 8 Karl Lagerfeld Paris stores and 4 Calvin Klein Performance stores, of which 359 were located in the continental U.S. and Puerto Rico and 8 are located internationally. Wilsons Leather, G.H. Bass and DKNY each operates its own online store. In addition, as of January 31, 2018, Vilebrequin products were distributed through 91 company-operated stores, as well as through 66 franchised locations and e-commerce stores in each of Europe and the United States.</w:t>
      </w:r>
    </w:p>
    <w:p>
      <w:pPr>
        <w:spacing w:after="0" w:line="15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Recent Transactions</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have acquired businesses that have broadened our product offerings, expanded our ability to serve different tiers of distribution and added a retail component to our business. Our acquisitions and joint ventures are part of our strategy to expand our product offerings and increase the portfolio of proprietary and licensed brands that we offer through different tiers of retail distribution.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Donna Karan/DKNY</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In December 2016, we acquired all of the outstanding capital stock of Donna Karan International Inc. (“DKI”) from LVMH Moet Hennessy Louis Vuitton Inc. (“LVMH”) for a total purchase price of approximately $674 million after taking into account certain adjustments. DKI owns Donna Karan and DKNY, two of the world’s most iconic and recognizable power brands. The acquisition of DKI fits squarely into our strategy to diversify and expand our business and to increase our ownership of brands. We intend to focus on the expansion of the DKNY brand, while also re-establishing Donna Karan and</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9" w:lineRule="auto"/>
        <w:rPr>
          <w:sz w:val="20"/>
          <w:szCs w:val="20"/>
          <w:color w:val="auto"/>
        </w:rPr>
      </w:pPr>
      <w:r>
        <w:rPr>
          <w:rFonts w:ascii="Arial" w:cs="Arial" w:eastAsia="Arial" w:hAnsi="Arial"/>
          <w:sz w:val="17"/>
          <w:szCs w:val="17"/>
          <w:color w:val="auto"/>
        </w:rPr>
        <w:t>other associated brands. We believe that we can also capitalize on significant, untapped global licensing potential in a number of men’s categories, as well as in home and jewelry. We plan to leverage our demonstrated ability to drive organic growth, identify and integrate acquisitions and develop talent throughout the organization to maximize the potential of the DKNY and Donna Karan brands.</w:t>
      </w:r>
    </w:p>
    <w:p>
      <w:pPr>
        <w:spacing w:after="0" w:line="63"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March 2017, we entered into an agreement with Macy’s under which Macy’s serves, since February 2018, as the exclusive U.S. department store for sales of DKNY women’s apparel and accessories. Under the agreement, Macy’s has the exclusive rights to sell DKNY women’s apparel, including women’s sportswear, dresses, suit separates, women’s performance wear, denim, swimwear and outerwear, handbags and women’s shoes, as well as men’s swimwear and outerwear, and luggage in all Macy’s locations and on Macys.com. The agreement also plans for increased and enhanced DKNY shop-in-shops in many Macy’s stores. G-III and Macy’s are committed to making DKNY the premier fashion and lifestyle brand.</w:t>
      </w:r>
    </w:p>
    <w:p>
      <w:pPr>
        <w:spacing w:after="0" w:line="59"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sell DKNY products through department stores, specialty retailers and online retailers worldwide, as well as through company-operated retail stores, e-commerce sites and distribution agreements. We also maintain DKNY’s agreements with international license partners and distributors outside of the United States. Products outside the exclusive categories and products distributed by DKNY’s various licensees under other categories will continue to be sold to department stores, including Macy’s. In addition, we re-launched Donna Karan as an aspirational luxury brand that is priced above DKNY and targeted to fine department stores globally.</w:t>
      </w:r>
    </w:p>
    <w:p>
      <w:pPr>
        <w:spacing w:after="0" w:line="57"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August 2017, we entered into a joint venture with Amlon Capital B.V. (“Amlon”) to produce and market women’s and men’s apparel and accessories pursuant to a long-term license for DKNY and Donna Karan in the People’s Republic of China, including Macau, Hong Kong and Taiwan. We own 49% of the joint venture, with Amlon owning the remaining 51%. The principals of Amlon were formerly executives of Tommy Hilfiger and were instrumental in the expansion of the Tommy Hilfiger brand in China. The joint venture will be funded with $25 million of equity to be used to strengthen the DKNY and Donna Karan brands and accelerate the growth of the business in the region. Of this amount, we are required to contribute an aggregate of $10 million to the joint venture by August 2018. Starting January 1, 2018, this joint venture is the exclusive seller of women’s and men’s apparel, handbags, luggage and certain accessories under the DKNY and Donna Karan brands in the territory. The joint venture commenced operations in the second half of fiscal 2018 and was operating 13 stores as of January 31, 2018.</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Karl Lagerfeld Paris</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In June 2015, we acquired a 49% interest in a joint venture that holds the worldwide rights to the Karl Lagerfeld trademarks, including the Karl Lagerfeld Paris brand we currently use, for consumer products (with certain exceptions) and apparel in the United States, Canada and Mexico. We were also the first licensee of the joint venture, having been granted a license for women’s apparel, women’s handbags, women’s and men’s footwear and men’s apparel. We began shipping Karl Lagerfeld Paris sportswear, dresses, women’s outerwear and handbags in the third quarter of fiscal 2016, Karl Lagerfeld Paris women’s footwear in the first quarter of fiscal 2017 and Karl Lagerfeld Paris women’s suits in the third quarter of fiscal 2017.</w:t>
      </w:r>
    </w:p>
    <w:p>
      <w:pPr>
        <w:spacing w:after="0" w:line="7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February 2016, we acquired a 19% minority interest in the parent company of the group that holds the worldwide rights to the Karl Lagerfeld brand. This investment is intended to expand the partnership between us and the owners of the Karl Lagerfeld brand and extend their business development opportunities on a global scale. The business plan for this entity includes developing its wholesale business, expanding its outlet retail footprint and further developing out its online presence.</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Licensed Products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sale of licensed products is a key element of our strategy and we have continually expanded our offerings of licensed products over the past 20 years.</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September 2017, we renewed our license agreements with Levi’s and Dockers for an additional four-year term. We also recently extended through 2020 our license agreements with the National Basketball Association and with the Camuto Group for Vince Camuto dresses.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July 2016, we signed a three-year extension through March 2020 of our license agreement with the National Football League. This agreement includes men’s and women’s outerwear, Starter men’s and women’s outerwear, men’s and women’s lifestyle apparel, Hands High men’s and women’s lifestyle apparel, and Touch by Alyssa Milano women’s lifestyle apparel.</w:t>
      </w:r>
    </w:p>
    <w:p>
      <w:pPr>
        <w:spacing w:after="0" w:line="79"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In February 2016, we expanded our relationship with Tommy Hilfiger through a license agreement for Tommy Hilfiger womenswear in the United States and Canada. This license for women’s sportswear, dresses, suit separates, performance and denim is in addition to our existing Tommy Hilfiger licenses for men’s and women’s outerwear and luggage. This Tommy Hilfiger womenswear license agreement has an initial term of five years and a renewal term of four years. Macy’s is the principal retailer of Tommy Hilfiger in the United States and women’s sportswear continues to be a Macy’s exclusive offering. We believe Tommy Hilfiger is a classic American lifestyle brand. We intend to leverage our market expertise to help build sales of Tommy Hilfiger women’s apparel. We sell Tommy Hilfiger dresses, women’s suit separates, women’s performance wear, jeans and luggage. Women’s performance wear and women’s suits began shipping during the third quarter of fiscal 2017.</w:t>
      </w:r>
    </w:p>
    <w:p>
      <w:pPr>
        <w:spacing w:after="0" w:line="5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Licensing of Proprietary Brands</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As we have increased our portfolio of proprietary brands, we have licensed these brands in new categories. We began licensing Andrew Marc, Vilebrequin and G.H. Bass in selected categories after acquiring these brands in 2008, 2012 and 2013, respectively. Our licensing program has significantly increased as a result of owning the Donna Karan and DKNY brands.</w:t>
      </w:r>
    </w:p>
    <w:p>
      <w:pPr>
        <w:spacing w:after="0" w:line="7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currently license the DKNY brand for a broad array of products including fragrance, watches, hosiery, intimates, eyewear, children’s clothing, home furnishings, sleepwear and men’s tailored clothing. We recently licensed DKNY and Donna Karan men’s and women’s apparel and accessories in China pursuant to a long-term license agreement with a joint venture of which we are a 49% owner. We also recently signed license agreements for the DKNY brand in North America for men’s sportswear, men’s dress shirts, ties, small leather goods, men’s belts, fashion jewelry and children’s apparel. In addition, we entered into a license agreement for the DKNY and Donna Karan brands in North America for women’s belts. We intend to focus on expanding licensing opportunities for the DKNY and Donna Karan brands. We believe that we can capitalize on significant, untapped global licensing potential for these brands in a number of categories.</w:t>
      </w:r>
    </w:p>
    <w:p>
      <w:pPr>
        <w:spacing w:after="0" w:line="7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license G.H. Bass for the wholesale distribution of men’s and women’s footwear, men’s sportswear, men’s and boy’s tailored clothing, men’s socks, men’s accessories and women’s hosiery.</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Vilebrequin has entered into licenses for watches and sunglasses.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currently license the Andrew Marc brand for men’s tailored clothing and men’s footwear.</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Segments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wholesale operations segment includes sales of products under brands licensed by us from third parties, as well as sales of products under our own brands and private label brands. Wholesale sales and revenues from license agreements related to the DKI, G.H. Bass, Andrew Marc and Vilebrequin businesses are included in the wholesale operations segment.</w:t>
      </w:r>
    </w:p>
    <w:p>
      <w:pPr>
        <w:spacing w:after="0" w:line="7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retail operations segment consists primarily of our Wilsons Leather, G.H. Bass and DKNY retail stores, substantially all of which are operated as outlet stores, as well as a limited number of Calvin Klein Performance and Karl Lagerfeld Paris stores. Sales through our owned websites are also included in the retail operations segment.</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See Note K to our Consolidated Financial Statements for financial information with respect to these segments.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believe that our broad portfolio of high-profile brands combined with our extensive distribution relationships position us for growth. We intend to capitalize on the following competitive strengths in order to expand our position as an all-season diversified apparel company:</w:t>
      </w:r>
    </w:p>
    <w:p>
      <w:pPr>
        <w:spacing w:after="0" w:line="73"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i w:val="1"/>
          <w:iCs w:val="1"/>
          <w:color w:val="auto"/>
        </w:rPr>
        <w:t xml:space="preserve">Broad portfolio of recognized brands. </w:t>
      </w:r>
      <w:r>
        <w:rPr>
          <w:rFonts w:ascii="Arial" w:cs="Arial" w:eastAsia="Arial" w:hAnsi="Arial"/>
          <w:sz w:val="16"/>
          <w:szCs w:val="16"/>
          <w:color w:val="auto"/>
        </w:rPr>
        <w:t>In an environment of rapidly changing consumer fashion trends, we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from a balanced mix of over 40 licensed and proprietary brands anchored by five global power brands: DKNY, Donna Karan, Calvin Klein, Tommy Hilfiger and Karl Lagerfeld Paris. We believe we are a licensee of choice for well-known brands, as demonstrated by our partnerships with such brands as Calvin Klein, Tommy Hilfiger, Karl Lagerfeld Paris, Levi’s, Dockers, Kenneth Cole, Cole Haan and Guess?, that have built a loyal following of both fashion-conscious consumers and retailers who desire high quality, well designed products. We have selectively added the licensing rights to premier brands in women’s, men’s and team sports categories catering to a wide range of customers. In addition to our licensed brands, we own a number of proprietary brands, including DKNY, Donna Karan, Vilebrequin, Eliza J, Jessica Howard, G.H. Bass, Andrew Marc and Marc New York. Our experience in developing and acquiring licensed brands and proprietary labels, as well as our reputation for producing high quality, well-designed apparel, has led major department stores and retailers to select us as a designer and manufacturer for their own private label programs.</w:t>
      </w:r>
    </w:p>
    <w:p>
      <w:pPr>
        <w:spacing w:after="0" w:line="61"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currently market apparel and other products under, among others, the following licensed and proprietary brand names:</w:t>
      </w:r>
    </w:p>
    <w:p>
      <w:pPr>
        <w:spacing w:after="0" w:line="95"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580" w:type="dxa"/>
            <w:vAlign w:val="bottom"/>
          </w:tcPr>
          <w:p>
            <w:pPr>
              <w:spacing w:after="0"/>
              <w:rPr>
                <w:sz w:val="20"/>
                <w:szCs w:val="20"/>
                <w:color w:val="auto"/>
              </w:rPr>
            </w:pPr>
            <w:r>
              <w:rPr>
                <w:rFonts w:ascii="Arial" w:cs="Arial" w:eastAsia="Arial" w:hAnsi="Arial"/>
                <w:sz w:val="14"/>
                <w:szCs w:val="14"/>
                <w:b w:val="1"/>
                <w:bCs w:val="1"/>
                <w:color w:val="auto"/>
                <w:w w:val="89"/>
              </w:rPr>
              <w:t>Women’s</w:t>
            </w: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Men’s</w:t>
            </w:r>
          </w:p>
        </w:tc>
        <w:tc>
          <w:tcPr>
            <w:tcW w:w="2820" w:type="dxa"/>
            <w:vAlign w:val="bottom"/>
            <w:gridSpan w:val="3"/>
          </w:tcPr>
          <w:p>
            <w:pPr>
              <w:ind w:left="500"/>
              <w:spacing w:after="0"/>
              <w:rPr>
                <w:sz w:val="20"/>
                <w:szCs w:val="20"/>
                <w:color w:val="auto"/>
              </w:rPr>
            </w:pPr>
            <w:r>
              <w:rPr>
                <w:rFonts w:ascii="Arial" w:cs="Arial" w:eastAsia="Arial" w:hAnsi="Arial"/>
                <w:sz w:val="14"/>
                <w:szCs w:val="14"/>
                <w:b w:val="1"/>
                <w:bCs w:val="1"/>
                <w:color w:val="auto"/>
              </w:rPr>
              <w:t>Team Sports</w:t>
            </w:r>
          </w:p>
        </w:tc>
      </w:tr>
      <w:tr>
        <w:trPr>
          <w:trHeight w:val="20"/>
        </w:trPr>
        <w:tc>
          <w:tcPr>
            <w:tcW w:w="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7"/>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Licensed Brands</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Calvin Klein</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Calvin Klein</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National Football League</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Tommy Hilfiger</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Tommy Hilfiger</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Major League Baseball</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Karl Lagerfeld Paris</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Karl Lagerfeld Paris</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w w:val="91"/>
              </w:rPr>
              <w:t>National Basketball Association</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Guess?</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Guess?</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National Hockey League</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Kenneth Cole</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Kenneth Cole</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Touch by Alyssa Milano</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Cole Haan</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Cole Haan</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Hands High</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Levi’s</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Levi’s</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w w:val="94"/>
              </w:rPr>
              <w:t>Collegiate Licensing Company</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Vince Camuto</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Dockers</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Starter</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Ivanka Trump</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Kensie</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392"/>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Proprietary Brands</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DKNY</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DKNY</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G-III Sports by Carl Banks</w:t>
            </w: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Donna Karan</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Donna Karan</w:t>
            </w:r>
          </w:p>
        </w:tc>
        <w:tc>
          <w:tcPr>
            <w:tcW w:w="2820" w:type="dxa"/>
            <w:vAlign w:val="bottom"/>
            <w:gridSpan w:val="3"/>
          </w:tcPr>
          <w:p>
            <w:pPr>
              <w:ind w:left="500"/>
              <w:spacing w:after="0"/>
              <w:rPr>
                <w:sz w:val="20"/>
                <w:szCs w:val="20"/>
                <w:color w:val="auto"/>
              </w:rPr>
            </w:pPr>
            <w:r>
              <w:rPr>
                <w:rFonts w:ascii="Arial" w:cs="Arial" w:eastAsia="Arial" w:hAnsi="Arial"/>
                <w:sz w:val="18"/>
                <w:szCs w:val="18"/>
                <w:color w:val="auto"/>
              </w:rPr>
              <w:t>G-III for Her</w:t>
            </w: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Andrew Marc</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Andrew Marc</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Marc New York</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Marc New York</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Vilebrequin</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Vilebrequin</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G.H. Bass</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G.H. Bass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Black Rivet</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Black Rivet</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Wilsons</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Wilsons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2000" w:type="dxa"/>
            <w:vAlign w:val="bottom"/>
            <w:gridSpan w:val="2"/>
          </w:tcPr>
          <w:p>
            <w:pPr>
              <w:spacing w:after="0"/>
              <w:rPr>
                <w:sz w:val="20"/>
                <w:szCs w:val="20"/>
                <w:color w:val="auto"/>
              </w:rPr>
            </w:pPr>
            <w:r>
              <w:rPr>
                <w:rFonts w:ascii="Arial" w:cs="Arial" w:eastAsia="Arial" w:hAnsi="Arial"/>
                <w:sz w:val="18"/>
                <w:szCs w:val="18"/>
                <w:color w:val="auto"/>
              </w:rPr>
              <w:t>Eliza J</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Jessica Howard</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121"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i w:val="1"/>
          <w:iCs w:val="1"/>
          <w:color w:val="auto"/>
        </w:rPr>
        <w:t xml:space="preserve">Diversified distribution base. </w:t>
      </w:r>
      <w:r>
        <w:rPr>
          <w:rFonts w:ascii="Arial" w:cs="Arial" w:eastAsia="Arial" w:hAnsi="Arial"/>
          <w:sz w:val="17"/>
          <w:szCs w:val="17"/>
          <w:color w:val="auto"/>
        </w:rPr>
        <w:t>We market our products at multiple price points and across multiple channels</w:t>
      </w:r>
      <w:r>
        <w:rPr>
          <w:rFonts w:ascii="Arial" w:cs="Arial" w:eastAsia="Arial" w:hAnsi="Arial"/>
          <w:sz w:val="17"/>
          <w:szCs w:val="17"/>
          <w:i w:val="1"/>
          <w:iCs w:val="1"/>
          <w:color w:val="auto"/>
        </w:rPr>
        <w:t xml:space="preserve"> </w:t>
      </w:r>
      <w:r>
        <w:rPr>
          <w:rFonts w:ascii="Arial" w:cs="Arial" w:eastAsia="Arial" w:hAnsi="Arial"/>
          <w:sz w:val="17"/>
          <w:szCs w:val="17"/>
          <w:color w:val="auto"/>
        </w:rPr>
        <w:t>of distribution, allowing us to provide products to a broad range of consumers. Our products are</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sold to approximately 2,400 customers, including a cross section of retailers such as Macy’s, Hudson’s Bay Company, including their Lord &amp; Taylor and Saks Fifth Avenue divisions, Dillard’s, Nordstrom, JC Penney, Ross Stores, Burlington Coat Factory, and TJX Companies, as well as membership clubs such as Costco and Sam’s Club We have also increased sales to pure play online retail partners such as Amazon and Fanatics. Our strong relationships with retailers have been established through many years of personal customer service and adherence to meeting or exceeding retailer expectations.</w:t>
      </w:r>
    </w:p>
    <w:p>
      <w:pPr>
        <w:spacing w:after="0" w:line="85"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addition to selling our products through a diverse range of other retailers, we also have our own retail channel. While we continue to believe that this represents an important form of diversification for us, and can provide a profitable distribution channel for our proprietary brands, we also recognize that the retail landscape continues to evolve, and we are changing our retail strategy to regain profitability in this segment going forward. We are in the process of executing a turn-around of this segment of our business, including the termination and renegotiation of long-term leases as they come up for renewal, overall cost cutting, improved merchandising strategies and re-purposing certain stores for our Karl Lagerfeld Paris or DKNY brands.</w:t>
      </w:r>
    </w:p>
    <w:p>
      <w:pPr>
        <w:spacing w:after="0" w:line="59"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i w:val="1"/>
          <w:iCs w:val="1"/>
          <w:color w:val="auto"/>
        </w:rPr>
        <w:t xml:space="preserve">Superior design, sourcing and quality control. </w:t>
      </w:r>
      <w:r>
        <w:rPr>
          <w:rFonts w:ascii="Arial" w:cs="Arial" w:eastAsia="Arial" w:hAnsi="Arial"/>
          <w:sz w:val="16"/>
          <w:szCs w:val="16"/>
          <w:color w:val="auto"/>
        </w:rPr>
        <w:t>Our in-house design and merchandising teams design</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licensed, proprietary and private label products. Our designers work closely with our licensors and private label customers to create designs and styles that represent the look they want. We have a network of worldwide suppliers that allows us to negotiate competitive terms without relying on any single vendor. In addition, we employ a quality control team and a sourcing group in China to ensure the quality of our products. We believe we have developed a significant customer following and positive reputation in the industry as a result of our design capabilities, sourcing expertise, on-time delivery and high standards of quality control.</w:t>
      </w:r>
    </w:p>
    <w:p>
      <w:pPr>
        <w:spacing w:after="0" w:line="5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Leadership position in the wholesale business. </w:t>
      </w:r>
      <w:r>
        <w:rPr>
          <w:rFonts w:ascii="Arial" w:cs="Arial" w:eastAsia="Arial" w:hAnsi="Arial"/>
          <w:sz w:val="18"/>
          <w:szCs w:val="18"/>
          <w:color w:val="auto"/>
        </w:rPr>
        <w:t>As one of the largest wholesalers of outerwear, dresses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sportswear, we are widely recognized within the apparel industry for our high-quality and well-designed products. Our expertise and reputation in designing, manufacturing and marketing apparel have enabled us to build strong customer relationships and to become one of the leading dress and sportswear suppliers in the United States over the past several years. We have also expanded into women’s performance wear and other apparel categories, as well as to non-apparel categories such as handbags, footwear, small leather goods, cold weather accessories and luggage.</w:t>
      </w:r>
    </w:p>
    <w:p>
      <w:pPr>
        <w:spacing w:after="0" w:line="8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executive management team has worked together for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of time and has extensive experience in the apparel industry. Morris Goldfarb, our Chairman and Chief Executive Officer, has been with us for over 40 years. Sammy Aaron, our Vice Chairman and President, joined us in 2005 when we acquired Marvin Richards, Wayne S. Miller, our Chief Operating Officer, has been with us for 20 years, Neal S. Nackman, our Chief Financial Officer, has been with us for almost 15 years and Jeffrey Goldfarb, our Executive Vice President, has been with us for over 15 years. Our leadership team has demonstrated experience in successfully acquiring, managing, integrating and positioning new businesses having completed nine acquisitions and several joint ventures over the last thirteen years, while also adding numerous new licenses and licensed products.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Growth Strategy</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goal is to continue to expand our position as an all-season diversified apparel and accessories company with a broad portfolio of brands that we offer in multiple channels of retail distribution through the following growth strategies:</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Execute diversification initiatives. </w:t>
      </w:r>
      <w:r>
        <w:rPr>
          <w:rFonts w:ascii="Arial" w:cs="Arial" w:eastAsia="Arial" w:hAnsi="Arial"/>
          <w:sz w:val="18"/>
          <w:szCs w:val="18"/>
          <w:color w:val="auto"/>
        </w:rPr>
        <w:t>We are continually seeking opportunities to produce products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seasons. Over the past five years we have diversified through the acquisition and licensing of well-known brands. We have initiated the following key diversification efforts:</w:t>
      </w:r>
    </w:p>
    <w:p>
      <w:pPr>
        <w:spacing w:after="0" w:line="73" w:lineRule="exact"/>
        <w:rPr>
          <w:sz w:val="20"/>
          <w:szCs w:val="20"/>
          <w:color w:val="auto"/>
        </w:rPr>
      </w:pPr>
    </w:p>
    <w:p>
      <w:pPr>
        <w:jc w:val="both"/>
        <w:ind w:left="1980" w:right="759" w:hanging="352"/>
        <w:spacing w:after="0" w:line="273"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December 2016, we acquired DKI, which we believe owns some of the world’s most iconic and recognizable power brands, including DKNY and Donna Karan. The acquisition of DKI fits squarely into our strategy to diversify and expand our business. We intend to focus on the expansion of the DKNY brand, while also re-establishing Donna Karan and other associated brands. We have re-launched Donna Karan as an aspirational luxury brand that is priced above DKNY and targeted to fine department stores globally. We believe that we can also capitalize on</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spacing w:after="0" w:line="286" w:lineRule="auto"/>
        <w:rPr>
          <w:sz w:val="20"/>
          <w:szCs w:val="20"/>
          <w:color w:val="auto"/>
        </w:rPr>
      </w:pPr>
      <w:r>
        <w:rPr>
          <w:rFonts w:ascii="Arial" w:cs="Arial" w:eastAsia="Arial" w:hAnsi="Arial"/>
          <w:sz w:val="17"/>
          <w:szCs w:val="17"/>
          <w:color w:val="auto"/>
        </w:rPr>
        <w:t>significant, untapped global licensing potential in a number of categories. We plan to leverage our demonstrated ability to drive organic growth, identify and integrate acquisitions and develop talent throughout the organization to maximize the potential of the DKNY and Donna Karan brands.</w:t>
      </w:r>
    </w:p>
    <w:p>
      <w:pPr>
        <w:spacing w:after="0" w:line="57" w:lineRule="exact"/>
        <w:rPr>
          <w:sz w:val="20"/>
          <w:szCs w:val="20"/>
          <w:color w:val="auto"/>
        </w:rPr>
      </w:pPr>
    </w:p>
    <w:p>
      <w:pPr>
        <w:jc w:val="both"/>
        <w:ind w:left="1980" w:right="739" w:hanging="352"/>
        <w:spacing w:after="0" w:line="297" w:lineRule="auto"/>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February 2016, we expanded our relationship with Tommy Hilfiger through a new license for womenswear which includes sportswear, suit separates, dresses, performance wear and denim. These categories are in addition to our other licenses for Tommy Hilfiger dresses, men’s and women’s outerwear and luggage. We believe that Tommy Hilfiger is a classic American lifestyle brand. We intend to leverage our market expertise to help build sales of Tommy Hilfiger women’s apparel.</w:t>
      </w:r>
    </w:p>
    <w:p>
      <w:pPr>
        <w:spacing w:after="0" w:line="50" w:lineRule="exact"/>
        <w:rPr>
          <w:rFonts w:ascii="Arial" w:cs="Arial" w:eastAsia="Arial" w:hAnsi="Arial"/>
          <w:sz w:val="16"/>
          <w:szCs w:val="16"/>
          <w:color w:val="auto"/>
        </w:rPr>
      </w:pPr>
    </w:p>
    <w:p>
      <w:pPr>
        <w:jc w:val="both"/>
        <w:ind w:left="1980" w:right="759" w:hanging="352"/>
        <w:spacing w:after="0" w:line="271" w:lineRule="auto"/>
        <w:tabs>
          <w:tab w:leader="none" w:pos="1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February 2016, we expanded our partnership with respect to the Karl Lagerfeld brand through the acquisition of an approximately 19% minority interest in the parent company of the group that holds the worldwide rights to the Karl Lagerfeld brand. In June 2015, we entered into a joint venture pursuant to which we acquired a 49% ownership interest in an entity that holds brand rights to the Karl Lagerfeld trademarks, including the Karl Lagerfeld Paris brand that we currently use, for consumer products (with certain exceptions) and apparel in the United States, Canada and Mexico. We were also the first licensee of the joint venture, having been granted a license for women’s apparel, women’s handbags, women’s and men’s footwear, and men’s apparel.</w:t>
      </w:r>
    </w:p>
    <w:p>
      <w:pPr>
        <w:spacing w:after="0" w:line="57" w:lineRule="exact"/>
        <w:rPr>
          <w:rFonts w:ascii="Arial" w:cs="Arial" w:eastAsia="Arial" w:hAnsi="Arial"/>
          <w:sz w:val="17"/>
          <w:szCs w:val="17"/>
          <w:color w:val="auto"/>
        </w:rPr>
      </w:pPr>
    </w:p>
    <w:p>
      <w:pPr>
        <w:jc w:val="both"/>
        <w:ind w:left="1980" w:right="739" w:hanging="352"/>
        <w:spacing w:after="0" w:line="293" w:lineRule="auto"/>
        <w:tabs>
          <w:tab w:leader="none" w:pos="1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continually expanded our relationship with Calvin Klein, our most important license relationship. Initially, we had licenses for Calvin Klein men’s and women’s outerwear. Between 2005 and 2013, we added licenses for women’s suits, dresses, women’s performance wear, women’s better sportswear, men’s and women’s swimwear, women’s handbags and small leather goods and luggage, as well as to operate Calvin Klein Performance retail stores in the United States. In March 2014, the term of each of our Calvin Klein license agreements was extended to December 31, 2023.</w:t>
      </w:r>
    </w:p>
    <w:p>
      <w:pPr>
        <w:spacing w:after="0" w:line="57"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i w:val="1"/>
          <w:iCs w:val="1"/>
          <w:color w:val="auto"/>
        </w:rPr>
        <w:t xml:space="preserve">Partnering to increase business. </w:t>
      </w:r>
      <w:r>
        <w:rPr>
          <w:rFonts w:ascii="Arial" w:cs="Arial" w:eastAsia="Arial" w:hAnsi="Arial"/>
          <w:sz w:val="18"/>
          <w:szCs w:val="18"/>
          <w:color w:val="auto"/>
        </w:rPr>
        <w:t>In growing our business, we seek to join forces with partners that can best</w:t>
      </w:r>
      <w:r>
        <w:rPr>
          <w:rFonts w:ascii="Arial" w:cs="Arial" w:eastAsia="Arial" w:hAnsi="Arial"/>
          <w:sz w:val="18"/>
          <w:szCs w:val="18"/>
          <w:i w:val="1"/>
          <w:iCs w:val="1"/>
          <w:color w:val="auto"/>
        </w:rPr>
        <w:t xml:space="preserve"> </w:t>
      </w:r>
      <w:r>
        <w:rPr>
          <w:rFonts w:ascii="Arial" w:cs="Arial" w:eastAsia="Arial" w:hAnsi="Arial"/>
          <w:sz w:val="18"/>
          <w:szCs w:val="18"/>
          <w:color w:val="auto"/>
        </w:rPr>
        <w:t>help us achieve increased sales. For example,</w:t>
      </w:r>
    </w:p>
    <w:p>
      <w:pPr>
        <w:spacing w:after="0" w:line="62" w:lineRule="exact"/>
        <w:rPr>
          <w:sz w:val="20"/>
          <w:szCs w:val="20"/>
          <w:color w:val="auto"/>
        </w:rPr>
      </w:pPr>
    </w:p>
    <w:p>
      <w:pPr>
        <w:jc w:val="both"/>
        <w:ind w:left="1980" w:right="739" w:hanging="352"/>
        <w:spacing w:after="0" w:line="270" w:lineRule="auto"/>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August 2017, we entered into a joint venture with Amlon Capital B.V. to produce and market women’s and men’s apparel and accessories pursuant to a long-term license for DKNY and Donna Karan in the People’s Republic of China, including Macau, Hong Kong and Taiwan. We own 49% of the joint venture, with Amlon owning the remaining 51%. The principals of Amlon were formerly executives of Tommy Hilfiger and were instrumental in the expansion of the Tommy Hilfiger brand in China. Starting January 1, 2018, this joint venture is the exclusive seller of women’s and men’s apparel, handbags, luggage and certain accessories under the DKNY and Donna Karan brands in the territory. The joint venture commenced operations in the second half of fiscal 2018 and was operating 13 stores as of January 31, 2018.</w:t>
      </w:r>
    </w:p>
    <w:p>
      <w:pPr>
        <w:spacing w:after="0" w:line="73" w:lineRule="exact"/>
        <w:rPr>
          <w:rFonts w:ascii="Arial" w:cs="Arial" w:eastAsia="Arial" w:hAnsi="Arial"/>
          <w:sz w:val="17"/>
          <w:szCs w:val="17"/>
          <w:color w:val="auto"/>
        </w:rPr>
      </w:pPr>
    </w:p>
    <w:p>
      <w:pPr>
        <w:jc w:val="both"/>
        <w:ind w:left="1980" w:right="759" w:hanging="352"/>
        <w:spacing w:after="0" w:line="270" w:lineRule="auto"/>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March 2017, we entered into an agreement with Macy’s under which Macy’s serves, since February 2018, as the exclusive U.S. department store for sales of DKNY women’s apparel and accessories. Under the agreement, Macy’s has the exclusive rights to sell DKNY women’s apparel, including women’s sportswear, dresses, suit separates, women’s performance wear, denim, swimwear and outerwear, handbags and women’s shoes, as well as men’s swimwear and outerwear and luggage in all Macy’s locations and on Macys.com. The agreement also plans for increased and enhanced DKNY shop-in-shops in many Macy’s stores. G-III and Macy’s are committed to making DKNY the premier fashion and lifestyle brand. Products outside the exclusive categories and products distributed by DKNY’s various licensees under other categories will continue to be sold to department stores, including Macy’s.</w:t>
      </w:r>
    </w:p>
    <w:p>
      <w:pPr>
        <w:spacing w:after="0" w:line="7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i w:val="1"/>
          <w:iCs w:val="1"/>
          <w:color w:val="auto"/>
        </w:rPr>
        <w:t xml:space="preserve">Grow our apparel business through power brands. </w:t>
      </w:r>
      <w:r>
        <w:rPr>
          <w:rFonts w:ascii="Arial" w:cs="Arial" w:eastAsia="Arial" w:hAnsi="Arial"/>
          <w:sz w:val="17"/>
          <w:szCs w:val="17"/>
          <w:color w:val="auto"/>
        </w:rPr>
        <w:t>We have been a leader in the apparel business for</w:t>
      </w:r>
      <w:r>
        <w:rPr>
          <w:rFonts w:ascii="Arial" w:cs="Arial" w:eastAsia="Arial" w:hAnsi="Arial"/>
          <w:sz w:val="17"/>
          <w:szCs w:val="17"/>
          <w:i w:val="1"/>
          <w:iCs w:val="1"/>
          <w:color w:val="auto"/>
        </w:rPr>
        <w:t xml:space="preserve"> </w:t>
      </w:r>
      <w:r>
        <w:rPr>
          <w:rFonts w:ascii="Arial" w:cs="Arial" w:eastAsia="Arial" w:hAnsi="Arial"/>
          <w:sz w:val="17"/>
          <w:szCs w:val="17"/>
          <w:color w:val="auto"/>
        </w:rPr>
        <w:t>many years and believe we can continue to grow our apparel business that is anchored by five power brands. Specifically, our Calvin Klein businesses benefit from Calvin Klein’s strong brand awareness and loyalty among consumers. Most recently, we acquired the Donna Karan business, including the DKNY brand, and added licenses for womenswear, outerwear and dresses under the Tommy Hilfiger brand. We are also developing Karl Lagerfeld Paris into an additional power brand sold by us.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color w:val="auto"/>
        </w:rPr>
        <w:t xml:space="preserve">Grow our licensing business. </w:t>
      </w:r>
      <w:r>
        <w:rPr>
          <w:rFonts w:ascii="Arial" w:cs="Arial" w:eastAsia="Arial" w:hAnsi="Arial"/>
          <w:sz w:val="17"/>
          <w:szCs w:val="17"/>
          <w:color w:val="auto"/>
        </w:rPr>
        <w:t>As we have increased our portfolio of proprietary brands, we have 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these brands in new categories. We began licensing Vilebrequin and G.H. Bass in selected categories after acquiring these brands in 2012 and 2013, respectively. We expect to significantly increase our licensing program as a result of our ownership of the Donna Karan and DKNY brands. Donna Karan and DKNY are two of the world’s most iconic and recognizable power brands. We believe that we can capitalize on significant, untapped global licensing potential in a number of men’s categories, as well as in home and jewelry. G-III intends to grow royalty streams through expansion of additional categories with existing Donna Karan and DKNY licensees, as well as new categories with new licensees. We also plan to continue seeking licensing opportunities for other brands we own such as G.H. Bass, Andrew Marc and Vilebrequin.</w:t>
      </w:r>
    </w:p>
    <w:p>
      <w:pPr>
        <w:spacing w:after="0" w:line="60"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i w:val="1"/>
          <w:iCs w:val="1"/>
          <w:color w:val="auto"/>
        </w:rPr>
        <w:t xml:space="preserve">Add new product categories. </w:t>
      </w:r>
      <w:r>
        <w:rPr>
          <w:rFonts w:ascii="Arial" w:cs="Arial" w:eastAsia="Arial" w:hAnsi="Arial"/>
          <w:sz w:val="16"/>
          <w:szCs w:val="16"/>
          <w:color w:val="auto"/>
        </w:rPr>
        <w:t>We have been able to leverage our expertise and experience in the apparel</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our relationships with our licensors and our sourcing capabilities to expand our licenses to new product categories such as dresses, sportswear, women’s suits, women’s performance wear, footwear and men’s and women’s swimwear. We expanded our licenses with Calvin Klein beyond apparel categories to include women’s handbags, small leather goods, cold weather accessories and luggage. In addition, we added luggage to the products we sell under the Tommy Hilfiger brand and added swimwear, resort wear and related accessories as a result of our acquisition of Vilebrequin. Our acquisition of G.H. Bass added footwear to our product mix. We will attempt to expand our distribution of products in these and other categories under licensed brands, our own brands, including the recently acquired Donna Karan brands, and private label brands.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Products — Development and Design</w:t>
      </w:r>
    </w:p>
    <w:p>
      <w:pPr>
        <w:spacing w:after="0" w:line="6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G-III designs, manufactures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spacing w:after="0" w:line="6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G-III’s licensed apparel consists of both women’s and men’s products in a broad range of categories. See “Business — Licensing.” Our strategy is to seek licenses that will enable us to offer a range of products targeting different price points and different distribution channels. We also offer a wide range of products under our own proprietary brands.</w:t>
      </w:r>
    </w:p>
    <w:p>
      <w:pPr>
        <w:spacing w:after="0" w:line="65"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work with a diversified group of retail chains, such as Costco, Christopher A. Banks, Express, Harley Davidson, JC Penney and Ross Stores in developing product lines that are sold under their private label programs. Our design teams collaborate with our customers to produce custom-made products for department and specialty chain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spacing w:after="0" w:line="43"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spacing w:after="0" w:line="43"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Our design personnel meet regularly with our sales and merchandising departments, as well as with the design and merchandising staffs of our licensors, to review market trends, sales results and the popularity of our latest products. In addition, our representatives regularly attend trade and fashion shows and shop at fashion forward stores in the United States, Europe and the Far East for inspiration. Our designers present sample items along with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Wholesale Operations</w:t>
      </w:r>
    </w:p>
    <w:p>
      <w:pPr>
        <w:spacing w:after="0" w:line="67"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Our wholesale operations segment includes sales of products licensed by us from third parties, as well as sales of products under our own proprietary brands and private label brands. Revenues from our</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260"/>
        <w:spacing w:after="0" w:line="264" w:lineRule="auto"/>
        <w:rPr>
          <w:sz w:val="20"/>
          <w:szCs w:val="20"/>
          <w:color w:val="auto"/>
        </w:rPr>
      </w:pPr>
      <w:r>
        <w:rPr>
          <w:rFonts w:ascii="Arial" w:cs="Arial" w:eastAsia="Arial" w:hAnsi="Arial"/>
          <w:sz w:val="18"/>
          <w:szCs w:val="18"/>
          <w:color w:val="auto"/>
        </w:rPr>
        <w:t>wholesale operations accounted for 83.0% of our net sales in fiscal 2018 compared to 81.0% of our net sales in fiscal 2017 and 79.1% of our net sales in fiscal 2016. Revenues from the wholesale operations of DKI are included for the last two months of fiscal 2017 and all of fiscal 2018.</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Licensed Products</w:t>
      </w:r>
    </w:p>
    <w:p>
      <w:pPr>
        <w:spacing w:after="0" w:line="104" w:lineRule="exact"/>
        <w:rPr>
          <w:sz w:val="20"/>
          <w:szCs w:val="20"/>
          <w:color w:val="auto"/>
        </w:rPr>
      </w:pPr>
    </w:p>
    <w:p>
      <w:pPr>
        <w:jc w:val="both"/>
        <w:ind w:left="1260" w:right="1260" w:firstLine="360"/>
        <w:spacing w:after="0" w:line="293" w:lineRule="auto"/>
        <w:rPr>
          <w:sz w:val="20"/>
          <w:szCs w:val="20"/>
          <w:color w:val="auto"/>
        </w:rPr>
      </w:pPr>
      <w:r>
        <w:rPr>
          <w:rFonts w:ascii="Arial" w:cs="Arial" w:eastAsia="Arial" w:hAnsi="Arial"/>
          <w:sz w:val="16"/>
          <w:szCs w:val="16"/>
          <w:color w:val="auto"/>
        </w:rPr>
        <w:t>The sale of licensed products is a key element of our strategy and we have continually expanded our offerings of licensed products for more than 20 years. In September 2017, we renewed our license agreements with Levi’s and Dockers for an additional four-year term. We also recently extended our license agreements with the National Basketball Association and for Vince Camuto dresses through 2020. In July 2016, we signed a three-year extension through March 2020 of our license agreement with the National Football League. We expanded our relationship with Tommy Hilfiger to include a license for womenswear in February 2016.</w:t>
      </w:r>
    </w:p>
    <w:p>
      <w:pPr>
        <w:spacing w:after="0" w:line="57" w:lineRule="exact"/>
        <w:rPr>
          <w:sz w:val="20"/>
          <w:szCs w:val="20"/>
          <w:color w:val="auto"/>
        </w:rPr>
      </w:pPr>
    </w:p>
    <w:p>
      <w:pPr>
        <w:jc w:val="both"/>
        <w:ind w:left="1260" w:right="1260" w:firstLine="360"/>
        <w:spacing w:after="0" w:line="277" w:lineRule="auto"/>
        <w:rPr>
          <w:sz w:val="20"/>
          <w:szCs w:val="20"/>
          <w:color w:val="auto"/>
        </w:rPr>
      </w:pPr>
      <w:r>
        <w:rPr>
          <w:rFonts w:ascii="Arial" w:cs="Arial" w:eastAsia="Arial" w:hAnsi="Arial"/>
          <w:sz w:val="18"/>
          <w:szCs w:val="18"/>
          <w:color w:val="auto"/>
        </w:rPr>
        <w:t>The following table sets forth, for each of our principal licenses, the date on which the current term ends and the date on which any potential renewal term ends.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Date Current</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Date Potential Renewal</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License</w:t>
            </w: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Ends</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Ends</w:t>
            </w:r>
          </w:p>
        </w:tc>
        <w:tc>
          <w:tcPr>
            <w:tcW w:w="1260" w:type="dxa"/>
            <w:vAlign w:val="bottom"/>
          </w:tcPr>
          <w:p>
            <w:pPr>
              <w:spacing w:after="0"/>
              <w:rPr>
                <w:sz w:val="16"/>
                <w:szCs w:val="16"/>
                <w:color w:val="auto"/>
              </w:rPr>
            </w:pPr>
          </w:p>
        </w:tc>
      </w:tr>
      <w:tr>
        <w:trPr>
          <w:trHeight w:val="230"/>
        </w:trPr>
        <w:tc>
          <w:tcPr>
            <w:tcW w:w="126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Fashion Licenses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Calvin Klein (Men’s outerwear)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Calvin Klein (Women’s outerwear)</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Calvin Klein (Women’s dresses)</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Calvin Klein (Women’s suits)</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Calvin Klein (Women’s performance wear)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Calvin Klein (Women’s better sportswear)</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Calvin Klein (Better luggage)</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Calvin Klein (Women’s handbags and small leather goods)</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Calvin Klein (Women’s performance retail)</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Calvin Klein (Men’s and women’s swimwear)</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2023</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Cole Haan (Men’s and women’s outerwear)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2020</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8"/>
              </w:rPr>
              <w:t>December 31, 2025</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Dockers (Men’s outerwear)</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November 30, 2021</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Guess/Guess? (Men’s and women’s outerwear)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3"/>
              </w:rPr>
              <w:t>December 31, 2018*</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8"/>
              </w:rPr>
              <w:t>December 31, 2023</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Guess/Guess? (Women’s dresses)</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December 31, 2018*</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December 31, 2023</w:t>
            </w:r>
          </w:p>
        </w:tc>
        <w:tc>
          <w:tcPr>
            <w:tcW w:w="1260" w:type="dxa"/>
            <w:vAlign w:val="bottom"/>
          </w:tcPr>
          <w:p>
            <w:pPr>
              <w:spacing w:after="0"/>
              <w:rPr>
                <w:sz w:val="22"/>
                <w:szCs w:val="22"/>
                <w:color w:val="auto"/>
              </w:rPr>
            </w:pPr>
          </w:p>
        </w:tc>
      </w:tr>
      <w:tr>
        <w:trPr>
          <w:trHeight w:val="229"/>
        </w:trPr>
        <w:tc>
          <w:tcPr>
            <w:tcW w:w="126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w w:val="91"/>
              </w:rPr>
              <w:t>Ivanka Trump (Women’s sportswear, suits, dresses, activewear,</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jeanswear, sweaters and blouses)</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3"/>
              </w:rPr>
              <w:t>December 31, 2018*</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Karl Lagerfeld (Women’s apparel, women’s handbags, men’s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women’s outerwear, women’s shoes)</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2020</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December 31, 2030</w:t>
            </w:r>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w w:val="93"/>
              </w:rPr>
              <w:t>Kenneth Cole NY/Reaction Kenneth Cole (Men’s and women’s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outerwear)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2019</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8"/>
              </w:rPr>
              <w:t>December 31, 2022</w:t>
            </w:r>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Kensie (Women’s sportswear, dresses, suits, activewear and</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sweaters)</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January 31, 2021</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Levi’s (Men’s and women’s outerwear)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November 30, 2021</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Tommy Hilfiger (Men’s and women’s outerwear)</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2021</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December 31, 2025</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Tommy Hilfiger (Luggage)</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3"/>
              </w:rPr>
              <w:t>December 31, 2017*</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29"/>
        </w:trPr>
        <w:tc>
          <w:tcPr>
            <w:tcW w:w="1260" w:type="dxa"/>
            <w:vAlign w:val="bottom"/>
          </w:tcPr>
          <w:p>
            <w:pPr>
              <w:spacing w:after="0"/>
              <w:rPr>
                <w:sz w:val="19"/>
                <w:szCs w:val="19"/>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Tommy Hilfiger (Women’s sportswear, dresses, suit separates,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performance wear and denim)</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December 31, 2021</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December 31, 2025</w:t>
            </w: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Vince Camuto (Women’s dresses)</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2020</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Team Sports Licenses</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Collegiate Licensing Company</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7"/>
              </w:rPr>
              <w:t>December 31, 2018</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Major League Baseball</w:t>
            </w:r>
          </w:p>
        </w:tc>
        <w:tc>
          <w:tcPr>
            <w:tcW w:w="1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October 31, 2017*</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2"/>
                <w:szCs w:val="22"/>
                <w:color w:val="auto"/>
              </w:rPr>
            </w:pPr>
          </w:p>
        </w:tc>
      </w:tr>
      <w:tr>
        <w:trPr>
          <w:trHeight w:val="284"/>
        </w:trPr>
        <w:tc>
          <w:tcPr>
            <w:tcW w:w="1260" w:type="dxa"/>
            <w:vAlign w:val="bottom"/>
          </w:tcPr>
          <w:p>
            <w:pPr>
              <w:spacing w:after="0"/>
              <w:rPr>
                <w:sz w:val="24"/>
                <w:szCs w:val="24"/>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National Basketball Association</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4"/>
              </w:rPr>
              <w:t>September 30, 2020</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4860" w:type="dxa"/>
            <w:vAlign w:val="bottom"/>
            <w:gridSpan w:val="2"/>
          </w:tcPr>
          <w:p>
            <w:pPr>
              <w:ind w:left="40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-5702300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-5702300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1" w:name="page12"/>
    <w:bookmarkEnd w:id="1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Date Current</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Date Potential Renewal</w:t>
            </w:r>
          </w:p>
        </w:tc>
      </w:tr>
      <w:tr>
        <w:trPr>
          <w:trHeight w:val="192"/>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License</w:t>
            </w:r>
          </w:p>
        </w:tc>
        <w:tc>
          <w:tcPr>
            <w:tcW w:w="2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Ends</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Ends</w:t>
            </w:r>
          </w:p>
        </w:tc>
      </w:tr>
      <w:tr>
        <w:trPr>
          <w:trHeight w:val="229"/>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National Football League</w:t>
            </w:r>
          </w:p>
        </w:tc>
        <w:tc>
          <w:tcPr>
            <w:tcW w:w="30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March 31, 2020</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None</w:t>
            </w:r>
          </w:p>
        </w:tc>
      </w:tr>
      <w:tr>
        <w:trPr>
          <w:trHeight w:val="243"/>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National Hockey League</w:t>
            </w:r>
          </w:p>
        </w:tc>
        <w:tc>
          <w:tcPr>
            <w:tcW w:w="3040" w:type="dxa"/>
            <w:vAlign w:val="bottom"/>
            <w:gridSpan w:val="2"/>
          </w:tcPr>
          <w:p>
            <w:pPr>
              <w:ind w:left="1480"/>
              <w:spacing w:after="0"/>
              <w:rPr>
                <w:sz w:val="20"/>
                <w:szCs w:val="20"/>
                <w:color w:val="auto"/>
              </w:rPr>
            </w:pPr>
            <w:r>
              <w:rPr>
                <w:rFonts w:ascii="Arial" w:cs="Arial" w:eastAsia="Arial" w:hAnsi="Arial"/>
                <w:sz w:val="18"/>
                <w:szCs w:val="18"/>
                <w:color w:val="auto"/>
              </w:rPr>
              <w:t>June 30, 2017*</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r>
      <w:tr>
        <w:trPr>
          <w:trHeight w:val="243"/>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Hands High</w:t>
            </w:r>
          </w:p>
        </w:tc>
        <w:tc>
          <w:tcPr>
            <w:tcW w:w="30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7"/>
              </w:rPr>
              <w:t>December 31, 2018</w:t>
            </w:r>
          </w:p>
        </w:tc>
        <w:tc>
          <w:tcPr>
            <w:tcW w:w="1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December 31, 2026</w:t>
            </w:r>
          </w:p>
        </w:tc>
      </w:tr>
      <w:tr>
        <w:trPr>
          <w:trHeight w:val="270"/>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Starter</w:t>
            </w:r>
          </w:p>
        </w:tc>
        <w:tc>
          <w:tcPr>
            <w:tcW w:w="3040" w:type="dxa"/>
            <w:vAlign w:val="bottom"/>
            <w:gridSpan w:val="2"/>
          </w:tcPr>
          <w:p>
            <w:pPr>
              <w:ind w:left="1480"/>
              <w:spacing w:after="0"/>
              <w:rPr>
                <w:sz w:val="20"/>
                <w:szCs w:val="20"/>
                <w:color w:val="auto"/>
              </w:rPr>
            </w:pPr>
            <w:r>
              <w:rPr>
                <w:rFonts w:ascii="Arial" w:cs="Arial" w:eastAsia="Arial" w:hAnsi="Arial"/>
                <w:sz w:val="18"/>
                <w:szCs w:val="18"/>
                <w:color w:val="auto"/>
                <w:w w:val="97"/>
              </w:rPr>
              <w:t>December 31, 2019</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-625475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-625475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4" w:lineRule="exact"/>
        <w:rPr>
          <w:sz w:val="20"/>
          <w:szCs w:val="20"/>
          <w:color w:val="auto"/>
        </w:rPr>
      </w:pPr>
    </w:p>
    <w:p>
      <w:pPr>
        <w:ind w:left="1620" w:hanging="35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Discussions in process</w:t>
      </w:r>
    </w:p>
    <w:p>
      <w:pPr>
        <w:spacing w:after="0" w:line="117"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also may restrict our ability to enter into other license agreements for competing products or acquire businesses that produce competing products without the consent of the licensor. If we do not satisfy any of these requirements or otherwise fail to meet our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ability to renew the current term of a license agreement may be subject to the discretion of the licensor or to attaining minimum sales and/or royalty levels and to our compliance with the provisions of the agreement. We believe that brand owners are looking to consolidate the number of licensees they engage to develop product and to choose licensees who have a successful track record of developing brands. We continue to seek other opportunities to enter into license agreements in order to expand our product offerings under well-known labels and broaden the markets that we serve.</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Proprietary Brands</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Dating back to the beginning of our company, G-III has sold apparel under our own proprietary brands. Over the years, we developed or acquired brands such as G-III Sports by Carl Banks, Eliza J, Jessica Howard and Andrew Marc. We acquired G.H. Bass, a well-known heritage brand, and Vilebrequin, which provides us with a premier brand selling status products worldwide. Most recently, we acquired DKI, which owns Donna Karan and DKNY, two of the world’s most iconic and recognizable power brands.</w:t>
      </w:r>
    </w:p>
    <w:p>
      <w:pPr>
        <w:spacing w:after="0" w:line="6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As we have increased our portfolio of proprietary brands, we have licensed these brands in a growing group of categories. We began licensing Andrew Marc, Vilebrequin and G.H. Bass in selected categories after acquiring these brands in 2008, 2012 and 2013, respectively. Our licensing program has significantly increased as a result of owning the Donna Karan and DKNY brands.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Donna Karan and DKNY</w:t>
      </w:r>
    </w:p>
    <w:p>
      <w:pPr>
        <w:spacing w:after="0" w:line="104"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The DKI business has a portfolio of some of the world’s most iconic fashion brands, including DKNY and Donna Karan. First launched in 1984, DKI designs, sources, markets, retails, and distributes collections of women’s and men’s clothing, sportswear, accessories and shoes under the DKNY and Donna Karan brand names.</w:t>
      </w:r>
    </w:p>
    <w:p>
      <w:pPr>
        <w:spacing w:after="0" w:line="3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Based on Donna Karan’s and DKNY’s significant brand equity, we believe there are opportunities to expand existing categories, launch new initiatives and develop a strong licensing and distribution base. We believe that the DKNY brand has the potential for significant growth. In addition, other areas for growth include the relaunch of Donna Karan Collection, as well as increased licensing revenues. We expect sales growth across multiple categories, led by sportswear, jeans and footwear.</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distribution agreement we signed with Macy’s in March 2017 for DKNY provides us with the opportunity to distribute through Macy’s retail network a total wardrobe for a woman’s active, modern lifestyle. Products developed reflect the DKNY brand DNA and emphasize a strong price-value relationship. We believe that DKNY has the potential to be the premier fashion and lifestyle brand.</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Products outside of women’s apparel and accessories and all products distributed by DKNY’s various licensees will continue to be sold to a broad range of department stores, including Macy’s. G-III will also maintain DKNY’s agreements with international brand partners and distributors outside of the United States.</w:t>
      </w:r>
    </w:p>
    <w:p>
      <w:pPr>
        <w:spacing w:after="0" w:line="5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believe that the Donna Karan brand offers significant growth potential. We re-launched Donna Karan as an aspirational luxury brand that is priced above DKNY and targeted to fine department stores located in the United States, such as Lord &amp; Taylor, Dillard’s, Bloomingdales, Saks Fifth Avenue and Nordstrom, as well as, fine department stores overseas, such as Harvey Nichols in the UK.</w:t>
      </w:r>
    </w:p>
    <w:p>
      <w:pPr>
        <w:spacing w:after="0" w:line="79"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We currently license the DKNY brand for a broad array of products including fragrance, watches, hosiery, intimates, eyewear, children’s clothing, home furnishings, sleepwear and men’s tailored clothing. We have strong relationships with category leading license partners, including Estee Lauder, Fossil, PVH Corp. (“PVH”) and Hanesbrands. We recently licensed DKNY and Donna Karan men’s and women’s apparel and accessories in China pursuant to a long-term license agreement with a joint venture of which we are a 49% owner. We also recently signed license agreements for the DKNY brand in North America for men’s sportswear, men’s dress shirt, ties, small leather goods, men’s belts, fashion jewelry and children’s apparel, as well as a license agreement in North America for the DKNY and Donna Karan brands for women’s belts and cold weather accessories. We intend to focus on the expansion of licensing opportunities for the DKNY brand, while also re-establishing Donna Karan and other associated brands. We believe there is untapped global licensing potential in several men’s categories, as well as home and jewelry. G-III intends to grow royalty streams through expansion of additional categories with existing licensees, as well as new categories with new licensees.</w:t>
      </w:r>
    </w:p>
    <w:p>
      <w:pPr>
        <w:spacing w:after="0" w:line="61"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The acquisition of DKI also strengthened our online retail channels and brick-and-mortar store base. We believe there are significant opportunities to focus and enhance the DKNY and Donna Karan websites, prudently expand retail stores over the long term, including through conversion of stores within the existing G-III retail base, and capitalize on industry relationships to ensure premium placement for certain product categories in department and other retail stores nationwide. The distribution agreement we signed with Macy’s provides us with the opportunity to bring together DKNY’s remarkable global brand recognition and Macy’s footprint as one of the largest nationwide retailers.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Vilebrequin</w:t>
      </w:r>
    </w:p>
    <w:p>
      <w:pPr>
        <w:spacing w:after="0" w:line="10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Vilebrequin is a premier provider of status swimwear, resort wear and related accessories. Vilebrequin sells its products in over 60 countries around the world. Vilebrequin has also licensed its brand for the wholesale distribution of watches and sunglasses. We believe that Vilebrequin has the potential to significantly develop its distribution network worldwide and expand its product offerings. A majority of Vilebrequin’s current revenues are derived from sales in Europe and the United States. As of January 31, 2018, Vilebrequin products were distributed through 91 company-operated stores, plus e-commerce websites in each of Europe and the United States, as well as through 66 franchised locations and select wholesale distribution.</w:t>
      </w:r>
    </w:p>
    <w:p>
      <w:pPr>
        <w:spacing w:after="0" w:line="59"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 In addition to swimwear, Vilebrequin sells a line of resort wear products, including shirts, T-shirts, Bermuda shorts and trousers, and related accessories, including hats, beach bags, beach towels, shoes, sunglasses and watches. Vilebrequin also offers a collection of women’s swimwear and resort wear. We believe that Vilebrequin is a powerful brand. We plan to continue adding more company operated and franchised retail locations and increase our wholesale distribution of Vilebrequin product throughout the world, as well as develop the business beyond its heritage in men’s swimwear, resort wear and related accessories.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Retail Operations</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We are a national retailer of outerwear, apparel, footwear and accessories in the United States. As of January 31, 2018, our retail operations segment consisted of 367 leased retail stores, of which 165 are stores operated under our Wilsons Leather name, 139 are stores operated under our G.H. Bass brand, 51 stores</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are operated under our DKNY brand, 8 stores are operated under the licensed Karl Lagerfeld Paris brand and 4 stores are operated under the licensed Calvin Klein Performance brand. Wilsons Leather, G.H. Bass, DKNY and Karl Lagerfeld Paris each operate their own online store.</w:t>
      </w:r>
    </w:p>
    <w:p>
      <w:pPr>
        <w:spacing w:after="0" w:line="7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Substantially all of our Wilsons Leather, G.H. Bass and DKNY stores are operated as outlet stores and located in larger outlet centers. Wilsons Leather stores average approximately 3,605 square feet, G.H. Bass stores average approximately 5,887 square feet and DKNY stores average approximately 3,686 square feet. Given the current retail environment, we are focusing on turning around our retail business by not renewing long-term leases as they come up for renewal if we are unable to satisfactorily renegotiate the terms of those leases. In addition, we are implementing cost-cutting initiatives, revising our merchandising strategy and repurposing certain Wilsons Leather and G.H. Bass stores for the Karl Lagerfeld Paris or DKNY brands. We intend to continue our program of door count reduction and to increase the efficiency and productivity of our retail operations.</w:t>
      </w:r>
    </w:p>
    <w:p>
      <w:pPr>
        <w:spacing w:after="0" w:line="8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At the beginning of fiscal 2018, we operated 411 retail stores across our Wilsons Leather, G.H. Bass, DKNY, Karl Lagerfeld Paris and Calvin Klein Performance brands. At January 31, 2018, the store count for these brands had decreased to 367 locations. We expect to further reduce the number of stores and anticipate closing approximately 65 to 70 stores by the end of fiscal 2019.</w:t>
      </w:r>
    </w:p>
    <w:p>
      <w:pPr>
        <w:spacing w:after="0" w:line="79"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Our Wilsons Leather retail stores primarily sell men’s and women’s outerwear and accessories. Outerwear sold in our Wilsons Leather stores includes both products sold to us by G-III’s wholesale operations segment, as well as products sourced by us. Accessories are purchased from third parties. Our G.H. Bass stores offer casual and dress shoes for men and women under our G.H. Bass brand. Most of our G.H. Bass stores also carry apparel under its brand for men and women, including tops, bottoms and outerwear, as well as accessories such as handbags, wallets, belts and travel gear. We sell G.H. Bass products through outlet stores located in the United States. Our DKNY stores offer a large range of products including sportswear, dresses, suit separates, outerwear, handbags, footwear, intimates, sleepwear, hosiery, watches and eyewear. Merchandise is shipped from our main Brooklyn Park, Minnesota distribution center, as well as four regional distribution centers, to replenish stores as needed with key styles and to build inventory for the peak holiday selling season.</w:t>
      </w:r>
    </w:p>
    <w:p>
      <w:pPr>
        <w:spacing w:after="0" w:line="61"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Our sales of apparel on e-commerce websites continue to increase. Our e-commerce business consists of our own web platforms at www.dkny.com, www.donnakaran.com, www.wilsonsleather.com, www.ghbass.com, www.vilebrequin.com and www.andrewmarc.com. We are building an e-commerce team to help us expand our online opportunities going forward. We also sell our Karl Lagerfeld Paris products on its website, www.karllagerfeldparis.com. We sell our licensed products over the web through retail partners such as Macys.com and Nordstrom.com, each of which has a significant online business. We have also increased sales to pure play online retail partners such as Amazon and Fanatics. We continue to develop additional marketing initiatives over the Internet, our web sites and social media to increase our e-commerce presence.</w:t>
      </w:r>
    </w:p>
    <w:p>
      <w:pPr>
        <w:spacing w:after="0" w:line="5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Revenues from our retail operations, before intercompany eliminations, accounted for 17.0% of our net sales in fiscal 2018 compared to 19.0% of our net sales in fiscal 2017 and 20.9% of our net sales in fiscal 2016. Revenues from DKNY’s retail operations are included for the last two months of fiscal 2017 and all of fiscal 2018.</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 and Sourcing</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G-III wholesale operations and retail operations segments arrange for the production of products from independent manufacturers located primarily in China and, to a lesser extent, in Vietnam, Indonesia, Jordan, India, Bangladesh, Pakistan, Myanmar, Sri Lanka, and Central and South America. Vilebrequin’s products are manufactured in Bulgaria, Morocco, Tunisia, Turkey, China and Romania. A small portion of our garments is manufactured in the United States.</w:t>
      </w:r>
    </w:p>
    <w:p>
      <w:pPr>
        <w:spacing w:after="0" w:line="8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currently have representative offices in Hangzhou, Nanjing, Qingdao and Dongguan, China, as well as in Vietnam and Indonesia. These offices act as our liaison with manufacturers in the Far East. As of January 31, 2018, we had 435 employees in these representative offices.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G-III’s headquarters provides these liaison offices with production orders stating the quantity, quality, delivery time and types of garments to be produced. The personnel in our liaison offices assist in the negotiation and placement of orders with manufacturers. In allocating production among independent suppliers, we consider a number of criteria, including, but not limited to, quality, availability of production capacity, pricing and ability to meet changing production requirements.</w:t>
      </w:r>
    </w:p>
    <w:p>
      <w:pPr>
        <w:spacing w:after="0" w:line="80"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To facilitate better service for our customers and accommodate the volume of manufacturing in the Far East, we also have a subsidiary in Hong Kong. Our Hong Kong subsidiary supports third party production of products on an agency fee basis. Our Hong Kong office acts as an agent for substantially all of our production. Our China and Hong Kong offices monitor production at manufacturers’ facilities to ensure quality control, compliance with our specifications and timely delivery of finished garments to our distribution facilities and, in some cases, direct to our customers. At January 31, 2018, we had 57 employees in our Hong Kong office.</w:t>
      </w:r>
    </w:p>
    <w:p>
      <w:pPr>
        <w:spacing w:after="0" w:line="5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connection with the foreign manufacture of our products, manufacturers purchase raw materials including fabric, wool, leather and other submaterials (such as linings, zippers, buttons and trim) at our direction. Prior to commencing the manufacture of products, samples of raw materials or submaterials are sent to us for approval. We regularly inspect and supervise the manufacture of our products in order to ensure timely delivery, maintain quality control and monitor compliance with our manufacturing specifications. We also inspect finished products at the factory site.</w:t>
      </w:r>
    </w:p>
    <w:p>
      <w:pPr>
        <w:spacing w:after="0" w:line="8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casualty losses arising during shipping.</w:t>
      </w:r>
    </w:p>
    <w:p>
      <w:pPr>
        <w:spacing w:after="0" w:line="79"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6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Customs and Import Restrictions</w:t>
      </w:r>
    </w:p>
    <w:p>
      <w:pPr>
        <w:spacing w:after="0" w:line="108"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Our arrangements with textile manufacturers and suppliers are subject to requisite customs clearances for textile apparel and the imposition of export duties. United States Customs duties on our textile apparel presently range from duty free to 32%, depending upon the type of fabric used, how the garment is constructed and the country of export.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as well as quota restrictions. Any action by the executive branch of the United States government to increase tariffs on imported goods, such as the recent tariffs imposed on steel and aluminum and the possible imposition of tariffs on goods imported from China, could adversely affect our business. 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purchase substantially all of the products manufactured for us on a finished goods basis. We coordinate the sourcing of raw materials used in the production of our products, which are generally available from numerous sources. The apparel industry competes with manufacturers of many other products for the supply of raw materials.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Marketing and Distribution</w:t>
      </w:r>
    </w:p>
    <w:p>
      <w:pPr>
        <w:spacing w:after="0" w:line="9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G-III’s products are sold primarily to department, specialty and mass merchant retail stores in the United States. We sell to approximately 2,400 customers, ranging from national and regional chains to small specialty stores. We also distribute our products through our retail stores and, to a lesser extent, through our DKNY, Donna Karan, Wilsons Leather, G.H. Bass, Vilebrequin and Andrew Marc websites, the Karl Lagerfeld Paris website, and the websites of our retail partners such as Macy’s, Nordstrom, Amazon and Fanatics.</w:t>
      </w:r>
    </w:p>
    <w:p>
      <w:pPr>
        <w:spacing w:after="0" w:line="5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Sales to our ten largest customers accounted for 63.2% of our net sales in fiscal 2018 compared to 64.1% of our net sales in fiscal 2017 and 63.5% of our net sales in fiscal 2016. Sales to Macy’s, which includes sales to its Macy’s and Bloomingdale’s store chains, as well as through macys.com, accounted for an aggregate of 22.2% of our net sales in fiscal 2018 compared to 21.8% of our net sales in fiscal 2017 and 20.8% of our net sales in fiscal 2016. Sales to Macy’s will likely increase as a percentage of our net sales as a result of our expanded license agreement with Tommy Hilfiger and sales of DKNY product to Macy’s, including as a result of the agreement that provides Macy’s with the exclusive right to sell DKNY women’s apparel and accessories since February 2018. The loss of this customer or a significant reduction in purchases by our largest customers could have a material adverse effect on our results of operations.</w:t>
      </w:r>
    </w:p>
    <w:p>
      <w:pPr>
        <w:spacing w:after="0" w:line="60"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A substantial majority of our sales are made in the United States. We also market our products in Canada, Europe and the Far East, which, on a combined basis, accounted for approximately 12.1% of our net sales in fiscal 2018 compared to 8.6% of our net sales in Fiscal 2017. See Note K to our Consolidated Financial Statements for information with respect to revenues and long-lived assets attributed by geographic region.</w:t>
      </w:r>
    </w:p>
    <w:p>
      <w:pPr>
        <w:spacing w:after="0" w:line="46"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Our products are sold primarily through a direct sales force consisting of 285 employees at January 31, 2018. Our principal executives are also actively involved in sales of our products. Some of our products are also sold by independent sales representatives located throughout the United States. The Canadian market is serviced by a sales and customer service team based both in the United States and in Canada. Sales outside of the United States are managed by 31 salespeople located in our offices across Asia. At January 31, 2018, we employed 7 salespeople located in Canada with respect to sales of Kensie product and Vilebrequin employed 27 salespeople, most of whom are located across Europe.</w:t>
      </w:r>
    </w:p>
    <w:p>
      <w:pPr>
        <w:spacing w:after="0" w:line="70"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spacing w:after="0" w:line="46"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Our marketing and press efforts on behalf of the DKNY and Donna Karan brands are highly focused around communicating brand DNA and visual identity for the new evolution of DKNY and Donna Karan. We are re-building the brand image through high impact ad campaigns that feature socially relevant talent. We are striving to create noteworthy marketing initiatives, collaborations and image programs to build brand awareness and bring in a new young customer. Donna Karan and DKNY will continue to support global licensees with brand campaigns and product images to tell the brand story. We expect to invest in digital media and storytelling for brand amplification and to establish comprehensive commercial marketing tools that will support our global wholesale and retail channels.</w:t>
      </w:r>
    </w:p>
    <w:p>
      <w:pPr>
        <w:spacing w:after="0" w:line="7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Marketing efforts by Wilsons Leather and G.H. Bass are primarily focused on increasing store traffic and then converting customers to buyers. This goal is mainly accomplished through our customer relations programs, local advertising and mall marketing promotions along with marketing initiatives through the Internet, social media and public relations support. We continue to revitalize and build the G.H. Bass heritage brand through products featuring new design and comfort technology, improved assortments and additional category licenses with strong partners.</w:t>
      </w: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and public relations. Through the growth of its network of stores, distributors and franchisees, Vilebrequin is seeking to reinforce its position in its traditional markets, such as the United States, Europe and the Middle East, and to develop new markets in Asia.</w:t>
      </w:r>
    </w:p>
    <w:p>
      <w:pPr>
        <w:spacing w:after="0" w:line="5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advertise our Andrew Marc and Marc New York brands and are engaged in both cooperative advertising programs with retailers and direct to the consumer. Our marketing strategy is focused on media, public relations and channel marketing. Our media strategy for Andrew Marc includes traditional print, such as catalogs, and outdoor advertising, as well as digital and social media initiatives.</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Retail sales of apparel have traditionally been seasonal in nature. Historically, our wholesale business has been dependent on our sales to retailers from July through November. Net sales in the months of July through November accounted for approximately 54% of our net sales in fiscal 2018 and fiscal 2017, and 57% of our net sales in fiscal 2016. We are highly dependent on our results of operations during the second half of our fiscal year. The second half of the year is expected to continue to provide a larger amount of our net sales and a substantial majority of our net income for the foreseeable future.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Order Book</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 portion of our orders consists of short-term purchase orders from customers who place orders on an as-needed basis. Information relative to open purchase orders at any date may also be materially affected by, among other things, the timing of the initial showing of apparel to the trade, as well as by the timing of recording of orders and shipments. As a result, we do not believe that disclosure of the amount of our unfilled customer orders at any time is meaningful.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have numerous competitors with respect to the sale of our products, including brand owners, distributors that import products from abroad, and domestic retailers with established foreign manufacturing capabilities. Some of our competitors have greater financial and marketing resources and greater manufacturing capacity than we do. Our retail business competes against a diverse group of retailers, including, among others, other outlet stores, department stores, specialty stores, warehouse clubs and e-commerce retailers. Sales of our products are affected by style, price, quality, brand reputation and general fashion trends.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Trademarks</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wholesale operations segment. The principal brands that we license are summarized under the heading “Licensing” above. We own a number of proprietary brands that we use in connection with our business and products including, among others, DKNY, Donna Karan, Vilebrequin, Eliza J, Jessica Howard, G.H. Bass, Andrew Marc, Marc New York and G-III Sports by Carl Banks. We have registered, or applied for registration of, many of our trademarks in multiple jurisdictions for use on a variety of apparel and related other products.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markets outside of the United States, our rights to some of our trademarks may not be clearly established. In the course of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spacing w:after="0" w:line="5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regard our trademarks and other proprietary rights as valuable assets and believe that they have value in the marketing of our products. We vigorously protect our trademarks and other intellectual property rights against infringement.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As of January 31, 2018, we had 9,071 employees, of whom 653 worked in executive or administrative capacities, 1,527 worked in design, merchandising and sourcing, 809 worked in warehouse and distribution facilities, 285 worked in wholesale sales, and 5,797 worked in our retail stores. Additionally, during our peak retail selling season from October through January, we employed approximately 1,780 additional seasonal associates in our retail stores. We employ both union and non-union personnel and believe that our relations with our employees are good. We have not experienced any interruption of our operations due to a labor disagreement with our employees.</w:t>
      </w:r>
    </w:p>
    <w:p>
      <w:pPr>
        <w:spacing w:after="0" w:line="8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G-III is a party to an agreement with a labor union. As of January 31, 2018, this agreement covers approximately 420 of our full-time employees, most of whom work in our warehouses located in New Jersey, and is currently in effect through November 15, 2020. Through its membership in an association, G-III’s subsidiary, The Donna Karan Company LLC, is a party to an agreement with the same union. The Donna Karan agreement covers approximately 27 full time employees, most of whom work in their warehouse in New Jersey. This agreement is currently in effect through May 31, 2019.</w:t>
      </w:r>
    </w:p>
    <w:p>
      <w:pPr>
        <w:spacing w:after="0" w:line="8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Donna Karan Company LLC is also a party to an agreement with another labor union. As of January 31, 2018, this agreement covers approximately 8 of our full-time employees, most of whom work as pattern makers in our New York offices. The agreement is currently in effect through May 31, 2019.</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77"/>
        </w:trPr>
        <w:tc>
          <w:tcPr>
            <w:tcW w:w="2240" w:type="dxa"/>
            <w:vAlign w:val="bottom"/>
            <w:gridSpan w:val="2"/>
          </w:tcPr>
          <w:p>
            <w:pPr>
              <w:spacing w:after="0"/>
              <w:rPr>
                <w:sz w:val="20"/>
                <w:szCs w:val="20"/>
                <w:color w:val="auto"/>
              </w:rPr>
            </w:pPr>
            <w:r>
              <w:rPr>
                <w:rFonts w:ascii="Arial" w:cs="Arial" w:eastAsia="Arial" w:hAnsi="Arial"/>
                <w:sz w:val="18"/>
                <w:szCs w:val="18"/>
                <w:color w:val="auto"/>
              </w:rPr>
              <w:t>Morris Goldfarb</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67</w:t>
            </w:r>
          </w:p>
        </w:tc>
        <w:tc>
          <w:tcPr>
            <w:tcW w:w="2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2"/>
              </w:rPr>
              <w:t>Chairman of the Board, Chief Executive Officer and Director</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Sammy Aaron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Vice Chairman, President and Director</w:t>
            </w:r>
          </w:p>
        </w:tc>
      </w:tr>
      <w:tr>
        <w:trPr>
          <w:trHeight w:val="257"/>
        </w:trPr>
        <w:tc>
          <w:tcPr>
            <w:tcW w:w="2240" w:type="dxa"/>
            <w:vAlign w:val="bottom"/>
            <w:gridSpan w:val="2"/>
          </w:tcPr>
          <w:p>
            <w:pPr>
              <w:spacing w:after="0"/>
              <w:rPr>
                <w:sz w:val="20"/>
                <w:szCs w:val="20"/>
                <w:color w:val="auto"/>
              </w:rPr>
            </w:pPr>
            <w:r>
              <w:rPr>
                <w:rFonts w:ascii="Arial" w:cs="Arial" w:eastAsia="Arial" w:hAnsi="Arial"/>
                <w:sz w:val="18"/>
                <w:szCs w:val="18"/>
                <w:color w:val="auto"/>
              </w:rPr>
              <w:t>Wayne S. Miller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Chief Operating Officer and Secretary</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Neal S. Nackman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58</w:t>
            </w:r>
          </w:p>
        </w:tc>
        <w:tc>
          <w:tcPr>
            <w:tcW w:w="22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Jeffrey Goldfarb</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41</w:t>
            </w:r>
          </w:p>
        </w:tc>
        <w:tc>
          <w:tcPr>
            <w:tcW w:w="22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56" w:lineRule="exact"/>
        <w:rPr>
          <w:sz w:val="20"/>
          <w:szCs w:val="20"/>
          <w:color w:val="auto"/>
        </w:rPr>
      </w:pPr>
    </w:p>
    <w:p>
      <w:pPr>
        <w:ind w:left="1620"/>
        <w:spacing w:after="0"/>
        <w:rPr>
          <w:sz w:val="20"/>
          <w:szCs w:val="20"/>
          <w:color w:val="auto"/>
        </w:rPr>
      </w:pPr>
      <w:r>
        <w:rPr>
          <w:rFonts w:ascii="Arial" w:cs="Arial" w:eastAsia="Arial" w:hAnsi="Arial"/>
          <w:sz w:val="16"/>
          <w:szCs w:val="16"/>
          <w:i w:val="1"/>
          <w:iCs w:val="1"/>
          <w:color w:val="auto"/>
        </w:rPr>
        <w:t xml:space="preserve">Morris Goldfarb </w:t>
      </w:r>
      <w:r>
        <w:rPr>
          <w:rFonts w:ascii="Arial" w:cs="Arial" w:eastAsia="Arial" w:hAnsi="Arial"/>
          <w:sz w:val="16"/>
          <w:szCs w:val="16"/>
          <w:color w:val="auto"/>
        </w:rPr>
        <w:t>is our Chairman of the Board and Chief Executive Officer, as well as one of our directors.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Goldfarb has served as an executive officer of G-III and our predecessors since our formation in 1974.</w:t>
      </w:r>
    </w:p>
    <w:p>
      <w:pPr>
        <w:spacing w:after="0" w:line="114"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i w:val="1"/>
          <w:iCs w:val="1"/>
          <w:color w:val="auto"/>
        </w:rPr>
        <w:t xml:space="preserve">Sammy Aaron </w:t>
      </w:r>
      <w:r>
        <w:rPr>
          <w:rFonts w:ascii="Arial" w:cs="Arial" w:eastAsia="Arial" w:hAnsi="Arial"/>
          <w:sz w:val="18"/>
          <w:szCs w:val="18"/>
          <w:color w:val="auto"/>
        </w:rPr>
        <w:t>is our Vice Chairman and President, as well as one of our directors. He has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since we acquired the Marvin Richards business in July 2005. Mr. Aaron is also the Chief Executive Officer of our Calvin Klein divisions.</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Wayne S. Miller </w:t>
      </w:r>
      <w:r>
        <w:rPr>
          <w:rFonts w:ascii="Arial" w:cs="Arial" w:eastAsia="Arial" w:hAnsi="Arial"/>
          <w:sz w:val="18"/>
          <w:szCs w:val="18"/>
          <w:color w:val="auto"/>
        </w:rPr>
        <w:t>has been our Chief Operating Officer since December 2003 and our Secretary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1998. He also served as our Chief Financial Officer from April 1998 until September 2005 and as our Treasurer from November 1998 until April 2006.</w:t>
      </w:r>
    </w:p>
    <w:p>
      <w:pPr>
        <w:spacing w:after="0" w:line="73"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i w:val="1"/>
          <w:iCs w:val="1"/>
          <w:color w:val="auto"/>
        </w:rPr>
        <w:t xml:space="preserve">Neal S. Nackman </w:t>
      </w:r>
      <w:r>
        <w:rPr>
          <w:rFonts w:ascii="Arial" w:cs="Arial" w:eastAsia="Arial" w:hAnsi="Arial"/>
          <w:sz w:val="16"/>
          <w:szCs w:val="16"/>
          <w:color w:val="auto"/>
        </w:rPr>
        <w:t>has been our Chief Financial Officer since September 2005 and was elected Treasurer 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2006. Mr. Nackman served as Vice President — Finance from December 2003 until April 2006.</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i w:val="1"/>
          <w:iCs w:val="1"/>
          <w:color w:val="auto"/>
        </w:rPr>
        <w:t xml:space="preserve">Jeffrey Goldfarb </w:t>
      </w:r>
      <w:r>
        <w:rPr>
          <w:rFonts w:ascii="Arial" w:cs="Arial" w:eastAsia="Arial" w:hAnsi="Arial"/>
          <w:sz w:val="18"/>
          <w:szCs w:val="18"/>
          <w:color w:val="auto"/>
        </w:rPr>
        <w:t>has been our Executive Vice President and Director of Strategic Planning since June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serves as one of our directors. He has been employed by G-III in a number of other capacities since 2002. Prior to becoming Executive Vice President, he served as our Director of Business Development for more than five years. Jeffrey Goldfarb is the son of Morris Goldfarb.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Factors Relating to Our Wholesale Operations</w:t>
      </w:r>
    </w:p>
    <w:p>
      <w:pPr>
        <w:spacing w:after="0" w:line="202" w:lineRule="exact"/>
        <w:rPr>
          <w:sz w:val="20"/>
          <w:szCs w:val="20"/>
          <w:color w:val="auto"/>
        </w:rPr>
      </w:pPr>
    </w:p>
    <w:p>
      <w:pPr>
        <w:ind w:left="1440" w:right="1239"/>
        <w:spacing w:after="0" w:line="246" w:lineRule="auto"/>
        <w:rPr>
          <w:sz w:val="20"/>
          <w:szCs w:val="20"/>
          <w:color w:val="auto"/>
        </w:rPr>
      </w:pPr>
      <w:r>
        <w:rPr>
          <w:rFonts w:ascii="Arial" w:cs="Arial" w:eastAsia="Arial" w:hAnsi="Arial"/>
          <w:sz w:val="18"/>
          <w:szCs w:val="18"/>
          <w:b w:val="1"/>
          <w:bCs w:val="1"/>
          <w:i w:val="1"/>
          <w:iCs w:val="1"/>
          <w:color w:val="auto"/>
        </w:rPr>
        <w:t>The failure to maintain our license agreements could cause us to lose significant revenues and have a material adverse effect on our results of operations.</w:t>
      </w:r>
    </w:p>
    <w:p>
      <w:pPr>
        <w:spacing w:after="0" w:line="7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are dependent on sales of licensed products for a substantial portion of our revenues. In fiscal 2018, net sales of licensed product accounted for 58.6% of our net sales compared to 60.7% of our net sales in fiscal 2017 and 59.2% of our net sales in fiscal 2016.</w:t>
      </w:r>
    </w:p>
    <w:p>
      <w:pPr>
        <w:spacing w:after="0" w:line="73"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We are generally required to achieve specified minimum net sales, make specified royalty and advertising payments and receive prior approval of the licensor as to all design and other elements of a product prior to production. License agreements also may restrict our ability to enter into other license agreements for competing products or acquire businesses that produce competing products without the consent of the licensor. If we do not satisfy any of these requirements or receive approval with respect to a restricted transaction, a licensor usually will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provision, there are usually minimum net sales and other conditions that must be met in order to be able to renew a license. Even if we comply with all the terms of a license agreement, we cannot be sure that we will be able to renew an agreement when it expires even if we desire to do so. The failure to maintain or renew our license agreements could cause us to lose significant revenue and have a material adverse effect on our results of operations.</w:t>
      </w:r>
    </w:p>
    <w:p>
      <w:pPr>
        <w:spacing w:after="0" w:line="15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Our success is dependent on the strategies and reputation of our licensors.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strive to offer our products on a multiple brand, multiple channels and multiple price point basis. As a part of this strategy, we license the names and brands of numerous recognized companies, designers and celebrities. In entering into these license agreements, we plan our products to be targeted towards different market segments based on consumer demographics, design, suggested pricing and channel of distribution.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In addition, as licensed products may be personally associated with designers or celebrities, our sales of those products could be materially and adversely affected if any of those individuals’ images, reputations or popularity were to be negatively impacted.</w:t>
      </w:r>
    </w:p>
    <w:p>
      <w:pPr>
        <w:spacing w:after="0" w:line="164" w:lineRule="exact"/>
        <w:rPr>
          <w:sz w:val="20"/>
          <w:szCs w:val="20"/>
          <w:color w:val="auto"/>
        </w:rPr>
      </w:pPr>
    </w:p>
    <w:p>
      <w:pPr>
        <w:ind w:left="1440" w:right="1059"/>
        <w:spacing w:after="0" w:line="246" w:lineRule="auto"/>
        <w:rPr>
          <w:sz w:val="20"/>
          <w:szCs w:val="20"/>
          <w:color w:val="auto"/>
        </w:rPr>
      </w:pPr>
      <w:r>
        <w:rPr>
          <w:rFonts w:ascii="Arial" w:cs="Arial" w:eastAsia="Arial" w:hAnsi="Arial"/>
          <w:sz w:val="18"/>
          <w:szCs w:val="18"/>
          <w:b w:val="1"/>
          <w:bCs w:val="1"/>
          <w:i w:val="1"/>
          <w:iCs w:val="1"/>
          <w:color w:val="auto"/>
        </w:rPr>
        <w:t>Any adverse change in our relationship with PVH and its Calvin Klein or Tommy Hilfiger brands would have a material adverse effect on our results of operations.</w:t>
      </w:r>
    </w:p>
    <w:p>
      <w:pPr>
        <w:spacing w:after="0" w:line="7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We have ten different license agreements relating to a variety of products sold under the Calvin Klein brand that is owned by PVH. We have three different license agreements for products sold under the Tommy Hilfiger brand, which is also owned by PVH. In February 2016, we significantly expanded our relationship with Tommy Hilfiger through a license for women’s sportswear, suit separates, performance and denim. Our Tommy Hilfiger dress license was also incorporated into this license. Net sales of these two brands owned by PVH constituted approximately 46% of our net sales in fiscal 2018 and approximately 44% of our net sales in fiscal 2017. Any adverse change in our relationship with PVH, or in the reputation of Calvin Klein or Tommy Hilfiger, would have a material adverse effect on our results of operations.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40" w:right="759"/>
        <w:spacing w:after="0" w:line="246" w:lineRule="auto"/>
        <w:rPr>
          <w:sz w:val="20"/>
          <w:szCs w:val="20"/>
          <w:color w:val="auto"/>
        </w:rPr>
      </w:pPr>
      <w:r>
        <w:rPr>
          <w:rFonts w:ascii="Arial" w:cs="Arial" w:eastAsia="Arial" w:hAnsi="Arial"/>
          <w:sz w:val="18"/>
          <w:szCs w:val="18"/>
          <w:b w:val="1"/>
          <w:bCs w:val="1"/>
          <w:i w:val="1"/>
          <w:iCs w:val="1"/>
          <w:color w:val="auto"/>
        </w:rPr>
        <w:t>Our business and the success of our products could also be harmed if we are unable to maintain or enhance the images of our proprietary brands.</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Our success has also been due to the growth of our proprietary brands, their favorable images and our customers’ connection to our brands. Our recent acquisition of DKI and its DKNY and Donna Karan brands further expands our portfolio of proprietary brands that also includes G.H. Bass, Vilebrequin and Andrew Marc, among others. If we are unable to timely and appropriately respond to changing consumer demand, the value and images of our brands may be impaired. Even if we react appropriately to changes in consumer preferences, consumers may consider our brands’ images to be outdated or associate our brands with styles that are no longer popular. In addition, brand value is based in part on consumer perceptions on a variety of qualities, including merchandise quality and corporate integrity. Negative claims or publicity regarding G-III,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55" w:lineRule="exact"/>
        <w:rPr>
          <w:sz w:val="20"/>
          <w:szCs w:val="20"/>
          <w:color w:val="auto"/>
        </w:rPr>
      </w:pPr>
    </w:p>
    <w:p>
      <w:pPr>
        <w:ind w:left="1440" w:right="1119"/>
        <w:spacing w:after="0" w:line="276" w:lineRule="auto"/>
        <w:rPr>
          <w:sz w:val="20"/>
          <w:szCs w:val="20"/>
          <w:color w:val="auto"/>
        </w:rPr>
      </w:pPr>
      <w:r>
        <w:rPr>
          <w:rFonts w:ascii="Arial" w:cs="Arial" w:eastAsia="Arial" w:hAnsi="Arial"/>
          <w:sz w:val="16"/>
          <w:szCs w:val="16"/>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5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pacing w:after="0" w:line="164" w:lineRule="exact"/>
        <w:rPr>
          <w:sz w:val="20"/>
          <w:szCs w:val="20"/>
          <w:color w:val="auto"/>
        </w:rPr>
      </w:pPr>
    </w:p>
    <w:p>
      <w:pPr>
        <w:ind w:left="1440" w:right="1119"/>
        <w:spacing w:after="0" w:line="246" w:lineRule="auto"/>
        <w:rPr>
          <w:sz w:val="20"/>
          <w:szCs w:val="20"/>
          <w:color w:val="auto"/>
        </w:rPr>
      </w:pPr>
      <w:r>
        <w:rPr>
          <w:rFonts w:ascii="Arial" w:cs="Arial" w:eastAsia="Arial" w:hAnsi="Arial"/>
          <w:sz w:val="18"/>
          <w:szCs w:val="18"/>
          <w:b w:val="1"/>
          <w:bCs w:val="1"/>
          <w:i w:val="1"/>
          <w:iCs w:val="1"/>
          <w:color w:val="auto"/>
        </w:rPr>
        <w:t>We have significant customer concentration, and the loss of one of our large customers could adversely affect our business.</w:t>
      </w:r>
    </w:p>
    <w:p>
      <w:pPr>
        <w:spacing w:after="0" w:line="7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Our ten largest customers, all of which are department or discount store groups, accounted for approximately 63.2% of our net sales in fiscal 2018, 64.1% of our net sales in fiscal 2017 and 63.5% of our net sales in fiscal 2016, with the Macy’s Inc. group accounting for approximately 22.2% of our net sales in fiscal 2018 compared to 21.8% of our net sales in fiscal 2017 and 20.8% of our net sales in fiscal 2016. We expect that the percentage of our sales to Macy’s will increase as a result of our womenswear license agreement with Tommy Hilfiger and our agreement with Macy’s that provides Macy’s with the exclusive right to sell DKNY women’s apparel and accessories since February 2018. Consolidation in the retail industry could increase the concentration of our sales to our largest customers. A number of large department or discount store groups, including Macy’s, have announced their intention to close a significant number of stores. This reduction in store count could adversely affect our results of operations.</w:t>
      </w:r>
    </w:p>
    <w:p>
      <w:pPr>
        <w:spacing w:after="0" w:line="70"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Other than our agreement with Macy’s relating to DKNY, we do not have long-term contracts with any customers. 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or the bankruptcy or serious financial difficulty of any of our large customers, could have a material adverse effect on us.</w:t>
      </w:r>
    </w:p>
    <w:p>
      <w:pPr>
        <w:spacing w:after="0" w:line="164" w:lineRule="exact"/>
        <w:rPr>
          <w:sz w:val="20"/>
          <w:szCs w:val="20"/>
          <w:color w:val="auto"/>
        </w:rPr>
      </w:pPr>
    </w:p>
    <w:p>
      <w:pPr>
        <w:ind w:left="1440" w:right="859"/>
        <w:spacing w:after="0" w:line="246" w:lineRule="auto"/>
        <w:rPr>
          <w:sz w:val="20"/>
          <w:szCs w:val="20"/>
          <w:color w:val="auto"/>
        </w:rPr>
      </w:pPr>
      <w:r>
        <w:rPr>
          <w:rFonts w:ascii="Arial" w:cs="Arial" w:eastAsia="Arial" w:hAnsi="Arial"/>
          <w:sz w:val="18"/>
          <w:szCs w:val="18"/>
          <w:b w:val="1"/>
          <w:bCs w:val="1"/>
          <w:i w:val="1"/>
          <w:iCs w:val="1"/>
          <w:color w:val="auto"/>
        </w:rPr>
        <w:t>If we miscalculate the market for our products, we may end up with significant excess inventories for some products and missed opportunities for others.</w:t>
      </w:r>
    </w:p>
    <w:p>
      <w:pPr>
        <w:spacing w:after="0" w:line="75"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We often produce products to hold in inventory in order to meet our customers’ delivery requirements and to be able to quickly fulfill reorders. If we misjudge the market for our products, we may be faced with significant excess inventories for some products and missed opportunities for others. In addition, weak sales and resulting markdown requests from customers could have a material adverse effect on our results of operations.</w:t>
      </w: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Our Retail Operations</w:t>
      </w:r>
    </w:p>
    <w:p>
      <w:pPr>
        <w:spacing w:after="0" w:line="202" w:lineRule="exact"/>
        <w:rPr>
          <w:sz w:val="20"/>
          <w:szCs w:val="20"/>
          <w:color w:val="auto"/>
        </w:rPr>
      </w:pPr>
    </w:p>
    <w:p>
      <w:pPr>
        <w:ind w:left="1440" w:right="1139"/>
        <w:spacing w:after="0" w:line="246" w:lineRule="auto"/>
        <w:rPr>
          <w:sz w:val="20"/>
          <w:szCs w:val="20"/>
          <w:color w:val="auto"/>
        </w:rPr>
      </w:pPr>
      <w:r>
        <w:rPr>
          <w:rFonts w:ascii="Arial" w:cs="Arial" w:eastAsia="Arial" w:hAnsi="Arial"/>
          <w:sz w:val="18"/>
          <w:szCs w:val="18"/>
          <w:b w:val="1"/>
          <w:bCs w:val="1"/>
          <w:i w:val="1"/>
          <w:iCs w:val="1"/>
          <w:color w:val="auto"/>
        </w:rPr>
        <w:t>Our retail operations segment may continue to incur losses if our retail turnaround strategy and/or our execution of the turnaround strategy are unsuccessful.</w:t>
      </w:r>
    </w:p>
    <w:p>
      <w:pPr>
        <w:spacing w:after="0" w:line="75"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retail landscape continues to evolve and, as a result, we are changing our retail strategy in an attempt to regain profitability in our retail operations segment. We are in the process of executing a turnaround strategy of this segment of our business, including termination or renegotiation of long-term leases as they come up for renewal, overall cost cutting, improved merchandising strategies for our Wilsons and G.H. Bass store chains and re-purposing certain stores for our Karl Lagerfeld Paris or DKNY brands. We need to successfully implement this strategy in order to regain profitability in our retail operations segment.</w:t>
      </w:r>
    </w:p>
    <w:p>
      <w:pPr>
        <w:spacing w:after="0" w:line="165" w:lineRule="exact"/>
        <w:rPr>
          <w:sz w:val="20"/>
          <w:szCs w:val="20"/>
          <w:color w:val="auto"/>
        </w:rPr>
      </w:pPr>
    </w:p>
    <w:p>
      <w:pPr>
        <w:ind w:left="1440" w:right="1339"/>
        <w:spacing w:after="0" w:line="246" w:lineRule="auto"/>
        <w:rPr>
          <w:sz w:val="20"/>
          <w:szCs w:val="20"/>
          <w:color w:val="auto"/>
        </w:rPr>
      </w:pPr>
      <w:r>
        <w:rPr>
          <w:rFonts w:ascii="Arial" w:cs="Arial" w:eastAsia="Arial" w:hAnsi="Arial"/>
          <w:sz w:val="18"/>
          <w:szCs w:val="18"/>
          <w:b w:val="1"/>
          <w:bCs w:val="1"/>
          <w:i w:val="1"/>
          <w:iCs w:val="1"/>
          <w:color w:val="auto"/>
        </w:rPr>
        <w:t>We may be required to record impairments of long-lived assets or incur other charges relating to our company-operated retail stores.</w:t>
      </w:r>
    </w:p>
    <w:p>
      <w:pPr>
        <w:spacing w:after="0" w:line="75"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Impairment testing of our retail stores’ long-lived assets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or other long-lived assets, write-downs of inventory, severance costs, lease termination costs or the loss of working capital, which could adversely impact our business and financial results. For example, we recorded impairments of $10.5 million in fiscal 2017 and $6.5 million in fiscal 2018. These impairment charges may increase as we continue to evaluate our retail operations. The recording of additional impairments in the future may have a material adverse impact on our business and financial results.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Leasing of significant amounts of real estate exposes us to possible liabilities and losses.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All of the stores operated by us are leased. Accordingly, we are subject to all of the risks associated with leasing real estate. Our exposure with respect to retail store leases increased as a result of our acquisition of DKI.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pacing w:after="0" w:line="164" w:lineRule="exact"/>
        <w:rPr>
          <w:sz w:val="20"/>
          <w:szCs w:val="20"/>
          <w:color w:val="auto"/>
        </w:rPr>
      </w:pPr>
    </w:p>
    <w:p>
      <w:pPr>
        <w:ind w:left="1440" w:right="1459"/>
        <w:spacing w:after="0" w:line="307" w:lineRule="auto"/>
        <w:rPr>
          <w:sz w:val="20"/>
          <w:szCs w:val="20"/>
          <w:color w:val="auto"/>
        </w:rPr>
      </w:pPr>
      <w:r>
        <w:rPr>
          <w:rFonts w:ascii="Arial" w:cs="Arial" w:eastAsia="Arial" w:hAnsi="Arial"/>
          <w:sz w:val="16"/>
          <w:szCs w:val="16"/>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29"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77" w:lineRule="exact"/>
        <w:rPr>
          <w:sz w:val="20"/>
          <w:szCs w:val="20"/>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location of the outlet mall or the location of a particular store within the mall;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tenants occupying space at the outlet mall;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in areas where the outlet malls are located;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downturn in the economy generally or in a particular area where an outlet mall is located;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shift to online shopping;</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downturn in foreign shoppers in the United States;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of advertising and promotional dollars spent on attracting consumers to outlet malls.</w:t>
      </w:r>
    </w:p>
    <w:p>
      <w:pPr>
        <w:spacing w:after="0" w:line="129"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Sales at our outlet stores are derived, in part, from the volume of traffic at the malls where our stores are located. In fiscal 2018, outlet malls experienced a reduction in consumer traffic, which adversely affected the results of our retail operations segment. 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Our ability to successfully operate retail stores depends on many factors.</w:t>
      </w:r>
    </w:p>
    <w:p>
      <w:pPr>
        <w:spacing w:after="0" w:line="10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Our ability to successfully operate our retail stores depends on many factors, including, among others, our ability to:</w:t>
      </w:r>
    </w:p>
    <w:p>
      <w:pPr>
        <w:spacing w:after="0" w:line="76" w:lineRule="exact"/>
        <w:rPr>
          <w:sz w:val="20"/>
          <w:szCs w:val="20"/>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rent and tenant improvement allowances;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brand awareness, affinity and purchase intent in the our markets;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increased sales and gross margins at our stores;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retain store associates and field management;</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assimilate store associates and field management into our corporate culture;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and supply sufficient inventory levels.</w:t>
      </w:r>
    </w:p>
    <w:p>
      <w:pPr>
        <w:spacing w:after="0" w:line="212" w:lineRule="exact"/>
        <w:rPr>
          <w:sz w:val="20"/>
          <w:szCs w:val="20"/>
          <w:color w:val="auto"/>
        </w:rPr>
      </w:pPr>
    </w:p>
    <w:p>
      <w:pPr>
        <w:ind w:left="1440" w:right="819"/>
        <w:spacing w:after="0" w:line="246" w:lineRule="auto"/>
        <w:rPr>
          <w:sz w:val="20"/>
          <w:szCs w:val="20"/>
          <w:color w:val="auto"/>
        </w:rPr>
      </w:pPr>
      <w:r>
        <w:rPr>
          <w:rFonts w:ascii="Arial" w:cs="Arial" w:eastAsia="Arial" w:hAnsi="Arial"/>
          <w:sz w:val="18"/>
          <w:szCs w:val="18"/>
          <w:b w:val="1"/>
          <w:bCs w:val="1"/>
          <w:i w:val="1"/>
          <w:iCs w:val="1"/>
          <w:color w:val="auto"/>
        </w:rPr>
        <w:t>The retail business is intensely competitive and increased or new competition could have a material adverse effect on us.</w:t>
      </w:r>
    </w:p>
    <w:p>
      <w:pPr>
        <w:spacing w:after="0" w:line="75"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retail industry is intensely competitive. We compete against a diverse group of retailers, including, among others, other outlet stores, department stores, specialty stores, warehouse clubs and e-commerce retailers. We also compete in particular markets with a number of retailers that specialize in the products that we sell. A number of different competitive factors could have a material adverse effect on our retail business, results of operations and financial condition including:</w:t>
      </w:r>
    </w:p>
    <w:p>
      <w:pPr>
        <w:spacing w:after="0" w:line="94" w:lineRule="exact"/>
        <w:rPr>
          <w:sz w:val="20"/>
          <w:szCs w:val="20"/>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pricing strategies, including deep discount pricing by a broad range of retailers during periods of poor consumer confidence or economic instability;</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product offerings by existing competitors;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operate retail stores;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adoption by existing competitors of innovative retail sales methods; and</w:t>
      </w:r>
    </w:p>
    <w:p>
      <w:pPr>
        <w:spacing w:after="0" w:line="14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consumer preference for online apparel purchases and innovations by e-commerce retailers such as Amazon.</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may not be able to continue to compete successfully with our existing or new competitors, or be assured that prolonged periods of deep discount pricing by our competitors will not have a material adverse effect on our business.</w:t>
      </w:r>
    </w:p>
    <w:p>
      <w:pPr>
        <w:spacing w:after="0" w:line="168" w:lineRule="exact"/>
        <w:rPr>
          <w:sz w:val="20"/>
          <w:szCs w:val="20"/>
          <w:color w:val="auto"/>
        </w:rPr>
      </w:pPr>
    </w:p>
    <w:p>
      <w:pPr>
        <w:ind w:left="1440" w:right="839"/>
        <w:spacing w:after="0" w:line="246" w:lineRule="auto"/>
        <w:rPr>
          <w:sz w:val="20"/>
          <w:szCs w:val="20"/>
          <w:color w:val="auto"/>
        </w:rPr>
      </w:pPr>
      <w:r>
        <w:rPr>
          <w:rFonts w:ascii="Arial" w:cs="Arial" w:eastAsia="Arial" w:hAnsi="Arial"/>
          <w:sz w:val="18"/>
          <w:szCs w:val="18"/>
          <w:b w:val="1"/>
          <w:bCs w:val="1"/>
          <w:i w:val="1"/>
          <w:iCs w:val="1"/>
          <w:color w:val="auto"/>
        </w:rPr>
        <w:t>Laws on privacy continue to evolve and further limits on how we collect or use customer information could adversely affect our business.</w:t>
      </w:r>
    </w:p>
    <w:p>
      <w:pPr>
        <w:spacing w:after="0" w:line="7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collect and store customer information primarily for marketing purposes and to improve the services we provide. The use or retention of certain customer information is subject to applicable privacy laws. These laws and the judicial interpretation of such laws are evolving on a frequent basis. If we fail to</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0" w:lineRule="auto"/>
        <w:rPr>
          <w:sz w:val="20"/>
          <w:szCs w:val="20"/>
          <w:color w:val="auto"/>
        </w:rPr>
      </w:pPr>
      <w:r>
        <w:rPr>
          <w:rFonts w:ascii="Arial" w:cs="Arial" w:eastAsia="Arial" w:hAnsi="Arial"/>
          <w:sz w:val="16"/>
          <w:szCs w:val="16"/>
          <w:color w:val="auto"/>
        </w:rPr>
        <w:t>comply with these laws, we may be subject to fines or penalties, which could impact our business, financial condition and results of operations. Any limitations imposed on the use of such customer information by federal, state or local governments, could have an adverse effect on our future marketing activities. Governmental focus on data security and/or privacy may lead to additional legislation or regulations. As a result, we may have to modify our business with the goal of further improving data security, which would result in increased expenses and operating complexity. To the extent our or our business partners’ security procedures and protection of customer information prove to be insufficient or inadequate, we may become subject to litigation or other claims, which could expose us to liability and cause damage to our reputation, brand and results of operations.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Factors Relating to the Business of Donna Karan International</w:t>
      </w:r>
    </w:p>
    <w:p>
      <w:pPr>
        <w:spacing w:after="0" w:line="202" w:lineRule="exact"/>
        <w:rPr>
          <w:sz w:val="20"/>
          <w:szCs w:val="20"/>
          <w:color w:val="auto"/>
        </w:rPr>
      </w:pPr>
    </w:p>
    <w:p>
      <w:pPr>
        <w:ind w:left="1440" w:right="819"/>
        <w:spacing w:after="0" w:line="246" w:lineRule="auto"/>
        <w:rPr>
          <w:sz w:val="20"/>
          <w:szCs w:val="20"/>
          <w:color w:val="auto"/>
        </w:rPr>
      </w:pPr>
      <w:r>
        <w:rPr>
          <w:rFonts w:ascii="Arial" w:cs="Arial" w:eastAsia="Arial" w:hAnsi="Arial"/>
          <w:sz w:val="18"/>
          <w:szCs w:val="18"/>
          <w:b w:val="1"/>
          <w:bCs w:val="1"/>
          <w:i w:val="1"/>
          <w:iCs w:val="1"/>
          <w:color w:val="auto"/>
        </w:rPr>
        <w:t>Our failure to realize the benefits of the DKI business in a timely and cost-efficient manner could adversely affect our results of operations.</w:t>
      </w:r>
    </w:p>
    <w:p>
      <w:pPr>
        <w:spacing w:after="0" w:line="7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success of the DKI acquisition will depend, in part, on our ability to fully realize the anticipated benefits of adding the Donna Karan and DKNY businesses to our portfolio. Prior to our acquisition, sales of the DKI business were decreasing, in large part due to restructuring decisions made by the prior owner. The DKI business incurred significant net losses in the year ended December 31, 2015 and the nine months ended September 30, 2016, as well in the two months of our fiscal 2017 year and in fiscal 2018. In addition, at the time of the acquisition, its retail operations were experiencing declines in comparable store sales, sales per square foot and gross margins. To realize the anticipated benefits of the transaction, as well as operate on a profitable basis, we must increase sales of DKNY and other Donna Karan products and improve the operations of the company. Any failure to timely realize these anticipated benefits could have a material adverse effect on our results of operations and financial position. These efforts will also require substantial commitments of management time and attention and other resources, which could otherwise have been allocated to different uses that may have been beneficial to our business.</w:t>
      </w:r>
    </w:p>
    <w:p>
      <w:pPr>
        <w:spacing w:after="0" w:line="166" w:lineRule="exact"/>
        <w:rPr>
          <w:sz w:val="20"/>
          <w:szCs w:val="20"/>
          <w:color w:val="auto"/>
        </w:rPr>
      </w:pPr>
    </w:p>
    <w:p>
      <w:pPr>
        <w:ind w:left="1440" w:right="879"/>
        <w:spacing w:after="0" w:line="235" w:lineRule="auto"/>
        <w:rPr>
          <w:sz w:val="20"/>
          <w:szCs w:val="20"/>
          <w:color w:val="auto"/>
        </w:rPr>
      </w:pPr>
      <w:r>
        <w:rPr>
          <w:rFonts w:ascii="Arial" w:cs="Arial" w:eastAsia="Arial" w:hAnsi="Arial"/>
          <w:sz w:val="18"/>
          <w:szCs w:val="18"/>
          <w:b w:val="1"/>
          <w:bCs w:val="1"/>
          <w:i w:val="1"/>
          <w:iCs w:val="1"/>
          <w:color w:val="auto"/>
        </w:rPr>
        <w:t>We have entered into an exclusive arrangement with Macy’s with respect to DKNY women’s apparel and accessories since February 2018. If this arrangement does not result in significant sales of DKNY product, our results of operations could be adversely affected.</w:t>
      </w:r>
    </w:p>
    <w:p>
      <w:pPr>
        <w:spacing w:after="0" w:line="8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March 2017, we entered into an agreement with Macy’s under which Macy’s serves, since February 2018, as the exclusive U.S. department store for sales of DKNY women’s apparel and accessories. We will need to sell a significant amount of DKNY product to Macy’s in order for us to realize the anticipated benefits of our acquisition of DKI. For this acquisition to be successful, we also need to sell DKNY product outside women’s apparel and accessories to Macy’s and other department stores and our licensees will need to sell licensed DKNY product to Macy’s and other department stores. Other department stores could decide to carry lower amounts of DKNY products, or not to carry DKNY products at all, as a result of our exclusive arrangement with Macy’s. If Macy’s is not able to sell a significant amount of DKNY product or if other department stores reduce their amount of purchases of DKNY product or decide not to sell DKNY product, our results of operations could be adversely affected.</w:t>
      </w:r>
    </w:p>
    <w:p>
      <w:pPr>
        <w:spacing w:after="0" w:line="164" w:lineRule="exact"/>
        <w:rPr>
          <w:sz w:val="20"/>
          <w:szCs w:val="20"/>
          <w:color w:val="auto"/>
        </w:rPr>
      </w:pPr>
    </w:p>
    <w:p>
      <w:pPr>
        <w:ind w:left="1440" w:right="939"/>
        <w:spacing w:after="0" w:line="246" w:lineRule="auto"/>
        <w:rPr>
          <w:sz w:val="20"/>
          <w:szCs w:val="20"/>
          <w:color w:val="auto"/>
        </w:rPr>
      </w:pPr>
      <w:r>
        <w:rPr>
          <w:rFonts w:ascii="Arial" w:cs="Arial" w:eastAsia="Arial" w:hAnsi="Arial"/>
          <w:sz w:val="18"/>
          <w:szCs w:val="18"/>
          <w:b w:val="1"/>
          <w:bCs w:val="1"/>
          <w:i w:val="1"/>
          <w:iCs w:val="1"/>
          <w:color w:val="auto"/>
        </w:rPr>
        <w:t>Our indebtedness increased following the completion of the DKI acquisition, which could adversely affect us.</w:t>
      </w:r>
    </w:p>
    <w:p>
      <w:pPr>
        <w:spacing w:after="0" w:line="7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Our indebtedness significantly increased as a result of the acquisition of DKI. We are a party to a $650 million senior secured asset-based revolving credit facility, which replaced our previous $450 million facility, and a $300 million senior secured term loan facility (“Term Facility”) (collectively, the “Bank Debt”). In addition to the indebtedness under the Bank Debt, we also incurred $125 million of debt pursuant to a junior lien secured note in favor of LVMH. The increase in the amount of our outstanding debt could adversely affect us by decreasing our business flexibility and increasing our borrowing costs. The Bank Debt contains certain restrictive covenants imposing operating and financial restrictions on us. These covenants restrict our ability and the ability of certain of our subsidiaries, among other things, to: incur or guarantee indebtedness; incur liens; pay dividends or repurchase stock; enter into transactions with affiliates; consummate asset sales, acquisitions or mergers; prepay certain other indebtedness; or make investments. The revolving credit facility also requires us to comply with certain financial covenants.</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operating restrictions and financial covenants in the Bank Debt may limit our ability to finance future operations, capital needs or acquisitions or to engage in other business activities. Our ability to comply with financial covenants could be materially affected by events beyond our control, and there can be no assurance that we will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favorable terms, or at all.</w:t>
      </w:r>
    </w:p>
    <w:p>
      <w:pPr>
        <w:spacing w:after="0" w:line="81"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If an event of default occurs, the lenders under the Bank Debt, as well as the holder of the LVMH note, may declare all outstanding borrowings, together with accrued interest and other fees, to be immediately due and payable and exercise remedies in respect of the collateral. We may not be able to repay all amounts due under the Bank Debt or LVMH note in the event these amounts are declared due upon an event of default.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debt level and related debt service obligations could have negative consequences, including:</w:t>
      </w:r>
    </w:p>
    <w:p>
      <w:pPr>
        <w:spacing w:after="0" w:line="198" w:lineRule="exact"/>
        <w:rPr>
          <w:sz w:val="20"/>
          <w:szCs w:val="20"/>
          <w:color w:val="auto"/>
        </w:rPr>
      </w:pPr>
    </w:p>
    <w:p>
      <w:pPr>
        <w:jc w:val="both"/>
        <w:ind w:left="1980" w:right="759" w:hanging="352"/>
        <w:spacing w:after="0" w:line="264"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interest and other amounts payable on our debt, which would reduce the funds we have available for other purposes;</w:t>
      </w:r>
    </w:p>
    <w:p>
      <w:pPr>
        <w:spacing w:after="0" w:line="140"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more difficult or expensive for us to obtain any necessary future financing for working capital, capital expenditures, debt service requirements, debt refinancing, acquisitions or other purposes;</w:t>
      </w:r>
    </w:p>
    <w:p>
      <w:pPr>
        <w:spacing w:after="0" w:line="140"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reducing our flexibility in planning for, or reacting to, changes in our industry or market conditions;</w:t>
      </w:r>
    </w:p>
    <w:p>
      <w:pPr>
        <w:spacing w:after="0" w:line="209"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 operations or in the economy; and</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exposing us to interest rate risk given that a substantial portion of our debt obligations is at variable interest rates.</w:t>
      </w:r>
    </w:p>
    <w:p>
      <w:pPr>
        <w:spacing w:after="0" w:line="157" w:lineRule="exact"/>
        <w:rPr>
          <w:sz w:val="20"/>
          <w:szCs w:val="20"/>
          <w:color w:val="auto"/>
        </w:rPr>
      </w:pPr>
    </w:p>
    <w:p>
      <w:pPr>
        <w:ind w:left="1440" w:right="759"/>
        <w:spacing w:after="0" w:line="235" w:lineRule="auto"/>
        <w:rPr>
          <w:sz w:val="20"/>
          <w:szCs w:val="20"/>
          <w:color w:val="auto"/>
        </w:rPr>
      </w:pPr>
      <w:r>
        <w:rPr>
          <w:rFonts w:ascii="Arial" w:cs="Arial" w:eastAsia="Arial" w:hAnsi="Arial"/>
          <w:sz w:val="18"/>
          <w:szCs w:val="18"/>
          <w:b w:val="1"/>
          <w:bCs w:val="1"/>
          <w:i w:val="1"/>
          <w:iCs w:val="1"/>
          <w:color w:val="auto"/>
        </w:rPr>
        <w:t>The Term Facility was the first debt issued by us that was rated by rating agencies. Our credit rating and ability to access well-functioning capital markets are important to our ability to secure future debt financing on acceptable terms.</w:t>
      </w:r>
    </w:p>
    <w:p>
      <w:pPr>
        <w:spacing w:after="0" w:line="81"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Our access to the debt markets and the terms of such access depend on multiple factors including the condition of the debt capital markets, our operating performance and our credit ratings. The Term Facility was the first debt issued by us that was assigned a rating by the major credit rating agencies.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w:t>
      </w:r>
    </w:p>
    <w:p>
      <w:pPr>
        <w:spacing w:after="0" w:line="159" w:lineRule="exact"/>
        <w:rPr>
          <w:sz w:val="20"/>
          <w:szCs w:val="20"/>
          <w:color w:val="auto"/>
        </w:rPr>
      </w:pPr>
    </w:p>
    <w:p>
      <w:pPr>
        <w:ind w:left="1440" w:right="939"/>
        <w:spacing w:after="0" w:line="246" w:lineRule="auto"/>
        <w:rPr>
          <w:sz w:val="20"/>
          <w:szCs w:val="20"/>
          <w:color w:val="auto"/>
        </w:rPr>
      </w:pPr>
      <w:r>
        <w:rPr>
          <w:rFonts w:ascii="Arial" w:cs="Arial" w:eastAsia="Arial" w:hAnsi="Arial"/>
          <w:sz w:val="18"/>
          <w:szCs w:val="18"/>
          <w:b w:val="1"/>
          <w:bCs w:val="1"/>
          <w:i w:val="1"/>
          <w:iCs w:val="1"/>
          <w:color w:val="auto"/>
        </w:rPr>
        <w:t>DKI will be subject to additional regulatory requirements as a result of becoming part of a publicly-traded company in the United States.</w:t>
      </w:r>
    </w:p>
    <w:p>
      <w:pPr>
        <w:spacing w:after="0" w:line="75"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Prior to our acquisition of DKI, it was an indirect, wholly-owned subsidiary of a company that is traded on the Paris Bourse. As such, DKI was not subject to the information and reporting requirements of the Securities Exchange Act of 1934 (the “Exchange Act”), as amended and other federal securities laws, as well as the compliance obligations of the Sarbanes-Oxley Act of 2002, including with respect to internal control over financial reporting, and the Dodd-Frank Wall Street Reform and Consumer Protection Act of</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2010, including with respect to the use of so-called “conflict minerals.” Compliance with these new obligations as a result of DKI becoming a part of G-III, a publicly-traded company in the United States, will require significant resources and management attention, and any failure to comply could have a material adverse effect on us.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Factors Relating to the Operation of Our Business</w:t>
      </w:r>
    </w:p>
    <w:p>
      <w:pPr>
        <w:spacing w:after="0" w:line="202" w:lineRule="exact"/>
        <w:rPr>
          <w:sz w:val="20"/>
          <w:szCs w:val="20"/>
          <w:color w:val="auto"/>
        </w:rPr>
      </w:pPr>
    </w:p>
    <w:p>
      <w:pPr>
        <w:ind w:left="1440" w:right="1159"/>
        <w:spacing w:after="0" w:line="246" w:lineRule="auto"/>
        <w:rPr>
          <w:sz w:val="20"/>
          <w:szCs w:val="20"/>
          <w:color w:val="auto"/>
        </w:rPr>
      </w:pPr>
      <w:r>
        <w:rPr>
          <w:rFonts w:ascii="Arial" w:cs="Arial" w:eastAsia="Arial" w:hAnsi="Arial"/>
          <w:sz w:val="18"/>
          <w:szCs w:val="18"/>
          <w:b w:val="1"/>
          <w:bCs w:val="1"/>
          <w:i w:val="1"/>
          <w:iCs w:val="1"/>
          <w:color w:val="auto"/>
        </w:rPr>
        <w:t>If we lose the services of our key personnel, or are unable to attract key personnel, our business will be harmed.</w:t>
      </w:r>
    </w:p>
    <w:p>
      <w:pPr>
        <w:spacing w:after="0" w:line="75"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165" w:lineRule="exact"/>
        <w:rPr>
          <w:sz w:val="20"/>
          <w:szCs w:val="20"/>
          <w:color w:val="auto"/>
        </w:rPr>
      </w:pPr>
    </w:p>
    <w:p>
      <w:pPr>
        <w:ind w:left="1440" w:right="779"/>
        <w:spacing w:after="0" w:line="235" w:lineRule="auto"/>
        <w:rPr>
          <w:sz w:val="20"/>
          <w:szCs w:val="20"/>
          <w:color w:val="auto"/>
        </w:rPr>
      </w:pPr>
      <w:r>
        <w:rPr>
          <w:rFonts w:ascii="Arial" w:cs="Arial" w:eastAsia="Arial" w:hAnsi="Arial"/>
          <w:sz w:val="18"/>
          <w:szCs w:val="18"/>
          <w:b w:val="1"/>
          <w:bCs w:val="1"/>
          <w:i w:val="1"/>
          <w:iCs w:val="1"/>
          <w:color w:val="auto"/>
        </w:rPr>
        <w:t>We have expanded our business through acquisitions that could result in diversion of resources, an inability to integrate acquired operations and extra expenses. This could disrupt our business and adversely affect our financial condition.</w:t>
      </w:r>
    </w:p>
    <w:p>
      <w:pPr>
        <w:spacing w:after="0" w:line="8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Part of our growth strategy is to pursue acquisitions. The negotiation of potential acquisitions as well as the integration of acquired businesses could divert our management’s time and resources. Acquired businesses may not be successfully integrated with our operations. We may not realize the intended benefits of an acquisition, such as our acquisition of DKI. We also might not be successful in identifying or negotiating suitable acquisitions, which could negatively impact our growth strategy.</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Acquisitions could also result in:</w:t>
      </w:r>
    </w:p>
    <w:p>
      <w:pPr>
        <w:spacing w:after="0" w:line="131" w:lineRule="exact"/>
        <w:rPr>
          <w:sz w:val="20"/>
          <w:szCs w:val="20"/>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debt and contingent liabilities;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our profit margins;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intangibles and potential impairment of goodwill;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of management attention to other parts of our business;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generate expected financial results or reach business goals;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expenditures on human resources and related costs.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acquisitions disrupt our operations, our business may suffer.</w:t>
      </w:r>
    </w:p>
    <w:p>
      <w:pPr>
        <w:spacing w:after="0" w:line="212" w:lineRule="exact"/>
        <w:rPr>
          <w:sz w:val="20"/>
          <w:szCs w:val="20"/>
          <w:color w:val="auto"/>
        </w:rPr>
      </w:pPr>
    </w:p>
    <w:p>
      <w:pPr>
        <w:ind w:left="1440" w:right="959"/>
        <w:spacing w:after="0" w:line="275" w:lineRule="auto"/>
        <w:rPr>
          <w:sz w:val="20"/>
          <w:szCs w:val="20"/>
          <w:color w:val="auto"/>
        </w:rPr>
      </w:pPr>
      <w:r>
        <w:rPr>
          <w:rFonts w:ascii="Arial" w:cs="Arial" w:eastAsia="Arial" w:hAnsi="Arial"/>
          <w:sz w:val="17"/>
          <w:szCs w:val="17"/>
          <w:b w:val="1"/>
          <w:bCs w:val="1"/>
          <w:i w:val="1"/>
          <w:iCs w:val="1"/>
          <w:color w:val="auto"/>
        </w:rPr>
        <w:t>We conduct certain of our operations through joint ventures. There could be disagreements with our joint venture partners that could adversely affect our interest in the joint ventures.</w:t>
      </w:r>
    </w:p>
    <w:p>
      <w:pPr>
        <w:spacing w:after="0" w:line="52"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August 2017, we entered into a joint venture with Amlon Capital B.V. to produce and market women’s and men’s apparel and accessories pursuant to a long-term license for DKNY and Donna Karan in the People’s Republic of China, including Macau, Hong Kong and Taiwan. We own 49% of the joint venture, with Amlon owning the remaining 51%. In addition, in June 2015, we entered into a joint venture agreement with Karl Lagerfeld Group BV pursuant to which we acquired a 49% ownership interest in KLNA, an entity that holds the worldwide rights to Karl Lagerfeld trademarks, including the Karl Lagerfeld Paris brand that we currently use, for all consumer products (except eyewear, fragrance, cosmetics, watches, jewelry, and hospitality services) and apparel in the United States, Canada and Mexico. We may enter into additional joint ventures in the future. These joint venture partners, as well as any future partners, may have interests that are different from our interests that may result in conflicting views as to the conduct of the business of the joint venture. In the event that we have a disagreement with a joint venture partner with respect to a particular issue to come before the joint venture, or as to the management or conduct of</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168"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We may need additional financing to continue to grow.</w:t>
      </w:r>
    </w:p>
    <w:p>
      <w:pPr>
        <w:spacing w:after="0" w:line="7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incurred significant additional debt in connection with our acquisition of DKI. The continued growth of our business, including as a result of acquisitions, depends on our access to sufficient funds to support our growth. Our primary source of working capital to support the growth of our operations is our revolving credit agreement which currently extends to December 2021. Our growth is dependent on our ability to continue to be able to extend and increase our line of credit. If we are unable to refinance our debt, we cannot be sure we will be able to secure alternative financing on satisfactory terms or at all. The loss of the use of this credit facility or the inability to replace this facility when it expires would materially impair our ability to operate our business.</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Our business is highly seasonal.</w:t>
      </w:r>
    </w:p>
    <w:p>
      <w:pPr>
        <w:spacing w:after="0" w:line="6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Retail sales of apparel have traditionally been seasonal in nature. Historically, our wholesale business has been dependent on our sales from July through November. Net sales in the months of July through November accounted for approximately 54% of our net sales in fiscal 2018 and fiscal 2017, and 57% of our net sales in fiscal 2016. We are highly dependent on our results of operations during the second half of our fiscal year. Any difficulties we may encounter during this period as a result of weather or disruption of manufacturing or transportation of our products will have a magnified effect on our net sales and net income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provide a larger amount of our net sales and a substantial majority of our net income for the foreseeable future.</w:t>
      </w: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Extreme or unseasonable weather conditions could adversely affect our business.</w:t>
      </w:r>
    </w:p>
    <w:p>
      <w:pPr>
        <w:spacing w:after="0" w:line="63"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e-commerce customers. If prolonged, such extreme or unseasonable weather conditions could adversely affect our business, financial condition and results of operations.</w:t>
      </w:r>
    </w:p>
    <w:p>
      <w:pPr>
        <w:spacing w:after="0" w:line="153" w:lineRule="exact"/>
        <w:rPr>
          <w:sz w:val="20"/>
          <w:szCs w:val="20"/>
          <w:color w:val="auto"/>
        </w:rPr>
      </w:pPr>
    </w:p>
    <w:p>
      <w:pPr>
        <w:ind w:left="1440" w:right="1199"/>
        <w:spacing w:after="0" w:line="246" w:lineRule="auto"/>
        <w:rPr>
          <w:sz w:val="20"/>
          <w:szCs w:val="20"/>
          <w:color w:val="auto"/>
        </w:rPr>
      </w:pPr>
      <w:r>
        <w:rPr>
          <w:rFonts w:ascii="Arial" w:cs="Arial" w:eastAsia="Arial" w:hAnsi="Arial"/>
          <w:sz w:val="18"/>
          <w:szCs w:val="18"/>
          <w:b w:val="1"/>
          <w:bCs w:val="1"/>
          <w:i w:val="1"/>
          <w:iCs w:val="1"/>
          <w:color w:val="auto"/>
        </w:rPr>
        <w:t>If we are unable to successfully translate market trends into attractive product offerings, our sales and profitability could suffer.</w:t>
      </w:r>
    </w:p>
    <w:p>
      <w:pPr>
        <w:spacing w:after="0" w:line="48"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The retail and apparel industries are subject to sudden shifts in consumer trends and consumer spending. Our ability to successfully compete depends on a number of factors, including our ability to effectively anticipate, gauge and respond to changing consumer demands and tastes across multiple product lines and tiers of distribution. We are required to translate market trends into attractive product offerings and operate within substantial production and delivery constraints. We cannot be sure we will continue to be successful in this regard. We need to anticipate and respond to changing trends quickly, efficiently and effectively in order to be successful. Our failure to anticipate, identify or react appropriately to changes in customer tastes, preferences, shopping and spending patterns could lead to, among other things, excess inventories or a shortage or products and could have a material adverse effect on our financial condition and results of operations.</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40" w:right="759"/>
        <w:spacing w:after="0" w:line="246" w:lineRule="auto"/>
        <w:rPr>
          <w:sz w:val="20"/>
          <w:szCs w:val="20"/>
          <w:color w:val="auto"/>
        </w:rPr>
      </w:pPr>
      <w:r>
        <w:rPr>
          <w:rFonts w:ascii="Arial" w:cs="Arial" w:eastAsia="Arial" w:hAnsi="Arial"/>
          <w:sz w:val="18"/>
          <w:szCs w:val="18"/>
          <w:b w:val="1"/>
          <w:bCs w:val="1"/>
          <w:i w:val="1"/>
          <w:iCs w:val="1"/>
          <w:color w:val="auto"/>
        </w:rPr>
        <w:t>Expansion of our product offerings involves significant costs and uncertainty and could adversely affect our results of operations.</w:t>
      </w:r>
    </w:p>
    <w:p>
      <w:pPr>
        <w:spacing w:after="0" w:line="75"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An important part of our strategy is to expand the types of products we offer. During the past few years, we have added licenses for new lines of women’s suits, dresses, performance wear, sportswear and men’s and women’s swimwear, as well as women’s handbags, small leather goods and luggage. We became a manufacturer of swimwear, resort wear and related accessories as a result of our acquisition of Vilebrequin and a manufacturer of footwear as a result of our acquisition of G.H. Bass. We intend to continue to add additional product lines and expand existing brands into new product lines in the future. As is typical with new products, demand and market acceptance for any new products we introduce will be subject to uncertainty. Designing, producing and marketing new products require substantial expenditures. We cannot be certain that our efforts and expenditures will successfully generate sales or that sales that are generated will be sufficient to cover our expenditures.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Operation of our Vilebrequin business involves costs and uncertainties.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Vilebrequin sells its products through a network of both owned and franchised specialty retail stores and shops, online stores, as well as through select wholesale distribution. Our success with Vilebrequin is dependent, in part, on our ability to protect and enhance the reputation and status of the Vilebrequin brand and maintain the distinctive design and construction of Vilebrequin’s key swimwear products. The use by Vilebrequin of a specialized fabric to manufacture its swimwear products restricts the number suppliers from whom we can source this raw material. Any disruption in the operations of these suppliers could create an inability to manufacture Vilebrequin swimwear and supply required product to our stores or to our wholesale customers in a timely fashion or without a significant delay, as we may not be able to quickly find another raw material supplier that can meet Vilebrequin’s production requirements.</w:t>
      </w:r>
    </w:p>
    <w:p>
      <w:pPr>
        <w:spacing w:after="0" w:line="168"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We are subject to the risk of inventory loss and theft.</w:t>
      </w:r>
    </w:p>
    <w:p>
      <w:pPr>
        <w:spacing w:after="0" w:line="10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Efficient inventory management is a key component of our business success and profitability. To be successful, we must maintain sufficient inventory levels and an appropriate product mix to meet the demands of our wholesale and retail customers without allowing those levels to increase to such an extent that the costs to store and hold the goods unduly impacts our financial results. If our buying decisions do not accurately predict customer trends or purchasing actions, we may have to take unanticipated markdowns to dispose of the excess inventory, which also can adversely impact our financial results. We continue to focus on ways to reduce these risks, but we cannot be certain you that we will continue to be successful in our inventory management. If we are not successful in managing our inventory balances, our cash flows from operations and net income may be negatively affected.</w:t>
      </w:r>
    </w:p>
    <w:p>
      <w:pPr>
        <w:spacing w:after="0" w:line="8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have experienced inventory shrinkage in the past, and we cannot be certain that incidences of inventory loss and theft will decrease in the future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our results of operations could be adversely affected.</w:t>
      </w:r>
    </w:p>
    <w:p>
      <w:pPr>
        <w:spacing w:after="0" w:line="159" w:lineRule="exact"/>
        <w:rPr>
          <w:sz w:val="20"/>
          <w:szCs w:val="20"/>
          <w:color w:val="auto"/>
        </w:rPr>
      </w:pPr>
    </w:p>
    <w:p>
      <w:pPr>
        <w:ind w:left="1440" w:right="999"/>
        <w:spacing w:after="0" w:line="307" w:lineRule="auto"/>
        <w:rPr>
          <w:sz w:val="20"/>
          <w:szCs w:val="20"/>
          <w:color w:val="auto"/>
        </w:rPr>
      </w:pPr>
      <w:r>
        <w:rPr>
          <w:rFonts w:ascii="Arial" w:cs="Arial" w:eastAsia="Arial" w:hAnsi="Arial"/>
          <w:sz w:val="16"/>
          <w:szCs w:val="16"/>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2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Fluctuations in the price, availability and quality of raw materials used in our products could have a material adverse effect on our cost of sales or our ability to meet our customers’ demands.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pacing w:after="0" w:line="70"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Any raw material price increase or increase in costs related to the transport of our products (primarily petroleum costs) could increase our cost of sales and decrease our profitability unless we are able to pass higher prices on to our customers. In addition, if one or more of our competitors is able to reduce its production costs by taking greater advantage of any reductions in raw material prices, favorable sourcing</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Our trademark and other intellectual property rights may not be adequately protected.</w:t>
      </w:r>
    </w:p>
    <w:p>
      <w:pPr>
        <w:spacing w:after="0" w:line="63"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prevent imitation of our products by others or to prevent others from seeking to block sales of our products as a violation of the trademarks and proprietary rights of others.</w:t>
      </w:r>
    </w:p>
    <w:p>
      <w:pPr>
        <w:spacing w:after="0" w:line="37"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overseas expansion of our Donna Karan, DKNY, Vilebrequin and G.H. Bass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Furthermore, our efforts to enforce our trademark and other intellectual property rights may be met with defenses, counterclaims and countersuits attacking the validity and enforceability of our trademark and other intellectual property rights. If we are unsuccessful in protecting and enforcing our intellectual property rights, continued sales of such competing products by third parties could harm our brands and adversely impact our business, financial condition and results of operations.</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We are dependent upon foreign manufacturers.</w:t>
      </w:r>
    </w:p>
    <w:p>
      <w:pPr>
        <w:spacing w:after="0" w:line="63"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spacing w:after="0" w:line="46"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The use of foreign manufacturers subjects us to additional risks.</w:t>
      </w:r>
    </w:p>
    <w:p>
      <w:pPr>
        <w:spacing w:after="0" w:line="63"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Our arrangements with foreign manufacturers are subject to the usual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mostly in China, political or economic instability in China or elsewhere could cause substantial disruption in the business of our foreign manufacturers. For example, in the past, the Chinese government has reduced tax rebates to factories for the manufacture of textile and leather garments. The rebate reduction resulted in factories seeking to recoup more of their costs from customers, resulting in higher prices for goods imported from China. This tax rebate has been reinstated in certain instances. However, new or increased reductions in this rebate would cause an increase in the cost of finished products from China which could materially adversely affect our financial condition and results of operations.</w:t>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Heightened terrorism security concerns could subject imported goods to additional, more frequent or more thorough inspections. This could delay deliveries or increase costs, which could adversely impact our results of operations.</w:t>
      </w:r>
    </w:p>
    <w:p>
      <w:pPr>
        <w:spacing w:after="0" w:line="168" w:lineRule="exact"/>
        <w:rPr>
          <w:sz w:val="20"/>
          <w:szCs w:val="20"/>
          <w:color w:val="auto"/>
        </w:rPr>
      </w:pPr>
    </w:p>
    <w:p>
      <w:pPr>
        <w:ind w:left="1440"/>
        <w:spacing w:after="0"/>
        <w:rPr>
          <w:sz w:val="20"/>
          <w:szCs w:val="20"/>
          <w:color w:val="auto"/>
        </w:rPr>
      </w:pPr>
      <w:r>
        <w:rPr>
          <w:rFonts w:ascii="Arial" w:cs="Arial" w:eastAsia="Arial" w:hAnsi="Arial"/>
          <w:sz w:val="16"/>
          <w:szCs w:val="16"/>
          <w:b w:val="1"/>
          <w:bCs w:val="1"/>
          <w:i w:val="1"/>
          <w:iCs w:val="1"/>
          <w:color w:val="auto"/>
        </w:rPr>
        <w:t>Our expansion into the European market exposes us to uncertain economic conditions in the Euro zone.</w:t>
      </w:r>
    </w:p>
    <w:p>
      <w:pPr>
        <w:spacing w:after="0" w:line="127"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Demand for our products depends in part on the general economic conditions affecting the countries in which we do business. We are attempting to expand our presence in the European markets, including for our Donna Karan, DKNY and Vilebrequin businesses. The economic situation in Europe is still recovering and economic performance remains uncertain. There is still some concern that certain European countries may default in payments due on their national debt obligations and from related European financial restructuring efforts. If such defaults were to occur, or if European financial restructuring efforts create their own instability, current instability in the global credit markets may increase. Continued financial instability in Europe could adversely affect our European operations and, in turn, could have a material adverse effect on us.</w:t>
      </w:r>
    </w:p>
    <w:p>
      <w:pPr>
        <w:spacing w:after="0" w:line="165" w:lineRule="exact"/>
        <w:rPr>
          <w:sz w:val="20"/>
          <w:szCs w:val="20"/>
          <w:color w:val="auto"/>
        </w:rPr>
      </w:pPr>
    </w:p>
    <w:p>
      <w:pPr>
        <w:ind w:left="1440" w:right="839"/>
        <w:spacing w:after="0" w:line="246" w:lineRule="auto"/>
        <w:rPr>
          <w:sz w:val="20"/>
          <w:szCs w:val="20"/>
          <w:color w:val="auto"/>
        </w:rPr>
      </w:pPr>
      <w:r>
        <w:rPr>
          <w:rFonts w:ascii="Arial" w:cs="Arial" w:eastAsia="Arial" w:hAnsi="Arial"/>
          <w:sz w:val="18"/>
          <w:szCs w:val="18"/>
          <w:b w:val="1"/>
          <w:bCs w:val="1"/>
          <w:i w:val="1"/>
          <w:iCs w:val="1"/>
          <w:color w:val="auto"/>
        </w:rPr>
        <w:t>We have foreign currency exposures relating to buying and selling in currencies other than the U.S. dollar, our functional currency.</w:t>
      </w:r>
    </w:p>
    <w:p>
      <w:pPr>
        <w:spacing w:after="0" w:line="7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pacing w:after="0" w:line="8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pacing w:after="0" w:line="159" w:lineRule="exact"/>
        <w:rPr>
          <w:sz w:val="20"/>
          <w:szCs w:val="20"/>
          <w:color w:val="auto"/>
        </w:rPr>
      </w:pPr>
    </w:p>
    <w:p>
      <w:pPr>
        <w:ind w:left="1440" w:right="1159"/>
        <w:spacing w:after="0" w:line="246" w:lineRule="auto"/>
        <w:rPr>
          <w:sz w:val="20"/>
          <w:szCs w:val="20"/>
          <w:color w:val="auto"/>
        </w:rPr>
      </w:pPr>
      <w:r>
        <w:rPr>
          <w:rFonts w:ascii="Arial" w:cs="Arial" w:eastAsia="Arial" w:hAnsi="Arial"/>
          <w:sz w:val="18"/>
          <w:szCs w:val="18"/>
          <w:b w:val="1"/>
          <w:bCs w:val="1"/>
          <w:i w:val="1"/>
          <w:iCs w:val="1"/>
          <w:color w:val="auto"/>
        </w:rPr>
        <w:t>Recently enacted U.S. tax legislation may adversely affect our business, results of operations, financial condition and cash flow.</w:t>
      </w:r>
    </w:p>
    <w:p>
      <w:pPr>
        <w:spacing w:after="0" w:line="7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December 22, 2017, U.S. federal tax legislation, commonly referred to as the Tax Cuts and Jobs Act (the “Tax Act”), was signed into law, significantly changing the U.S. Internal Revenue Code. Among other things, the Tax Act:</w:t>
      </w:r>
    </w:p>
    <w:p>
      <w:pPr>
        <w:spacing w:after="0" w:line="87" w:lineRule="exact"/>
        <w:rPr>
          <w:sz w:val="20"/>
          <w:szCs w:val="20"/>
          <w:color w:val="auto"/>
        </w:rPr>
      </w:pPr>
    </w:p>
    <w:p>
      <w:pPr>
        <w:ind w:left="1980" w:right="7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establishes a flat corporate income tax rate of 21% to replace current rates that range from 15% to 35% and eliminates the corporate alternative minimum tax;</w:t>
      </w:r>
    </w:p>
    <w:p>
      <w:pPr>
        <w:spacing w:after="0" w:line="75" w:lineRule="exact"/>
        <w:rPr>
          <w:rFonts w:ascii="Arial" w:cs="Arial" w:eastAsia="Arial" w:hAnsi="Arial"/>
          <w:sz w:val="18"/>
          <w:szCs w:val="18"/>
          <w:color w:val="auto"/>
        </w:rPr>
      </w:pPr>
    </w:p>
    <w:p>
      <w:pPr>
        <w:jc w:val="both"/>
        <w:ind w:left="1980" w:right="739" w:hanging="352"/>
        <w:spacing w:after="0" w:line="312" w:lineRule="auto"/>
        <w:tabs>
          <w:tab w:leader="none" w:pos="1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creates a territorial tax system rather than a worldwide system, which will generally allow companies to repatriate future foreign source earnings without incurring additional U.S. taxes by providing a 100% exemption for the foreign source portion of dividends from certain foreign subsidiaries;</w:t>
      </w:r>
    </w:p>
    <w:p>
      <w:pPr>
        <w:spacing w:after="0" w:line="65"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subjects certain foreign earnings on which U.S. income tax is currently deferred to a one-time transition tax;</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280" w:right="3079" w:hanging="3652"/>
        <w:spacing w:after="0" w:line="590" w:lineRule="auto"/>
        <w:tabs>
          <w:tab w:leader="none" w:pos="1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limits the deduction for net interest expense incurred by US companies;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eliminates the federal corporate alternative minimum tax;</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permits immediate expensing of certain capital expenditures; and</w:t>
      </w:r>
    </w:p>
    <w:p>
      <w:pPr>
        <w:spacing w:after="0" w:line="130"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eliminates the deduction for performance-based compensation paid to our top five executive officers, subject to the effect of a limited transition rule.</w:t>
      </w:r>
    </w:p>
    <w:p>
      <w:pPr>
        <w:spacing w:after="0" w:line="62"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As a result of the changes to U.S. federal tax laws implemented by the Tax Act, our taxable income could change. The Tax Act is a complex revision to the U.S. federal income tax laws with various impacts on different categories of taxpayers and industries. The legislation is unclear in many respects and could be subject to potential amendments and technical corrections, as well as rulemaking and interpretations by the Internal Revenue Service or Financial Accounting Standards Board, any of which could lessen or increase adverse impacts of the legislation. In addition, it is unclear how these U.S. federal income tax changes will affect state and local taxation, which often uses federal taxable income as a starting point for computing state and local tax obligations. We recognized a provisional charge against income of $6.9 million in our fourth quarter of fiscal 2018 as a result of one-time effects of the Tax Act primarily relating to a reduction of deferred tax assets and taxes due on foreign earnings. We continue to work with our tax advisors to determine the full impact that the Tax Act will have on us. Notwithstanding the reduction in the corporate income tax rate, the overall impact of the Tax Act is uncertain, and the impact of certain provisions of the Tax Act on our financial condition and results of operations could be adverse and such impact could be material.</w:t>
      </w:r>
    </w:p>
    <w:p>
      <w:pPr>
        <w:spacing w:after="0" w:line="174"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We are subject to risks associated with international operations.</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ability to capitalize on the potential of our international operations, including to realize the benefits of our Donna Karan, DKNY and Vilebrequin businesses and successfully expand into international markets, is subject to risks associated with international operations. These include:</w:t>
      </w:r>
    </w:p>
    <w:p>
      <w:pPr>
        <w:spacing w:after="0" w:line="100" w:lineRule="exact"/>
        <w:rPr>
          <w:sz w:val="20"/>
          <w:szCs w:val="20"/>
          <w:color w:val="auto"/>
        </w:rPr>
      </w:pPr>
    </w:p>
    <w:p>
      <w:pPr>
        <w:ind w:left="1980" w:right="759" w:hanging="352"/>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burdens of complying with a variety of foreign laws and regulations, including trade and labor restrictions;</w:t>
      </w:r>
    </w:p>
    <w:p>
      <w:pPr>
        <w:spacing w:after="0" w:line="75"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tariffs or other barriers in international markets.</w:t>
      </w:r>
    </w:p>
    <w:p>
      <w:pPr>
        <w:spacing w:after="0" w:line="11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are also subject to general political and economic risks in connection with our international operations, including:</w:t>
      </w:r>
    </w:p>
    <w:p>
      <w:pPr>
        <w:spacing w:after="0" w:line="76" w:lineRule="exact"/>
        <w:rPr>
          <w:sz w:val="20"/>
          <w:szCs w:val="20"/>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and terrorist attacks;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economic fluctuations in specific countries or markets.</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168" w:lineRule="exact"/>
        <w:rPr>
          <w:sz w:val="20"/>
          <w:szCs w:val="20"/>
          <w:color w:val="auto"/>
        </w:rPr>
      </w:pPr>
    </w:p>
    <w:p>
      <w:pPr>
        <w:ind w:left="1440" w:right="939"/>
        <w:spacing w:after="0" w:line="246" w:lineRule="auto"/>
        <w:rPr>
          <w:sz w:val="20"/>
          <w:szCs w:val="20"/>
          <w:color w:val="auto"/>
        </w:rPr>
      </w:pPr>
      <w:r>
        <w:rPr>
          <w:rFonts w:ascii="Arial" w:cs="Arial" w:eastAsia="Arial" w:hAnsi="Arial"/>
          <w:sz w:val="18"/>
          <w:szCs w:val="18"/>
          <w:b w:val="1"/>
          <w:bCs w:val="1"/>
          <w:i w:val="1"/>
          <w:iCs w:val="1"/>
          <w:color w:val="auto"/>
        </w:rPr>
        <w:t>Possible new tariffs that might be imposed by the United States government could have a material adverse effect on the Company’s results of operations.</w:t>
      </w:r>
    </w:p>
    <w:p>
      <w:pPr>
        <w:spacing w:after="0" w:line="75"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The President of the United States has ordered government officials to compile a list of products and intended tariff increases on imports from China. After a required period of notice and consultation with the appropriate parties, the list would be published and tariff increases would be implemented. Such a list could include apparel and other items imported by us from China. China has already announced a plan to impose tariffs on a wide range of American products in retaliation for new American tariffs on steel and aluminum. Additional tariffs could be imposed by China in response to the President’s proposal to increase tariffs on products imported from China. There is also a concern that the imposition of additional tariffs by</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the United States, including the increases proposed for steel and aluminum, could result in the adoption of tariffs by other countries as well. The resulting trade war could have a significant adverse effect on world trade and the world economy. While it is too early to predict how the recently enacted tariffs on imported aluminum and steel will impact our business, the imposition of tariffs on apparel or other items imported by us from China could require us to increase prices to our customers or, if unable to do so, result in lowering our gross margin on products sold. Tariffs on apparel imported from China could have a material adverse effect on our business and results of operations.</w:t>
      </w:r>
    </w:p>
    <w:p>
      <w:pPr>
        <w:spacing w:after="0" w:line="176" w:lineRule="exact"/>
        <w:rPr>
          <w:sz w:val="20"/>
          <w:szCs w:val="20"/>
          <w:color w:val="auto"/>
        </w:rPr>
      </w:pPr>
    </w:p>
    <w:p>
      <w:pPr>
        <w:ind w:left="1440" w:right="999"/>
        <w:spacing w:after="0" w:line="343" w:lineRule="auto"/>
        <w:rPr>
          <w:sz w:val="20"/>
          <w:szCs w:val="20"/>
          <w:color w:val="auto"/>
        </w:rPr>
      </w:pPr>
      <w:r>
        <w:rPr>
          <w:rFonts w:ascii="Arial" w:cs="Arial" w:eastAsia="Arial" w:hAnsi="Arial"/>
          <w:sz w:val="15"/>
          <w:szCs w:val="15"/>
          <w:b w:val="1"/>
          <w:bCs w:val="1"/>
          <w:i w:val="1"/>
          <w:iCs w:val="1"/>
          <w:color w:val="auto"/>
        </w:rPr>
        <w:t>We have been audited by the Canadian Border Services Agency (“CBSA”) and are in the process of appealing the CBSA ruling. Loss of this appeal could have an adverse effect on our results of operations.</w:t>
      </w:r>
    </w:p>
    <w:p>
      <w:pPr>
        <w:spacing w:after="0" w:line="7"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In October 2017, the CBSA issued a final audit report to G-III’s Canadian subsidiary that challenged the valuation used by the Canadian subsidiary for certain goods imported into Canada. The period covered by the examination is February 1, 2014 through the date of the final report, October 27, 2017. The CBSA has requested us to reassess our customs entries for that period using the price paid or payable by the Canadian retail customers for certain imported goods rather than the price paid by us to the vendor. The CBSA has also requested that we change the valuation method used to pay duties with respect to good imported in the future.</w:t>
      </w:r>
    </w:p>
    <w:p>
      <w:pPr>
        <w:spacing w:after="0" w:line="57"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We issued a bond in the amount of CAD$26.9 million ($20.9 million) in March 2018, representing customs duty and interest that is claimed to be owed by us through December 31, 2017. In March 2018, we amended the duties filed for the month of January 2018 in accordance with the new valuation method. The additional duty claimed to be owed for January 2018 was CAD$1.4 million ($1.1 million) which is under review by the CBSA. Beginning February 1, 2018, we began paying duties in Canada on imported goods based on the price paid or payable by the Canadian retail customers. Duties paid on the higher dutiable value will be not be charged as an expense in our statement of operations, but will be recorded as a deferred expense until the appeal process has concluded.</w:t>
      </w:r>
    </w:p>
    <w:p>
      <w:pPr>
        <w:spacing w:after="0" w:line="8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If our appeal of the audit findings is not successful, we will have to pay the duties and interest that have been secured by the bond. This will result in a charge to our statement of operations for past duties, as well as for the additional duties we deferred beginning on February 1, 2018 through the conclusion of the appeal process. In addition, our loss of the appeal would result in increased duties paid in Canada on products imported into Canada and will increase our cost of sales and decrease our profitability unless we are able to pass higher prices on to our customers. This could have an adverse effect on our results of operations.</w:t>
      </w:r>
    </w:p>
    <w:p>
      <w:pPr>
        <w:spacing w:after="0" w:line="165" w:lineRule="exact"/>
        <w:rPr>
          <w:sz w:val="20"/>
          <w:szCs w:val="20"/>
          <w:color w:val="auto"/>
        </w:rPr>
      </w:pPr>
    </w:p>
    <w:p>
      <w:pPr>
        <w:ind w:left="1440" w:right="819"/>
        <w:spacing w:after="0" w:line="275" w:lineRule="auto"/>
        <w:rPr>
          <w:sz w:val="20"/>
          <w:szCs w:val="20"/>
          <w:color w:val="auto"/>
        </w:rPr>
      </w:pPr>
      <w:r>
        <w:rPr>
          <w:rFonts w:ascii="Arial" w:cs="Arial" w:eastAsia="Arial" w:hAnsi="Arial"/>
          <w:sz w:val="17"/>
          <w:szCs w:val="17"/>
          <w:b w:val="1"/>
          <w:bCs w:val="1"/>
          <w:i w:val="1"/>
          <w:iCs w:val="1"/>
          <w:color w:val="auto"/>
        </w:rPr>
        <w:t>If we do not successfully upgrade, maintain and secure our information systems to support the needs of our organization, this could have an adverse impact on the operation of our business.</w:t>
      </w:r>
    </w:p>
    <w:p>
      <w:pPr>
        <w:spacing w:after="0" w:line="5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Despite our preventative efforts, our systems are vulnerable from time to time to damage or interruption from, among other things, security breaches, computer viruses, power outages and other technical malfunctions. Any disruptions affecting our information systems, or any delays or difficulties in transitioning to new systems or in integrating them with current systems, could have a material adverse impact on the operation of our business.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A data security or privacy breach could adversely affect our business.</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Our business involves the receipt and storage of personal information about customers and employees. The secure processing, maintenance and transmission of this information is critical to our operations and business strategy. Despite our security measures, our information</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pacing w:after="0" w:line="73"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spacing w:after="0" w:line="7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Our use and handling of personally identifiable data is regulated at the international, federal and state levels. For example, the European Union adopted a new regulation that becomes effective on May 25, 2018, called the General Data Protection Regulation (“GDPR”), which requires companies to meet additional requirements regarding the handling of personal data, including its use, protection and the ability of persons whose data is stored to exercise certain additional rights with respect to their personal data. The GDPR calls for privacy and process enhancements, accompanied by a commitment of resources and other expenditures in support of compliance. We are reviewing our operations to determine our obligations under GDPR. Violations of GDPR could result in significant penalties. The regulatory environment surrounding information security and privacy is increasingly demanding. Privacy and information security laws and regulations change from time to time, and compliance with them may result in cost increases due to necessary systems changes and the development of new processes. If we fail to comply with these laws and regulations, we could be subjected to legal risk. We are also contractually obligated to comply with certain industry standards regarding payment card information. Increasing costs associated with information security, such as increased investment in technology, the cost of compliance and costs resulting from consumer fraud could cause our business and results of operations to suffer materially.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Factors Relating to the Economy and the Apparel Industry</w:t>
      </w:r>
    </w:p>
    <w:p>
      <w:pPr>
        <w:spacing w:after="0" w:line="202" w:lineRule="exact"/>
        <w:rPr>
          <w:sz w:val="20"/>
          <w:szCs w:val="20"/>
          <w:color w:val="auto"/>
        </w:rPr>
      </w:pPr>
    </w:p>
    <w:p>
      <w:pPr>
        <w:ind w:left="1440" w:right="1359"/>
        <w:spacing w:after="0" w:line="246" w:lineRule="auto"/>
        <w:rPr>
          <w:sz w:val="20"/>
          <w:szCs w:val="20"/>
          <w:color w:val="auto"/>
        </w:rPr>
      </w:pPr>
      <w:r>
        <w:rPr>
          <w:rFonts w:ascii="Arial" w:cs="Arial" w:eastAsia="Arial" w:hAnsi="Arial"/>
          <w:sz w:val="18"/>
          <w:szCs w:val="18"/>
          <w:b w:val="1"/>
          <w:bCs w:val="1"/>
          <w:i w:val="1"/>
          <w:iCs w:val="1"/>
          <w:color w:val="auto"/>
        </w:rPr>
        <w:t>Recent and future economic conditions, including volatility in the financial and credit markets, may adversely affect our business.</w:t>
      </w:r>
    </w:p>
    <w:p>
      <w:pPr>
        <w:spacing w:after="0" w:line="7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or to assume greater credit risk relating to that customer’s receivables or could limit our ability to collect receivables related to previous purchases by that customer. As a result, our reserves for doubtful accounts and write-offs of accounts receivable may increase.</w:t>
      </w:r>
    </w:p>
    <w:p>
      <w:pPr>
        <w:spacing w:after="0" w:line="164" w:lineRule="exact"/>
        <w:rPr>
          <w:sz w:val="20"/>
          <w:szCs w:val="20"/>
          <w:color w:val="auto"/>
        </w:rPr>
      </w:pPr>
    </w:p>
    <w:p>
      <w:pPr>
        <w:ind w:left="1440" w:right="779"/>
        <w:spacing w:after="0" w:line="242" w:lineRule="auto"/>
        <w:rPr>
          <w:sz w:val="20"/>
          <w:szCs w:val="20"/>
          <w:color w:val="auto"/>
        </w:rPr>
      </w:pPr>
      <w:r>
        <w:rPr>
          <w:rFonts w:ascii="Arial" w:cs="Arial" w:eastAsia="Arial" w:hAnsi="Arial"/>
          <w:sz w:val="17"/>
          <w:szCs w:val="17"/>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our existing credit facility.</w:t>
      </w:r>
    </w:p>
    <w:p>
      <w:pPr>
        <w:spacing w:after="0" w:line="81"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historical sources of liquidity to fund ongoing cash requirements include cash flows from operations, cash and cash equivalents, borrowings through our revolving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3" w:lineRule="auto"/>
        <w:rPr>
          <w:sz w:val="20"/>
          <w:szCs w:val="20"/>
          <w:color w:val="auto"/>
        </w:rPr>
      </w:pPr>
      <w:r>
        <w:rPr>
          <w:rFonts w:ascii="Arial" w:cs="Arial" w:eastAsia="Arial" w:hAnsi="Arial"/>
          <w:sz w:val="16"/>
          <w:szCs w:val="16"/>
          <w:color w:val="auto"/>
        </w:rPr>
        <w:t>of credit; our ability to execute our strategy; the level of our cash flows, which will be impacted by retailer and consumer acceptance of our products and the level of consumer discretionary spending; maintenance of financial covenants included in our revolving credit facility; and interest rate fluctuations. Interest rates increased in fiscal 2018 and are expected to continue to increase in fiscal 2019. We cannot predict the effect of increasing interest rates on the availability or aggregate cost of our borrowings. We cannot be certain that any additional required financing, whether debt or equity, will be available in amounts needed or on terms acceptable to us, if at all.</w:t>
      </w:r>
    </w:p>
    <w:p>
      <w:pPr>
        <w:spacing w:after="0" w:line="57"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As of January 31, 2018, we were in compliance with the financial covenants in our revolving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65" w:lineRule="exact"/>
        <w:rPr>
          <w:sz w:val="20"/>
          <w:szCs w:val="20"/>
          <w:color w:val="auto"/>
        </w:rPr>
      </w:pPr>
    </w:p>
    <w:p>
      <w:pPr>
        <w:ind w:left="1440" w:right="939"/>
        <w:spacing w:after="0" w:line="246" w:lineRule="auto"/>
        <w:rPr>
          <w:sz w:val="20"/>
          <w:szCs w:val="20"/>
          <w:color w:val="auto"/>
        </w:rPr>
      </w:pPr>
      <w:r>
        <w:rPr>
          <w:rFonts w:ascii="Arial" w:cs="Arial" w:eastAsia="Arial" w:hAnsi="Arial"/>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7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Uncertainties regarding future economic prospects may affect consumer-spending habits and could have an adverse effect on our results of operations. Uncertainty with respect to consumer spending as a result of weak economic conditions has, at times, caused our customers to delay the placing of initial orders and to slow the pace of reorders during the seasonal peak of our business. Weak economic conditions have had a material adverse effect on our results of operations at times in the past and could have a material adverse effect on our results of operations in the future as well.</w:t>
      </w:r>
    </w:p>
    <w:p>
      <w:pPr>
        <w:spacing w:after="0" w:line="168" w:lineRule="exact"/>
        <w:rPr>
          <w:sz w:val="20"/>
          <w:szCs w:val="20"/>
          <w:color w:val="auto"/>
        </w:rPr>
      </w:pPr>
    </w:p>
    <w:p>
      <w:pPr>
        <w:ind w:left="1440" w:right="1159"/>
        <w:spacing w:after="0" w:line="246" w:lineRule="auto"/>
        <w:rPr>
          <w:sz w:val="20"/>
          <w:szCs w:val="20"/>
          <w:color w:val="auto"/>
        </w:rPr>
      </w:pPr>
      <w:r>
        <w:rPr>
          <w:rFonts w:ascii="Arial" w:cs="Arial" w:eastAsia="Arial" w:hAnsi="Arial"/>
          <w:sz w:val="18"/>
          <w:szCs w:val="18"/>
          <w:b w:val="1"/>
          <w:bCs w:val="1"/>
          <w:i w:val="1"/>
          <w:iCs w:val="1"/>
          <w:color w:val="auto"/>
        </w:rPr>
        <w:t>The competitive nature of our industry may result in lower prices for our products and decreased gross profit margins.</w:t>
      </w:r>
    </w:p>
    <w:p>
      <w:pPr>
        <w:spacing w:after="0" w:line="75"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The apparel business is highly competitive. We have numerous competitors with respect to the sale of apparel, footwear and accessories, including e-commerce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spacing w:after="0" w:line="184" w:lineRule="exact"/>
        <w:rPr>
          <w:sz w:val="20"/>
          <w:szCs w:val="20"/>
          <w:color w:val="auto"/>
        </w:rPr>
      </w:pPr>
    </w:p>
    <w:p>
      <w:pPr>
        <w:ind w:left="1440" w:right="1219"/>
        <w:spacing w:after="0" w:line="246" w:lineRule="auto"/>
        <w:rPr>
          <w:sz w:val="20"/>
          <w:szCs w:val="20"/>
          <w:color w:val="auto"/>
        </w:rPr>
      </w:pPr>
      <w:r>
        <w:rPr>
          <w:rFonts w:ascii="Arial" w:cs="Arial" w:eastAsia="Arial" w:hAnsi="Arial"/>
          <w:sz w:val="18"/>
          <w:szCs w:val="18"/>
          <w:b w:val="1"/>
          <w:bCs w:val="1"/>
          <w:i w:val="1"/>
          <w:iCs w:val="1"/>
          <w:color w:val="auto"/>
        </w:rPr>
        <w:t>If major department, mass merchant and specialty store chains consolidate, close stores or cease to do business, our business could be negatively affected.</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We sell our products to major department, mass merchant and specialty store chains. Continued consolidation in the retail industry, as well as store closing or retailers ceasing to do business, could negatively impact our business. Macy’s, JC Penney and Kohl’s, as well as other store chains, have announced their intention to close stores. Bon-Ton Stores, a customer of ours for many years, has filed for bankruptcy and may close all of its stores.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space allocated to outerwear or other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pacing w:after="0" w:line="173" w:lineRule="exact"/>
        <w:rPr>
          <w:sz w:val="20"/>
          <w:szCs w:val="20"/>
          <w:color w:val="auto"/>
        </w:rPr>
      </w:pPr>
    </w:p>
    <w:p>
      <w:pPr>
        <w:ind w:left="1440" w:right="859"/>
        <w:spacing w:after="0" w:line="246" w:lineRule="auto"/>
        <w:rPr>
          <w:sz w:val="20"/>
          <w:szCs w:val="20"/>
          <w:color w:val="auto"/>
        </w:rPr>
      </w:pPr>
      <w:r>
        <w:rPr>
          <w:rFonts w:ascii="Arial" w:cs="Arial" w:eastAsia="Arial" w:hAnsi="Arial"/>
          <w:sz w:val="18"/>
          <w:szCs w:val="18"/>
          <w:b w:val="1"/>
          <w:bCs w:val="1"/>
          <w:i w:val="1"/>
          <w:iCs w:val="1"/>
          <w:color w:val="auto"/>
        </w:rPr>
        <w:t>If new legislation restricting the importation or increasing the cost of textiles and apparel produced abroad is enacted, our business could be adversely affected.</w:t>
      </w:r>
    </w:p>
    <w:p>
      <w:pPr>
        <w:spacing w:after="0" w:line="75"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spacing w:after="0" w:line="8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cannot predict whether quotas, duties, taxes, or other similar restrictions will be imposed by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spacing w:after="0" w:line="85"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The U.S. presidential administration has threatened to impose retaliatory duties against China in order to reverse what it perceives as unfair trade practices that have negatively impacted manufacturing in the U.S. The administration has also discussed the implementation of other taxes that would impose an additional tax on imported goods regardless of origin. It is possible that the United States may impose new trade or other initiatives that adversely affect the trading status of countries where our apparel is manufactured and such initiatives could include retaliatory duties, higher tariffs or other trade sanctions. The administration has indicated it may make modifications to international trade policy or agreements or engage in other restrictive trade practices that may have the effect of reducing the amount or increasing the cost of imported goods. Changes in existing trade agreements, including the North American Free Trade Agreement, or imposition of tariffs on our products imported from China or other countries could have a material adverse effect on our operations and financial results.</w:t>
      </w:r>
    </w:p>
    <w:p>
      <w:pPr>
        <w:spacing w:after="0" w:line="85"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China’s accession agreement for membership in the World Trade Organization provides that member countries, including the United States, may impose safeguard quotas on specific products. We are unable to assess the potential for future action by the United States government with respect to any product category in the event that the quantity of imported apparel significantly disrupts the apparel market in the United States. Future action by the United States in response to a disruption in its apparel markets could limit our ability to import apparel and increase our costs.</w:t>
      </w:r>
    </w:p>
    <w:p>
      <w:pPr>
        <w:spacing w:after="0" w:line="180" w:lineRule="exact"/>
        <w:rPr>
          <w:sz w:val="20"/>
          <w:szCs w:val="20"/>
          <w:color w:val="auto"/>
        </w:rPr>
      </w:pPr>
    </w:p>
    <w:p>
      <w:pPr>
        <w:ind w:left="1440" w:right="959"/>
        <w:spacing w:after="0" w:line="246" w:lineRule="auto"/>
        <w:rPr>
          <w:sz w:val="20"/>
          <w:szCs w:val="20"/>
          <w:color w:val="auto"/>
        </w:rPr>
      </w:pPr>
      <w:r>
        <w:rPr>
          <w:rFonts w:ascii="Arial" w:cs="Arial" w:eastAsia="Arial" w:hAnsi="Arial"/>
          <w:sz w:val="18"/>
          <w:szCs w:val="18"/>
          <w:b w:val="1"/>
          <w:bCs w:val="1"/>
          <w:i w:val="1"/>
          <w:iCs w:val="1"/>
          <w:color w:val="auto"/>
        </w:rPr>
        <w:t>The effects of war, acts of terrorism or natural disasters could adversely affect our business and results of operations.</w:t>
      </w:r>
    </w:p>
    <w:p>
      <w:pPr>
        <w:spacing w:after="0" w:line="75"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The continued threat of terrorism, heightened security measures and military action in response to acts of terrorism or civil unrest has, at times, disrupted commerce and intensified concerns regarding the United States and world economies. Any further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could result in the closure of one or more of our distribution centers, our corporate headquarters or a significant number of stores or impact one or more of our key suppliers. In addition, these types of events could result in increases in energy prices or a fuel shortage,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Risks Relating to Ownership of Our Common Stock</w:t>
      </w:r>
    </w:p>
    <w:p>
      <w:pPr>
        <w:spacing w:after="0" w:line="202" w:lineRule="exact"/>
        <w:rPr>
          <w:sz w:val="20"/>
          <w:szCs w:val="20"/>
          <w:color w:val="auto"/>
        </w:rPr>
      </w:pPr>
    </w:p>
    <w:p>
      <w:pPr>
        <w:ind w:left="1440" w:right="859"/>
        <w:spacing w:after="0" w:line="246" w:lineRule="auto"/>
        <w:rPr>
          <w:sz w:val="20"/>
          <w:szCs w:val="20"/>
          <w:color w:val="auto"/>
        </w:rPr>
      </w:pPr>
      <w:r>
        <w:rPr>
          <w:rFonts w:ascii="Arial" w:cs="Arial" w:eastAsia="Arial" w:hAnsi="Arial"/>
          <w:sz w:val="18"/>
          <w:szCs w:val="18"/>
          <w:b w:val="1"/>
          <w:bCs w:val="1"/>
          <w:i w:val="1"/>
          <w:iCs w:val="1"/>
          <w:color w:val="auto"/>
        </w:rPr>
        <w:t>Our Chairman and Chief Executive Officer may be in a position to control matters requiring a stockholder vote.</w:t>
      </w:r>
    </w:p>
    <w:p>
      <w:pPr>
        <w:spacing w:after="0" w:line="75"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As of March 28, 2018, Morris Goldfarb, our Chairman and Chief Executive Officer, beneficially owned approximately 9.3% of our common stock. His significant role in our management and his reputation in the apparel industry could make his support crucial to the approval of any major transaction involving us. As a result, he may have the ability to control the outcome on matters requiring stockholder approval including, but not limited to, the election of directors and any merger, consolidation or sale of all or substantially all of our assets. He also may have the ability to control our management and affairs.</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6"/>
          <w:szCs w:val="16"/>
          <w:b w:val="1"/>
          <w:bCs w:val="1"/>
          <w:i w:val="1"/>
          <w:iCs w:val="1"/>
          <w:color w:val="auto"/>
        </w:rPr>
        <w:t>The price of our common stock has fluctuated significantly and could continue to fluctuate significantly.</w:t>
      </w:r>
    </w:p>
    <w:p>
      <w:pPr>
        <w:spacing w:after="0" w:line="12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Between February 1, 2015 and March 28, 2018, the market price of our common stock has ranged from a low of $18.00 to a high of $73.93 per share. The market price of our common stock may change significantly in response to various factors and events beyond our control, including:</w:t>
      </w:r>
    </w:p>
    <w:p>
      <w:pPr>
        <w:spacing w:after="0" w:line="154" w:lineRule="exact"/>
        <w:rPr>
          <w:sz w:val="20"/>
          <w:szCs w:val="20"/>
          <w:color w:val="auto"/>
        </w:rPr>
      </w:pPr>
    </w:p>
    <w:p>
      <w:pPr>
        <w:ind w:left="1980" w:right="759" w:hanging="352"/>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quarterly revenues or those of our competitors as a result of seasonality or other factors;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shortfall in revenues or net income from that expected by securities analysts and investors;</w:t>
      </w:r>
    </w:p>
    <w:p>
      <w:pPr>
        <w:spacing w:after="0" w:line="18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the financial performance of our competitors or companies in our industry generally;</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concerning our competitors;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product pricing policies by our competitors or our customers;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conditions in our industry;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conditions in the securities markets.</w:t>
      </w:r>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Our actual financial results might vary from our publicly disclosed financial forecasts.</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From time to time, we publicly disclose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as occurred in fiscal 2017, the price of our common stock may decline.</w:t>
      </w:r>
    </w:p>
    <w:p>
      <w:pPr>
        <w:spacing w:after="0" w:line="164" w:lineRule="exact"/>
        <w:rPr>
          <w:sz w:val="20"/>
          <w:szCs w:val="20"/>
          <w:color w:val="auto"/>
        </w:rPr>
      </w:pPr>
    </w:p>
    <w:p>
      <w:pPr>
        <w:ind w:left="1440" w:right="739"/>
        <w:spacing w:after="0" w:line="246" w:lineRule="auto"/>
        <w:rPr>
          <w:sz w:val="20"/>
          <w:szCs w:val="20"/>
          <w:color w:val="auto"/>
        </w:rPr>
      </w:pPr>
      <w:r>
        <w:rPr>
          <w:rFonts w:ascii="Arial" w:cs="Arial" w:eastAsia="Arial" w:hAnsi="Arial"/>
          <w:sz w:val="18"/>
          <w:szCs w:val="18"/>
          <w:b w:val="1"/>
          <w:bCs w:val="1"/>
          <w:i w:val="1"/>
          <w:iCs w:val="1"/>
          <w:color w:val="auto"/>
        </w:rPr>
        <w:t>If our goodwill, trademarks and other intangibles become impaired, we may be required to record charges to earnings.</w:t>
      </w:r>
    </w:p>
    <w:p>
      <w:pPr>
        <w:spacing w:after="0" w:line="7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As of January 31, 2018, we had goodwill, trademarks and other intangibles in an aggregate amount of $751.4 million, or approximately 39% of our total assets and approximately 67% of our stockholders’ equity. Approximately $621.7 million of our goodwill, trademarks and other intangibles was recorded in connection with our acquisition of DKI. Under accounting principles generally accepted in the United States (“GAAP”), we review our goodwill and other indefinite life intangibles for impairment annually during the fourth quarter of each fiscal year and when events or changes in circumstances indicate the carrying value may not be recoverable due to factors such as reduced estimates of future cash flows and profitability, increased cost of debt, slower growth rates in our industry or a decline in our stock price and market capitalization. Estimates of future cash flows and profitability are based on an updated long-term financial outlook of our operations. However, actual performance in the near-term or long-term could be materially different from these forecasts, which could impact future estimates. A significant decline in our market capitalization or deterioration in our projected results could result in an impairment of our</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goodwill, trademarks and/or other intangibles. We may be required to record a significant charge to earnings in our financial statements during a period in which an impairment of our goodwill is determined to exist which would negatively impact our results of operations and could negatively impact our stock price.</w:t>
      </w:r>
    </w:p>
    <w:p>
      <w:pPr>
        <w:spacing w:after="0" w:line="152" w:lineRule="exact"/>
        <w:rPr>
          <w:sz w:val="20"/>
          <w:szCs w:val="20"/>
          <w:color w:val="auto"/>
        </w:rPr>
      </w:pPr>
    </w:p>
    <w:p>
      <w:pPr>
        <w:ind w:left="1440" w:right="739"/>
        <w:spacing w:after="0" w:line="246" w:lineRule="auto"/>
        <w:rPr>
          <w:sz w:val="20"/>
          <w:szCs w:val="20"/>
          <w:color w:val="auto"/>
        </w:rPr>
      </w:pPr>
      <w:r>
        <w:rPr>
          <w:rFonts w:ascii="Arial" w:cs="Arial" w:eastAsia="Arial" w:hAnsi="Arial"/>
          <w:sz w:val="18"/>
          <w:szCs w:val="18"/>
          <w:b w:val="1"/>
          <w:bCs w:val="1"/>
          <w:i w:val="1"/>
          <w:iCs w:val="1"/>
          <w:color w:val="auto"/>
        </w:rPr>
        <w:t>We are subject to significant corporate regulation as a public company and failure to comply with applicable regulations could subject us to liability or negatively affect our stock price.</w:t>
      </w:r>
    </w:p>
    <w:p>
      <w:pPr>
        <w:spacing w:after="0" w:line="7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w:t>
      </w:r>
    </w:p>
    <w:p>
      <w:pPr>
        <w:spacing w:after="0" w:line="57"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our stock price to decline.</w:t>
      </w:r>
    </w:p>
    <w:p>
      <w:pPr>
        <w:spacing w:after="0" w:line="80"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There are significant corporate governance and executive compensation-related provisions in the Dodd-Frank Act that have required, and continue to require, the SEC to adopt additional rules and regulations in these areas. Our efforts to comply with Dodd-Frank requirements have resulted in, and are likely to continue to result in, an increase in expenses and a diversion of management’s time from other business activities. For example, we are subject to SEC disclosure obligations relating to our use of so-called “conflict minerals” such as columbite-tantalite, cassiterite (tin), wolframite (tungsten) and gold. These minerals are present in a number of our products.</w:t>
      </w:r>
    </w:p>
    <w:p>
      <w:pPr>
        <w:spacing w:after="0" w:line="5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have incurred and will continue to incur costs associated with complying with the supply chain due diligence procedures required by the SEC. The preparation of our conflict minerals report is dependent upon the implementation and operation of our systems and processes and information supplied by our suppliers of products that contain, or potentially contain, conflict minerals. To the extent that the information that we receive from our suppliers is inaccurate or inadequate or our processes in obtaining that information do not fulfill the SEC’s requirements, we could face both reputational and SEC enforcement risks.</w:t>
      </w:r>
    </w:p>
    <w:p>
      <w:pPr>
        <w:spacing w:after="0" w:line="70"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Given the uncertainty associated with the manner in which additional corporate governance and executive compensation-related provisions of the Dodd-Frank Act will be implemented, the full extent of the impact such requirements will have on our operations is unclear. The changes resulting from the Dodd-Frank Act may require changes to certain business practices, or otherwise adversely affect our business.</w:t>
      </w:r>
    </w:p>
    <w:p>
      <w:pPr>
        <w:spacing w:after="0" w:line="63"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8"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Our executive offices, sales showrooms and support staff are located at 512 Seventh Avenue in New York City. Our leases at 512 Seventh Avenue expire on March 31, 2023 for almost all of our space in this building, with a five-year renewal option. We currently lease approximately 220,000 square feet of office and showroom space in this building. Our rent for our space at 512 Seventh Avenue is expected to be $9.9 million in fiscal 2019.</w:t>
      </w:r>
    </w:p>
    <w:p>
      <w:pPr>
        <w:spacing w:after="0" w:line="46"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have a lease for a distribution center in Dayton, New Jersey through January 2025. This facility contains approximately 385,000 square feet of space, including the mezzanine, which is used by us for product distribution. The aggregate annual rent for this facility is expected to be $1.3 million for fiscal 2019.</w:t>
      </w:r>
    </w:p>
    <w:p>
      <w:pPr>
        <w:spacing w:after="0" w:line="5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have a lease for a distribution center in Jamesburg, New Jersey, through December 31, 2020 with a five year renewal option. The distribution center consists of approximately 783,000 square feet, including the mezzanine, which we utilize for the warehousing and distribution of our products. The aggregate annual rent for this facility is expected to be $2.3 million for fiscal 2019.</w:t>
      </w:r>
    </w:p>
    <w:p>
      <w:pPr>
        <w:spacing w:after="0" w:line="79"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In connection with our Donna Karan, Wilsons and G.H. Bass retail operations, we have a lease in Brooklyn Park, Minnesota for an office, warehouse and distribution facility of approximately 403,000 square feet through April 2022. The aggregate annual rent for this facility is expected to be $1.4 million for fiscal 2019.</w:t>
      </w:r>
    </w:p>
    <w:p>
      <w:pPr>
        <w:spacing w:after="0" w:line="3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have a lease for a distribution center in Carlstadt, New Jersey, through April 30, 2024 with a ten-year renewal option through April 30, 2034. This lease was acquired by us as part of the DKI acquisition. The distribution center consists of approximately 197,000 square feet which we utilize for the warehousing and distribution of our products, as well as for office space. The aggregate annual rent for this facility is expected to be $1.6 million for fiscal 2019.</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As part of the DKI acquisition, we also acquired a lease for office and showroom space located at 240 West 40th Street in New York City. We currently lease approximately 144,000 square feet in this building. The lease expires in July 2020, with a one-time ten-year renewal option. The aggregate annual rent for this facility is expected to be $7.5 million for fiscal 2019.</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Retail Stores</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As of January 31, 2018, we operated 458 leased store locations, of which 165 are Wilsons Leather retail stores, 139 are G.H. Bass retail stores, 91 are Vilebrequin retail stores, 51 are DKNY stores, 8 are Karl Lagerfeld Paris stores and 4 are Calvin Klein Performance retail stores.</w:t>
      </w:r>
    </w:p>
    <w:p>
      <w:pPr>
        <w:spacing w:after="0" w:line="7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w:t>
      </w:r>
    </w:p>
    <w:p>
      <w:pPr>
        <w:spacing w:after="0" w:line="7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leases expire at varying dates through 2027. During fiscal 2018, we entered into 27 new store leases, renewed 44 store leases and terminated or allowed to expire 68 store leases. Almost all of our stores, other than certain Vilebrequin and DKNY stores, are located in the United States. Vilebrequin has 60 stores located in Europe, 25 stores located in the United States and 6 stores located in Asia. DKNY has 43 stores located in the United States, 4 stores located in Canada and 4 stores located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indicates the periods during which our retail leases expire.</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00" w:type="dxa"/>
            <w:vAlign w:val="bottom"/>
            <w:gridSpan w:val="5"/>
          </w:tcPr>
          <w:p>
            <w:pPr>
              <w:jc w:val="center"/>
              <w:ind w:left="114"/>
              <w:spacing w:after="0"/>
              <w:rPr>
                <w:sz w:val="20"/>
                <w:szCs w:val="20"/>
                <w:color w:val="auto"/>
              </w:rPr>
            </w:pPr>
            <w:r>
              <w:rPr>
                <w:rFonts w:ascii="Arial" w:cs="Arial" w:eastAsia="Arial" w:hAnsi="Arial"/>
                <w:sz w:val="14"/>
                <w:szCs w:val="14"/>
                <w:b w:val="1"/>
                <w:bCs w:val="1"/>
                <w:color w:val="auto"/>
                <w:w w:val="94"/>
              </w:rPr>
              <w:t>Number of</w:t>
            </w:r>
          </w:p>
        </w:tc>
      </w:tr>
      <w:tr>
        <w:trPr>
          <w:trHeight w:val="192"/>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Fiscal Year Ending January 31,</w:t>
            </w:r>
          </w:p>
        </w:tc>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Stores</w:t>
            </w:r>
          </w:p>
        </w:tc>
        <w:tc>
          <w:tcPr>
            <w:tcW w:w="40" w:type="dxa"/>
            <w:vAlign w:val="bottom"/>
          </w:tcPr>
          <w:p>
            <w:pPr>
              <w:spacing w:after="0"/>
              <w:rPr>
                <w:sz w:val="16"/>
                <w:szCs w:val="16"/>
                <w:color w:val="auto"/>
              </w:rPr>
            </w:pPr>
          </w:p>
        </w:tc>
      </w:tr>
      <w:tr>
        <w:trPr>
          <w:trHeight w:val="25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64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400" w:type="dxa"/>
            <w:vAlign w:val="bottom"/>
            <w:gridSpan w:val="2"/>
            <w:shd w:val="clear" w:color="auto" w:fill="CCEEFF"/>
          </w:tcPr>
          <w:p>
            <w:pPr>
              <w:spacing w:after="0"/>
              <w:rPr>
                <w:sz w:val="22"/>
                <w:szCs w:val="22"/>
                <w:color w:val="auto"/>
              </w:rPr>
            </w:pPr>
          </w:p>
        </w:tc>
        <w:tc>
          <w:tcPr>
            <w:tcW w:w="4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211</w:t>
            </w:r>
          </w:p>
        </w:tc>
        <w:tc>
          <w:tcPr>
            <w:tcW w:w="40" w:type="dxa"/>
            <w:vAlign w:val="bottom"/>
            <w:shd w:val="clear" w:color="auto" w:fill="CCEEFF"/>
          </w:tcPr>
          <w:p>
            <w:pPr>
              <w:spacing w:after="0"/>
              <w:rPr>
                <w:sz w:val="22"/>
                <w:szCs w:val="22"/>
                <w:color w:val="auto"/>
              </w:rPr>
            </w:pPr>
          </w:p>
        </w:tc>
      </w:tr>
      <w:tr>
        <w:trPr>
          <w:trHeight w:val="257"/>
        </w:trPr>
        <w:tc>
          <w:tcPr>
            <w:tcW w:w="66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tcBorders>
            <w:gridSpan w:val="2"/>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458</w:t>
            </w:r>
          </w:p>
        </w:tc>
        <w:tc>
          <w:tcPr>
            <w:tcW w:w="1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r>
      <w:tr>
        <w:trPr>
          <w:trHeight w:val="20"/>
        </w:trPr>
        <w:tc>
          <w:tcPr>
            <w:tcW w:w="19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-1019810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Canadian Customs Duty Examination</w:t>
      </w:r>
    </w:p>
    <w:p>
      <w:pPr>
        <w:spacing w:after="0" w:line="10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our wholly-owned subsidiary.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59"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On March 14, 2018, G-III Canada provided a bond to the CBSA to secure payment of the additional duties payable as a result of the reassessment required by the final audit report. The Company issued a bond in the amount of CAD$26.9 million ($20.9 million) representing customs duty and interest through December 31, 2017 that is claimed to be owed to the CBSA. In March 2018, we amended the duties filed for the month of January 2018 under the new valuation method. The additional duty claimed to be owed for January 2018 was approximately CAD$1.4 million ($1.1 million) which is under review by the CBSA. Beginning February 1, 2018, we began paying duties based on the new valuation method. The additional duties paid beginning on February 1, 2018 on the higher dutiable value will not be charged as an expense in our statement of operations, but will be recorded as a deferred expense until the appeal process has concluded.</w:t>
      </w:r>
    </w:p>
    <w:p>
      <w:pPr>
        <w:spacing w:after="0" w:line="5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160" w:right="1279" w:hanging="899"/>
        <w:spacing w:after="0" w:line="275" w:lineRule="auto"/>
        <w:tabs>
          <w:tab w:leader="none" w:pos="2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THE REGISTRANT’S COMMON EQUITY, RELATED STOCKHOLDER MATTERS AND ISSUER REPURCHASES OF EQUITY SECURITIES.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For Common Stock</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Common Stock is quoted on the Nasdaq Global Select Market under the trading symbol “GIII”. The following table sets forth, for the fiscal periods shown, the high and low sales prices for our Common Stock, as reported by Nasdaq.</w:t>
      </w:r>
    </w:p>
    <w:p>
      <w:pPr>
        <w:spacing w:after="0" w:line="7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High Prices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Low Prices</w:t>
            </w:r>
          </w:p>
        </w:tc>
      </w:tr>
      <w:tr>
        <w:trPr>
          <w:trHeight w:val="26"/>
        </w:trPr>
        <w:tc>
          <w:tcPr>
            <w:tcW w:w="8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
        </w:trPr>
        <w:tc>
          <w:tcPr>
            <w:tcW w:w="840" w:type="dxa"/>
            <w:vAlign w:val="bottom"/>
            <w:tcBorders>
              <w:top w:val="single" w:sz="8" w:color="auto"/>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5860" w:type="dxa"/>
            <w:vAlign w:val="bottom"/>
            <w:gridSpan w:val="2"/>
          </w:tcPr>
          <w:p>
            <w:pPr>
              <w:spacing w:after="0"/>
              <w:rPr>
                <w:sz w:val="20"/>
                <w:szCs w:val="20"/>
                <w:color w:val="auto"/>
              </w:rPr>
            </w:pPr>
            <w:r>
              <w:rPr>
                <w:rFonts w:ascii="Arial" w:cs="Arial" w:eastAsia="Arial" w:hAnsi="Arial"/>
                <w:sz w:val="18"/>
                <w:szCs w:val="18"/>
                <w:color w:val="auto"/>
              </w:rPr>
              <w:t>Fiscal Quarter ended April 30, 2016</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$55.89</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$41.14</w:t>
            </w:r>
          </w:p>
        </w:tc>
      </w:tr>
      <w:tr>
        <w:trPr>
          <w:trHeight w:val="257"/>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Quarter ended July 31, 2016</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$51.81</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$36.14</w:t>
            </w:r>
          </w:p>
        </w:tc>
      </w:tr>
      <w:tr>
        <w:trPr>
          <w:trHeight w:val="270"/>
        </w:trPr>
        <w:tc>
          <w:tcPr>
            <w:tcW w:w="5860" w:type="dxa"/>
            <w:vAlign w:val="bottom"/>
            <w:gridSpan w:val="2"/>
          </w:tcPr>
          <w:p>
            <w:pPr>
              <w:spacing w:after="0"/>
              <w:rPr>
                <w:sz w:val="20"/>
                <w:szCs w:val="20"/>
                <w:color w:val="auto"/>
              </w:rPr>
            </w:pPr>
            <w:r>
              <w:rPr>
                <w:rFonts w:ascii="Arial" w:cs="Arial" w:eastAsia="Arial" w:hAnsi="Arial"/>
                <w:sz w:val="18"/>
                <w:szCs w:val="18"/>
                <w:color w:val="auto"/>
              </w:rPr>
              <w:t>Fiscal Quarter ended October 31, 2016</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$44.85</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$25.73</w:t>
            </w:r>
          </w:p>
        </w:tc>
      </w:tr>
      <w:tr>
        <w:trPr>
          <w:trHeight w:val="27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Quarter ended January 31, 2017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$32.98</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$24.41</w:t>
            </w:r>
          </w:p>
        </w:tc>
      </w:tr>
      <w:tr>
        <w:trPr>
          <w:trHeight w:val="338"/>
        </w:trPr>
        <w:tc>
          <w:tcPr>
            <w:tcW w:w="586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Quarter ended April 30, 2017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$27.48</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$19.11</w:t>
            </w:r>
          </w:p>
        </w:tc>
      </w:tr>
      <w:tr>
        <w:trPr>
          <w:trHeight w:val="270"/>
        </w:trPr>
        <w:tc>
          <w:tcPr>
            <w:tcW w:w="5860" w:type="dxa"/>
            <w:vAlign w:val="bottom"/>
            <w:gridSpan w:val="2"/>
          </w:tcPr>
          <w:p>
            <w:pPr>
              <w:spacing w:after="0"/>
              <w:rPr>
                <w:sz w:val="20"/>
                <w:szCs w:val="20"/>
                <w:color w:val="auto"/>
              </w:rPr>
            </w:pPr>
            <w:r>
              <w:rPr>
                <w:rFonts w:ascii="Arial" w:cs="Arial" w:eastAsia="Arial" w:hAnsi="Arial"/>
                <w:sz w:val="18"/>
                <w:szCs w:val="18"/>
                <w:color w:val="auto"/>
              </w:rPr>
              <w:t>Fiscal Quarter ended July 31, 2017</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$26.66</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$18.00</w:t>
            </w:r>
          </w:p>
        </w:tc>
      </w:tr>
      <w:tr>
        <w:trPr>
          <w:trHeight w:val="27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Quarter ended October 31, 2017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$31.19</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$22.66</w:t>
            </w:r>
          </w:p>
        </w:tc>
      </w:tr>
      <w:tr>
        <w:trPr>
          <w:trHeight w:val="270"/>
        </w:trPr>
        <w:tc>
          <w:tcPr>
            <w:tcW w:w="5860" w:type="dxa"/>
            <w:vAlign w:val="bottom"/>
            <w:gridSpan w:val="2"/>
          </w:tcPr>
          <w:p>
            <w:pPr>
              <w:spacing w:after="0"/>
              <w:rPr>
                <w:sz w:val="20"/>
                <w:szCs w:val="20"/>
                <w:color w:val="auto"/>
              </w:rPr>
            </w:pPr>
            <w:r>
              <w:rPr>
                <w:rFonts w:ascii="Arial" w:cs="Arial" w:eastAsia="Arial" w:hAnsi="Arial"/>
                <w:sz w:val="18"/>
                <w:szCs w:val="18"/>
                <w:color w:val="auto"/>
              </w:rPr>
              <w:t>Fiscal Quarter ended January 31, 2018</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$40.96</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$23.19</w:t>
            </w:r>
          </w:p>
        </w:tc>
      </w:tr>
      <w:tr>
        <w:trPr>
          <w:trHeight w:val="338"/>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1"/>
        </w:trPr>
        <w:tc>
          <w:tcPr>
            <w:tcW w:w="840" w:type="dxa"/>
            <w:vAlign w:val="bottom"/>
            <w:tcBorders>
              <w:top w:val="single" w:sz="8" w:color="auto"/>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5860" w:type="dxa"/>
            <w:vAlign w:val="bottom"/>
            <w:gridSpan w:val="2"/>
          </w:tcPr>
          <w:p>
            <w:pPr>
              <w:spacing w:after="0"/>
              <w:rPr>
                <w:sz w:val="20"/>
                <w:szCs w:val="20"/>
                <w:color w:val="auto"/>
              </w:rPr>
            </w:pPr>
            <w:r>
              <w:rPr>
                <w:rFonts w:ascii="Arial" w:cs="Arial" w:eastAsia="Arial" w:hAnsi="Arial"/>
                <w:sz w:val="18"/>
                <w:szCs w:val="18"/>
                <w:color w:val="auto"/>
              </w:rPr>
              <w:t>Fiscal Quarter ending April 30, 2018 (through March 28, 2018)</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$38.94</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-2177415</wp:posOffset>
            </wp:positionV>
            <wp:extent cx="43135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27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last sales price of our Common Stock as reported by the Nasdaq Global Select Market on March 28, 2018 was $36.58 per share.</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On March 28, 2018, there were 27 holders of record and, we believe, approximately 17,000 beneficial owners of our Common Stock.</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Our Board of Directors (the “Board”) currently intends to follow a policy of retaining any earnings to finance the growth and development of our business and does not anticipate paying cash dividends in the foreseeable future. Any future determination as to the payment of cash dividends will be dependent upon our financial condition, results of operations and other factors deemed relevant by the Board. Payments for cash dividends and the repurchase of our shares may be made subject to compliance with certain covenants contained in our revolving credit facility. See “Management’s Discussion and Analysis of Financial Condition and Results of Operations — Liquidity and Capital Resources” in Item 7 below and Note E to our Consolidated Financial Statements.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spacing w:after="0" w:line="6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Composite Index and (ii) the S&amp;P 500 Textiles, Apparel and Luxury Goods Index, and assumes an investment of $100 on January 31, 2013 in each of the Common Stock, the stocks comprising the S&amp;P 500 Composite Index and the stocks comprising the S&amp;P 500 Textiles, Apparel and Luxury Goods Index.</w:t>
      </w:r>
    </w:p>
    <w:p>
      <w:pPr>
        <w:spacing w:after="0" w:line="14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G-III Apparel Group, Ltd.</w:t>
      </w:r>
    </w:p>
    <w:p>
      <w:pPr>
        <w:jc w:val="center"/>
        <w:ind w:right="-480"/>
        <w:spacing w:after="0" w:line="221" w:lineRule="auto"/>
        <w:rPr>
          <w:sz w:val="20"/>
          <w:szCs w:val="20"/>
          <w:color w:val="auto"/>
        </w:rPr>
      </w:pPr>
      <w:r>
        <w:rPr>
          <w:rFonts w:ascii="Arial" w:cs="Arial" w:eastAsia="Arial" w:hAnsi="Arial"/>
          <w:sz w:val="18"/>
          <w:szCs w:val="18"/>
          <w:b w:val="1"/>
          <w:bCs w:val="1"/>
          <w:color w:val="auto"/>
        </w:rPr>
        <w:t>Comparison of Cumulative Total Return</w:t>
      </w:r>
    </w:p>
    <w:p>
      <w:pPr>
        <w:spacing w:after="0" w:line="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(January 31, 2013 —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116205</wp:posOffset>
            </wp:positionV>
            <wp:extent cx="4124960" cy="3533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2496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08"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selected consolidated financial data set forth below as of and for the years ended January 31, 2014, 2015, 2016, 2017 and 2018, have been derived from our audited consolidated financial statements. Our audited consolidated balance sheets as of January 31, 2014, 2015 and 2016, and our audited consolidated statements of income for the years ended January 31, 2014 and 2015 are not included in this filing. The selected consolidated financial data should be read in conjunction with “Management’s Discussion and Analysis of Financial Condition and Results of Operations” (Item 7 of this Report) and the audited consolidated financial statements and related notes thereto included elsewhere in this Annual Report on Form 10-K.</w:t>
      </w:r>
    </w:p>
    <w:p>
      <w:pPr>
        <w:spacing w:after="0" w:line="5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operating results of G.H. Bass have been included in our financial statements since November 4, 2013, the date of acquisition.</w:t>
      </w:r>
    </w:p>
    <w:p>
      <w:pPr>
        <w:spacing w:after="0" w:line="62"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operating results of Karl Lagerfeld Paris North America BV (“KLNA”), which is 49% owned by us have been included in our financial statements since June 8, 2015, the date of acquisition. We account for the investments in Karl Lagerfeld Holding B.V. (“KLH”), which is 19% owned by us, and KLNA using the equity method of accounting. Our Vilebrequin subsidiary, KLNA and KLH report results on a calendar year basis rather than on the January 31 fiscal year basis used by G-III. Accordingly, the results of Vilebrequin, KLNA and KLH are and will be included in our financial statements for the year ended or ending closest to G-III’s fiscal year. For example, for G-III’s fiscal year ended January 31, 2018, the results of Vilebrequin, KLNA and KLH are included for the year ended December 31, 2017. The Company’s retail stores report results on a 52/53-week fiscal year.</w:t>
      </w:r>
    </w:p>
    <w:p>
      <w:pPr>
        <w:spacing w:after="0" w:line="5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operating results of DKI have been included in our financial statements since December 1, 2016, the date of acquisition.</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Fabco Holding B.V. (“Fabco”) is a Dutch limited liability company formed in August 2017 that is a joint venture which is 49% owned by the Company. This investment is accounted for using the equity method of accounting.</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All share and per share data in this Annual Report on Form 10-K have been retroactively adjusted to reflect our two-for-one stock split effected on May 1, 2015.</w:t>
      </w:r>
    </w:p>
    <w:p>
      <w:pPr>
        <w:spacing w:after="0" w:line="95" w:lineRule="exact"/>
        <w:rPr>
          <w:sz w:val="20"/>
          <w:szCs w:val="20"/>
          <w:color w:val="auto"/>
        </w:rPr>
      </w:pPr>
    </w:p>
    <w:p>
      <w:pPr>
        <w:jc w:val="center"/>
        <w:ind w:left="2600"/>
        <w:spacing w:after="0"/>
        <w:rPr>
          <w:sz w:val="20"/>
          <w:szCs w:val="20"/>
          <w:color w:val="auto"/>
        </w:rPr>
      </w:pPr>
      <w:r>
        <w:rPr>
          <w:rFonts w:ascii="Arial" w:cs="Arial" w:eastAsia="Arial" w:hAnsi="Arial"/>
          <w:sz w:val="14"/>
          <w:szCs w:val="14"/>
          <w:b w:val="1"/>
          <w:bCs w:val="1"/>
          <w:color w:val="auto"/>
        </w:rPr>
        <w:t>Consolidated Income Statement Data</w:t>
      </w:r>
    </w:p>
    <w:p>
      <w:pPr>
        <w:spacing w:after="0" w:line="17" w:lineRule="exact"/>
        <w:rPr>
          <w:sz w:val="20"/>
          <w:szCs w:val="20"/>
          <w:color w:val="auto"/>
        </w:rPr>
      </w:pPr>
    </w:p>
    <w:p>
      <w:pPr>
        <w:jc w:val="center"/>
        <w:ind w:left="2640"/>
        <w:spacing w:after="0"/>
        <w:rPr>
          <w:sz w:val="20"/>
          <w:szCs w:val="20"/>
          <w:color w:val="auto"/>
        </w:rPr>
      </w:pPr>
      <w:r>
        <w:rPr>
          <w:rFonts w:ascii="Arial" w:cs="Arial" w:eastAsia="Arial" w:hAnsi="Arial"/>
          <w:sz w:val="14"/>
          <w:szCs w:val="14"/>
          <w:b w:val="1"/>
          <w:bCs w:val="1"/>
          <w:color w:val="auto"/>
        </w:rPr>
        <w:t>Year Ended January 31,</w:t>
      </w: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8"/>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(in thousands, except per share data)</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89"/>
              </w:rPr>
              <w:t>2,806,938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89"/>
              </w:rPr>
              <w:t>2,386,435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89"/>
              </w:rPr>
              <w:t>2,344,142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89"/>
              </w:rPr>
              <w:t>2,116,855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1,718,231</w:t>
            </w:r>
          </w:p>
        </w:tc>
        <w:tc>
          <w:tcPr>
            <w:tcW w:w="0" w:type="dxa"/>
            <w:vAlign w:val="bottom"/>
          </w:tcPr>
          <w:p>
            <w:pPr>
              <w:spacing w:after="0"/>
              <w:rPr>
                <w:sz w:val="1"/>
                <w:szCs w:val="1"/>
                <w:color w:val="auto"/>
              </w:rPr>
            </w:pPr>
          </w:p>
        </w:tc>
      </w:tr>
      <w:tr>
        <w:trPr>
          <w:trHeight w:val="176"/>
        </w:trPr>
        <w:tc>
          <w:tcPr>
            <w:tcW w:w="3400" w:type="dxa"/>
            <w:vAlign w:val="bottom"/>
            <w:gridSpan w:val="2"/>
          </w:tcPr>
          <w:p>
            <w:pPr>
              <w:spacing w:after="0"/>
              <w:rPr>
                <w:sz w:val="20"/>
                <w:szCs w:val="20"/>
                <w:color w:val="auto"/>
              </w:rPr>
            </w:pPr>
            <w:r>
              <w:rPr>
                <w:rFonts w:ascii="Arial" w:cs="Arial" w:eastAsia="Arial" w:hAnsi="Arial"/>
                <w:sz w:val="14"/>
                <w:szCs w:val="14"/>
                <w:color w:val="auto"/>
              </w:rPr>
              <w:t>Cost of goods sold</w:t>
            </w:r>
          </w:p>
        </w:tc>
        <w:tc>
          <w:tcPr>
            <w:tcW w:w="10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1,752,033</w:t>
            </w: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1,545,574</w:t>
            </w: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1,505,504</w:t>
            </w:r>
          </w:p>
        </w:tc>
        <w:tc>
          <w:tcPr>
            <w:tcW w:w="10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w w:val="89"/>
              </w:rPr>
              <w:t>1,359,596</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1,133,222</w:t>
            </w:r>
          </w:p>
        </w:tc>
        <w:tc>
          <w:tcPr>
            <w:tcW w:w="0" w:type="dxa"/>
            <w:vAlign w:val="bottom"/>
          </w:tcPr>
          <w:p>
            <w:pPr>
              <w:spacing w:after="0"/>
              <w:rPr>
                <w:sz w:val="1"/>
                <w:szCs w:val="1"/>
                <w:color w:val="auto"/>
              </w:rPr>
            </w:pPr>
          </w:p>
        </w:tc>
      </w:tr>
      <w:tr>
        <w:trPr>
          <w:trHeight w:val="156"/>
        </w:trPr>
        <w:tc>
          <w:tcPr>
            <w:tcW w:w="340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Gross profit</w:t>
            </w: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6"/>
              </w:rPr>
              <w:t>1,054,905</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840,861</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838,638</w:t>
            </w: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757,259</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585,009</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855,247</w:t>
            </w:r>
          </w:p>
        </w:tc>
        <w:tc>
          <w:tcPr>
            <w:tcW w:w="8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704,436</w:t>
            </w:r>
          </w:p>
        </w:tc>
        <w:tc>
          <w:tcPr>
            <w:tcW w:w="8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628,762</w:t>
            </w:r>
          </w:p>
        </w:tc>
        <w:tc>
          <w:tcPr>
            <w:tcW w:w="1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571,990</w:t>
            </w:r>
          </w:p>
        </w:tc>
        <w:tc>
          <w:tcPr>
            <w:tcW w:w="8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440,506</w:t>
            </w:r>
          </w:p>
        </w:tc>
        <w:tc>
          <w:tcPr>
            <w:tcW w:w="0" w:type="dxa"/>
            <w:vAlign w:val="bottom"/>
          </w:tcPr>
          <w:p>
            <w:pPr>
              <w:spacing w:after="0"/>
              <w:rPr>
                <w:sz w:val="1"/>
                <w:szCs w:val="1"/>
                <w:color w:val="auto"/>
              </w:rPr>
            </w:pPr>
          </w:p>
        </w:tc>
      </w:tr>
      <w:tr>
        <w:trPr>
          <w:trHeight w:val="162"/>
        </w:trPr>
        <w:tc>
          <w:tcPr>
            <w:tcW w:w="3400" w:type="dxa"/>
            <w:vAlign w:val="bottom"/>
            <w:gridSpan w:val="2"/>
          </w:tcPr>
          <w:p>
            <w:pPr>
              <w:ind w:left="18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37,783</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32,481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25,392</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20,374</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13,676</w:t>
            </w:r>
          </w:p>
        </w:tc>
        <w:tc>
          <w:tcPr>
            <w:tcW w:w="0" w:type="dxa"/>
            <w:vAlign w:val="bottom"/>
          </w:tcPr>
          <w:p>
            <w:pPr>
              <w:spacing w:after="0"/>
              <w:rPr>
                <w:sz w:val="1"/>
                <w:szCs w:val="1"/>
                <w:color w:val="auto"/>
              </w:rPr>
            </w:pPr>
          </w:p>
        </w:tc>
      </w:tr>
      <w:tr>
        <w:trPr>
          <w:trHeight w:val="189"/>
        </w:trPr>
        <w:tc>
          <w:tcPr>
            <w:tcW w:w="340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0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7,884</w:t>
            </w: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10,480</w:t>
            </w: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153,991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93,464</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184,484</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164,895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130,827</w:t>
            </w:r>
          </w:p>
        </w:tc>
        <w:tc>
          <w:tcPr>
            <w:tcW w:w="0" w:type="dxa"/>
            <w:vAlign w:val="bottom"/>
          </w:tcPr>
          <w:p>
            <w:pPr>
              <w:spacing w:after="0"/>
              <w:rPr>
                <w:sz w:val="1"/>
                <w:szCs w:val="1"/>
                <w:color w:val="auto"/>
              </w:rPr>
            </w:pPr>
          </w:p>
        </w:tc>
      </w:tr>
      <w:tr>
        <w:trPr>
          <w:trHeight w:val="176"/>
        </w:trPr>
        <w:tc>
          <w:tcPr>
            <w:tcW w:w="340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11,488</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Interest and financing charges, net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(43,488)</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(15,675)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(6,691)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(7,942)</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(8,599)</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110,049</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77,762</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179,133</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168,441</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122,228</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47,925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25,824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64,800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59,450</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45,826</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62,124</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51,938</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114,333</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108,991</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76,402</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Add: Loss attributable to noncontrolling interest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4"/>
                <w:szCs w:val="14"/>
                <w:color w:val="auto"/>
              </w:rPr>
              <w:t>Net income attributable to G-III</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62,124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51,938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114,333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110,361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77,360</w:t>
            </w:r>
          </w:p>
        </w:tc>
        <w:tc>
          <w:tcPr>
            <w:tcW w:w="0" w:type="dxa"/>
            <w:vAlign w:val="bottom"/>
          </w:tcPr>
          <w:p>
            <w:pPr>
              <w:spacing w:after="0"/>
              <w:rPr>
                <w:sz w:val="1"/>
                <w:szCs w:val="1"/>
                <w:color w:val="auto"/>
              </w:rPr>
            </w:pPr>
          </w:p>
        </w:tc>
      </w:tr>
      <w:tr>
        <w:trPr>
          <w:trHeight w:val="156"/>
        </w:trPr>
        <w:tc>
          <w:tcPr>
            <w:tcW w:w="3400" w:type="dxa"/>
            <w:vAlign w:val="bottom"/>
            <w:tcBorders>
              <w:top w:val="single" w:sz="8" w:color="CCEEFF"/>
              <w:bottom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Basic earnings per share</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1.27</w:t>
            </w: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1.12</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2.52</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2.55</w:t>
            </w: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1.90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 outstanding – basic</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48,820</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46,308</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45,328</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43,298</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40,646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Weighted average shares outstanding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49,750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47,394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46,512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44,424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-1487170</wp:posOffset>
            </wp:positionV>
            <wp:extent cx="946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-1487170</wp:posOffset>
            </wp:positionV>
            <wp:extent cx="231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-1487170</wp:posOffset>
            </wp:positionV>
            <wp:extent cx="205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-1487170</wp:posOffset>
            </wp:positionV>
            <wp:extent cx="205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-1487170</wp:posOffset>
            </wp:positionV>
            <wp:extent cx="2787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87015"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-2027555</wp:posOffset>
            </wp:positionV>
            <wp:extent cx="946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-2027555</wp:posOffset>
            </wp:positionV>
            <wp:extent cx="231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-2027555</wp:posOffset>
            </wp:positionV>
            <wp:extent cx="205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-2027555</wp:posOffset>
            </wp:positionV>
            <wp:extent cx="205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-2027555</wp:posOffset>
            </wp:positionV>
            <wp:extent cx="2787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701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-2353310</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-2353310</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-2353310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-2353310</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2600"/>
        <w:spacing w:after="0"/>
        <w:rPr>
          <w:sz w:val="20"/>
          <w:szCs w:val="20"/>
          <w:color w:val="auto"/>
        </w:rPr>
      </w:pPr>
      <w:r>
        <w:rPr>
          <w:rFonts w:ascii="Arial" w:cs="Arial" w:eastAsia="Arial" w:hAnsi="Arial"/>
          <w:sz w:val="14"/>
          <w:szCs w:val="14"/>
          <w:b w:val="1"/>
          <w:bCs w:val="1"/>
          <w:color w:val="auto"/>
        </w:rPr>
        <w:t>Consolidated Balance Sheet Data</w:t>
      </w:r>
    </w:p>
    <w:p>
      <w:pPr>
        <w:spacing w:after="0" w:line="17" w:lineRule="exact"/>
        <w:rPr>
          <w:sz w:val="20"/>
          <w:szCs w:val="20"/>
          <w:color w:val="auto"/>
        </w:rPr>
      </w:pPr>
    </w:p>
    <w:p>
      <w:pPr>
        <w:jc w:val="center"/>
        <w:ind w:left="264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5080</wp:posOffset>
            </wp:positionV>
            <wp:extent cx="31127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2016</w:t>
            </w: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2014</w:t>
            </w:r>
          </w:p>
        </w:tc>
      </w:tr>
      <w:tr>
        <w:trPr>
          <w:trHeight w:val="169"/>
        </w:trPr>
        <w:tc>
          <w:tcPr>
            <w:tcW w:w="3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Working capital</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  612,434</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  567,519</w:t>
            </w:r>
          </w:p>
        </w:tc>
        <w:tc>
          <w:tcPr>
            <w:tcW w:w="10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  657,636</w:t>
            </w: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  557,703</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$344,964</w:t>
            </w:r>
          </w:p>
        </w:tc>
      </w:tr>
      <w:tr>
        <w:trPr>
          <w:trHeight w:val="189"/>
        </w:trPr>
        <w:tc>
          <w:tcPr>
            <w:tcW w:w="3320" w:type="dxa"/>
            <w:vAlign w:val="bottom"/>
          </w:tcPr>
          <w:p>
            <w:pPr>
              <w:spacing w:after="0"/>
              <w:rPr>
                <w:sz w:val="20"/>
                <w:szCs w:val="20"/>
                <w:color w:val="auto"/>
              </w:rPr>
            </w:pPr>
            <w:r>
              <w:rPr>
                <w:rFonts w:ascii="Arial" w:cs="Arial" w:eastAsia="Arial" w:hAnsi="Arial"/>
                <w:sz w:val="15"/>
                <w:szCs w:val="15"/>
                <w:color w:val="auto"/>
              </w:rPr>
              <w:t>Total assets</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1,915,177</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1,851,944</w:t>
            </w:r>
          </w:p>
        </w:tc>
        <w:tc>
          <w:tcPr>
            <w:tcW w:w="1080" w:type="dxa"/>
            <w:vAlign w:val="bottom"/>
          </w:tcPr>
          <w:p>
            <w:pPr>
              <w:jc w:val="right"/>
              <w:ind w:right="145"/>
              <w:spacing w:after="0"/>
              <w:rPr>
                <w:sz w:val="20"/>
                <w:szCs w:val="20"/>
                <w:color w:val="auto"/>
              </w:rPr>
            </w:pPr>
            <w:r>
              <w:rPr>
                <w:rFonts w:ascii="Arial" w:cs="Arial" w:eastAsia="Arial" w:hAnsi="Arial"/>
                <w:sz w:val="15"/>
                <w:szCs w:val="15"/>
                <w:color w:val="auto"/>
              </w:rPr>
              <w:t>1,184,070</w:t>
            </w:r>
          </w:p>
        </w:tc>
        <w:tc>
          <w:tcPr>
            <w:tcW w:w="980" w:type="dxa"/>
            <w:vAlign w:val="bottom"/>
          </w:tcPr>
          <w:p>
            <w:pPr>
              <w:jc w:val="right"/>
              <w:ind w:right="124"/>
              <w:spacing w:after="0"/>
              <w:rPr>
                <w:sz w:val="20"/>
                <w:szCs w:val="20"/>
                <w:color w:val="auto"/>
              </w:rPr>
            </w:pPr>
            <w:r>
              <w:rPr>
                <w:rFonts w:ascii="Arial" w:cs="Arial" w:eastAsia="Arial" w:hAnsi="Arial"/>
                <w:sz w:val="15"/>
                <w:szCs w:val="15"/>
                <w:color w:val="auto"/>
              </w:rPr>
              <w:t>1,043,761</w:t>
            </w:r>
          </w:p>
        </w:tc>
        <w:tc>
          <w:tcPr>
            <w:tcW w:w="960" w:type="dxa"/>
            <w:vAlign w:val="bottom"/>
          </w:tcPr>
          <w:p>
            <w:pPr>
              <w:jc w:val="right"/>
              <w:ind w:right="84"/>
              <w:spacing w:after="0"/>
              <w:rPr>
                <w:sz w:val="20"/>
                <w:szCs w:val="20"/>
                <w:color w:val="auto"/>
              </w:rPr>
            </w:pPr>
            <w:r>
              <w:rPr>
                <w:rFonts w:ascii="Arial" w:cs="Arial" w:eastAsia="Arial" w:hAnsi="Arial"/>
                <w:sz w:val="15"/>
                <w:szCs w:val="15"/>
                <w:color w:val="auto"/>
              </w:rPr>
              <w:t>830,897</w:t>
            </w: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Short-term debt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48,843</w:t>
            </w:r>
          </w:p>
        </w:tc>
      </w:tr>
      <w:tr>
        <w:trPr>
          <w:trHeight w:val="189"/>
        </w:trPr>
        <w:tc>
          <w:tcPr>
            <w:tcW w:w="3320" w:type="dxa"/>
            <w:vAlign w:val="bottom"/>
          </w:tcPr>
          <w:p>
            <w:pPr>
              <w:spacing w:after="0"/>
              <w:rPr>
                <w:sz w:val="20"/>
                <w:szCs w:val="20"/>
                <w:color w:val="auto"/>
              </w:rPr>
            </w:pPr>
            <w:r>
              <w:rPr>
                <w:rFonts w:ascii="Arial" w:cs="Arial" w:eastAsia="Arial" w:hAnsi="Arial"/>
                <w:sz w:val="15"/>
                <w:szCs w:val="15"/>
                <w:color w:val="auto"/>
              </w:rPr>
              <w:t>Long-term debt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391,044</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461,756</w:t>
            </w:r>
          </w:p>
        </w:tc>
        <w:tc>
          <w:tcPr>
            <w:tcW w:w="108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84"/>
              <w:spacing w:after="0"/>
              <w:rPr>
                <w:sz w:val="20"/>
                <w:szCs w:val="20"/>
                <w:color w:val="auto"/>
              </w:rPr>
            </w:pPr>
            <w:r>
              <w:rPr>
                <w:rFonts w:ascii="Arial" w:cs="Arial" w:eastAsia="Arial" w:hAnsi="Arial"/>
                <w:sz w:val="15"/>
                <w:szCs w:val="15"/>
                <w:color w:val="auto"/>
              </w:rPr>
              <w:t>20,560</w:t>
            </w:r>
          </w:p>
        </w:tc>
      </w:tr>
      <w:tr>
        <w:trPr>
          <w:trHeight w:val="189"/>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1,120,689</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1,021,236</w:t>
            </w:r>
          </w:p>
        </w:tc>
        <w:tc>
          <w:tcPr>
            <w:tcW w:w="10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888,128</w:t>
            </w: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761,258</w:t>
            </w: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521,996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-719455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-719455</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-719455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-719455</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9" w:lineRule="exact"/>
        <w:rPr>
          <w:sz w:val="20"/>
          <w:szCs w:val="20"/>
          <w:color w:val="auto"/>
        </w:rPr>
      </w:pPr>
    </w:p>
    <w:p>
      <w:pPr>
        <w:ind w:left="2160" w:right="1319" w:hanging="899"/>
        <w:spacing w:after="0" w:line="246" w:lineRule="auto"/>
        <w:tabs>
          <w:tab w:leader="none" w:pos="2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w:t>
      </w:r>
    </w:p>
    <w:p>
      <w:pPr>
        <w:spacing w:after="0" w:line="66"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Unless the context otherwise requires, “G-III”, “us”, “we” and “our” refer to G-III Apparel Group, Ltd. and its subsidiaries. References to fiscal years refer to the year ended or ending on January 31 of that year. For example, our fiscal year ended January 31, 2018 is referred to as “fiscal 2018.”</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G-III designs, manufactures and markets an extensive range of apparel, including outerwear, dresses, sportswear, swimwear, women’s suits and women’s performance wear, as well as women’s handbags, footwear, small leather goods, cold weather accessories and luggage. G-III has a substantial portfolio of over 40 licensed and proprietary brands, anchored by five global power brands: DKNY, Donna Karan, Calvin Klein, Tommy Hilfiger and Karl Lagerfeld. We are not only licensees, but also brand owners, and we distribute our products through multiple brick and mortar and online channels.</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While our products are sold at a variety of price points through a broad mix of retail partners and our own stores, a majority of our sales are concentrated with our ten largest customers. Sales to our ten largest customers comprised 63.5% of our net sales in 2016, 64.1% of our net sales in fiscal 2017 and 63.2% of our net sales in fiscal 2018.</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We report based on two segments: wholesale operations and retail operations. The wholesale operations segment includes sales of products under brands licensed by us from third parties, as well as sales of products under our own brands and private label brands. Wholesale sales and revenues from license agreements related to the DKI, G.H. Bass, Andrew Marc and Vilebrequin businesses are included in the wholesale operations segment. The retail operations segment consists primarily of our Wilsons Leather, G.H. Bass and DKNY retail stores, substantially all of which are operated as outlet stores, as well as a limited number of Calvin Klein Performance and Karl Lagerfeld Paris stores. Sales through our owned websites are also included in the retail operations segment. See Note K to our Consolidated Financial Statements for financial information with respect to these segments.</w:t>
      </w:r>
    </w:p>
    <w:p>
      <w:pPr>
        <w:spacing w:after="0" w:line="184"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9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have acquired businesses that have broadened our product offerings, expanded our ability to serve different tiers of distribution and added a retail component to our business. Our acquisitions and joint ventures are part of our strategy to expand our product offerings and increase the portfolio of proprietary and licensed brands that we offer through different tiers of retail distribution.</w:t>
      </w:r>
    </w:p>
    <w:p>
      <w:pPr>
        <w:sectPr>
          <w:pgSz w:w="11900" w:h="16838" w:orient="portrait"/>
          <w:cols w:equalWidth="0" w:num="1">
            <w:col w:w="10219"/>
          </w:cols>
          <w:pgMar w:left="240" w:top="132" w:right="1440" w:bottom="1440" w:gutter="0" w:footer="0" w:header="0"/>
        </w:sectPr>
      </w:pP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Donna Karan/DKNY</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December 2016, we acquired all of the outstanding capital stock of Donna Karan International Inc. (“DKI”) from LVMH Moet Hennessy Louis Vuitton Inc. (“LVMH”) for a total purchase price of approximately $674 million, after taking into account certain adjustments. DKI owns Donna Karan and DKNY, two of the world’s most iconic and recognizable power brands. The acquisition of DKI fits squarely into our strategy to diversify and expand our business and to increase our ownership of brands. We intend to focus on the expansion of the DKNY brand, while also re-establishing Donna Karan and other associated brands. We believe that we can also capitalize on significant, untapped global licensing potential in a number of men’s categories, as well as in home and jewelry. We plan to leverage our demonstrated ability to drive organic growth, identify and integrate acquisitions and develop talent throughout the organization to maximize the potential of the DKNY and Donna Karan brands.</w:t>
      </w:r>
    </w:p>
    <w:p>
      <w:pPr>
        <w:spacing w:after="0" w:line="70"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March 2017, we entered into an agreement with Macy’s under which Macy’s serves, since February 2018, as the exclusive U.S. department store for sales of DKNY women’s apparel and accessories. Under the agreement, Macy’s has the exclusive rights to sell DKNY women’s apparel, including women’s sportswear, dresses, suit separates, women’s performance wear, denim, swimwear and outerwear, handbags and women’s shoes, as well as men’s swimwear and outerwear, and luggage in all Macy’s locations and on Macys.com. The agreement also plans for increased and enhanced DKNY shop-in-shops in many Macy’s stores. G-III and Macy’s are committed to making DKNY the premier fashion and lifestyle brand.</w:t>
      </w:r>
    </w:p>
    <w:p>
      <w:pPr>
        <w:spacing w:after="0" w:line="59"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sell DKNY products through department stores, specialty retailers and online retailers worldwide, as well as through company-operated retail stores, e-commerce sites and distribution agreements. We also maintain DKNY’s agreements with international license partners and distributors outside of the United States. Products outside the exclusive categories and products distributed by DKNY’s various licensees under other categories will continue to be sold to department stores, including Macy’s. In addition, we re-launched Donna Karan as an aspirational luxury brand that is priced above DKNY and targeted to fine department stores globally.</w:t>
      </w:r>
    </w:p>
    <w:p>
      <w:pPr>
        <w:spacing w:after="0" w:line="57"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August 2017, we entered into a joint venture with Amlon Capital B.V. (“Amlon”) to produce and market women’s and men’s apparel and accessories pursuant to a long-term license for DKNY and Donna Karan in the People’s Republic of China, including Macau, Hong Kong and Taiwan. We own 49% of the joint venture, with Amlon owning the remaining 51%. The principals of Amlon were formerly executives of Tommy Hilfiger and were instrumental in the expansion of the Tommy Hilfiger brand in China. The joint venture will be funded with $25 million of equity to be used to strengthen the DKNY and Donna Karan brands and accelerate the growth of the business in the region. Of this amount, we are required to contribute an aggregate of $10.0 million to this joint venture by August 2018. Starting January 1, 2018, this joint venture is the exclusive seller of women’s and men’s apparel, handbags, luggage and certain accessories under the DKNY and Donna Karan brands in the territory. The joint venture commenced operations in the second half of fiscal 2018 and was operating 13 stores as of January, 31. 2018.</w:t>
      </w:r>
    </w:p>
    <w:p>
      <w:pPr>
        <w:spacing w:after="0" w:line="75"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acquisition of DKI negatively impacted our results of operations in fiscal 2017 and in fiscal 2018. We expect DKI to be profitable in fiscal 2019.</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Karl Lagerfeld Paris</w:t>
      </w:r>
    </w:p>
    <w:p>
      <w:pPr>
        <w:spacing w:after="0" w:line="90"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In June 2015, we acquired a 49% interest in a joint venture that holds the worldwide rights to the Karl Lagerfeld trademarks, including the Karl Lagerfeld Paris brand we currently use, for consumer products (with certain exceptions) and apparel in the United States, Canada and Mexico. We were also the first licensee of the joint venture, having been granted a license for women’s apparel, women’s handbags, women’s and men’s footwear and men’s apparel. We began shipping Karl Lagerfeld Paris sportswear, dresses, women’s outerwear and handbags in the third quarter of fiscal 2016, Karl Lagerfeld Paris women’s footwear in the first quarter of fiscal 2017 and Karl Lagerfeld Paris women’s suits in the third quarter of fiscal 2017.</w:t>
      </w:r>
    </w:p>
    <w:p>
      <w:pPr>
        <w:spacing w:after="0" w:line="7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February 2016, we acquired a 19% minority interest in the parent company of the group that holds the worldwide rights to the Karl Lagerfeld brand. This investment is intended to expand the partnership between us and the owners of the Karl Lagerfeld brand and extend their business development opportunities on a global scale. The business plan for this entity includes developing its wholesale business, expanding its outlet retail footprint and further developing out its online presence.</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sale of licensed products is a key element of our strategy and we have continually expanded our offerings of licensed products for more than 20 years. Sales of licensed products accounted for 58.6% of our net sales in fiscal 2018, 60.7% of our net sales in fiscal 2017 and 59.2% of our net sales in fiscal 2016.</w:t>
      </w:r>
    </w:p>
    <w:p>
      <w:pPr>
        <w:spacing w:after="0" w:line="5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most significant licensor is Calvin Klein with whom we have ten different license agreements. We have also entered into distribution agreements with respect to Calvin Klein luggage in a limited number of countries in Asia, Europe and North America.</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September 2017, we renewed our license agreements with Levi’s and Dockers for an additional four-year term. We also recently extended through 2020 our license agreements with the National Basketball Association and for Vince Camuto dresses.</w:t>
      </w:r>
    </w:p>
    <w:p>
      <w:pPr>
        <w:spacing w:after="0" w:line="7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July 2016, we signed a three-year extension through March 2020 of our license agreement with the National Football League. This agreement includes men’s and women’s outerwear, Starter men’s and women’s outerwear, men’s and women’s lifestyle apparel, Hands High men’s and women’s lifestyle apparel, and Touch by Alyssa Milano women’s lifestyle apparel.</w:t>
      </w:r>
    </w:p>
    <w:p>
      <w:pPr>
        <w:spacing w:after="0" w:line="79"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In February 2016, we expanded our relationship with Tommy Hilfiger through a new license agreement for Tommy Hilfiger womenswear in the United States and Canada. This license for women’s sportswear, dresses, suit separates, performance and denim is in addition to our other Tommy Hilfiger licenses for men’s and women’s outerwear and luggage. The Tommy Hilfiger womenswear license agreement has an initial term of five years and a renewal term of four years. Macy’s is the principal retailer of Tommy Hilfiger in the United States and women’s sportswear continues to be a Macy’s exclusive offering. We believe Tommy Hilfiger is a classic American lifestyle brand. We intend to leverage our market expertise to help build sales of Tommy Hilfiger women’s apparel. We sell Tommy Hilfiger dresses, women’s suit separates, women’s performance wear, jeans and luggage. Women’s performance wear and women’s suits began shipping during the third quarter of fiscal 2017.</w:t>
      </w:r>
    </w:p>
    <w:p>
      <w:pPr>
        <w:spacing w:after="0" w:line="5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Retail Operations</w:t>
      </w:r>
    </w:p>
    <w:p>
      <w:pPr>
        <w:spacing w:after="0" w:line="104"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Our retail operations segment consists primarily of our Wilsons Leather, G.H. Bass and DKNY retail stores, substantially all of which are operated as outlet stores. As of January 31, 2018, we leased 367 retail stores, of which 165 are stores operated under our Wilsons Leather name, 139 are stores operated under our G.H. Bass brand, 51 stores are operated under our DKNY brand, 8 stores are operated under the licensed Karl Lagerfeld Paris brand and 4 stores are operated under the licensed Calvin Klein Performance brand. Wilsons Leather, G.H. Bass and DKNY and Karl Lagerfeld Paris each operates its own online store. Given the current retail environment, we are focusing on turning around our retail business by not renewing long-term leases as they come up for renewal if we are unable to satisfactorily renegotiate the terms of those leases. In addition, we are implementing cost-cutting initiatives, revising our merchandising strategy and repurposing certain Wilsons Leather and G.H. Bass stores for the Karl Lagerfeld Paris or DKNY brands. We intend to continue our program of door count reduction and to increase the efficiency and productivity of our retail operations.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e-commerce sales, the continued consolidation of retail chains and the desire on the part of retailers to consolidate vendors supplying them.</w:t>
      </w:r>
    </w:p>
    <w:p>
      <w:pPr>
        <w:spacing w:after="0" w:line="5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Retailers are placing more emphasis</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on building strong images for their private label and exclusive merchandise. Exclusive brands are only made available to a specific retailer, and thus customers loyal to their brands can only find them in the stores of that retailer.</w:t>
      </w:r>
    </w:p>
    <w:p>
      <w:pPr>
        <w:spacing w:after="0" w:line="73"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 number of retailers are experiencing financial difficulties, which in some cases has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81"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Sales of apparel over the Internet continue to increase. We are addressing the increase in online shopping by developing additional marketing initiatives over the Internet, our web sites and social media. Our e-commerce business consists of our own web platforms at www.dkny.com, www.donnakaran.com, www.wilsonsleather.com, www.ghbass.com, www.vilebrequin.com and www.andrewmarc.com. We are building an e-commerce team to help us expand our online opportunities going forward. We also sell our Karl Lagerfeld Paris products on its website, www.karllagerfeldparis.com. We sell our licensed products over the web through retail partners such as Macys.com and Nordstrom.com, each of which has a significant online business. We have also increased sales to pure play online retail partners such as Amazon and Fanatics. We continue to develop additional marketing initiatives over the Internet, our web sites and social media to increase our e-commerce presence.</w:t>
      </w:r>
    </w:p>
    <w:p>
      <w:pPr>
        <w:spacing w:after="0" w:line="59"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expanding distribution channels and developing the retail component of our business.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spacing w:after="0" w:line="80"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66"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Goods are shipped to retailers in accordance with specific customer orders. We recognize wholesale sales when the risks and rewards of ownership have transferred to the customer, determined by us to be when title to the merchandise passes to the customer.</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recognize retail sales upon customer receipt of the merchandise, generally at the point of sale. Retail sales are recorded net of applicable sales tax.</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Both wholesale revenues and retail store revenues are shown net of returns, discounts and other allowances.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estimate the amount of reserves and allowances based on current and historical information and trends.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Discounts, allowances and estimates of future returns are recognized when the related revenues are recognized.</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Royalty revenue is recognized at the higher of royalty earned or guaranteed minimum royalty.</w:t>
      </w: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0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In the normal course of business, we extend credit to our wholesale customers based on pre-defined credit criteria. Accounts receivable, as shown on our consolidated balance sheet, are net of allowances and anticipated discounts.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5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An allowance for discounts is based on reviews of open invoices where concessions have been extended to customers. Costs associated with allowable deductions for customer advertising expenses are charged to advertising expenses in the selling, general and administrative section of our consolidated statements of income. Costs associated with markdowns and other operational chargebacks, net of historical recoveries, are included as a reduction of net sales. All of these are part of the allowances included in accounts receivable. We reserve against known chargebacks, as well as for an estimate of potential future deductions by customers. These provisions result from seasonal negotiations with our customers as well as historical deduction trends, net of historical recoveries and the evaluation of current market conditions.</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Wholesale inventories are stated at the lower of cost (determined by the first-in, first-out method) or net realizable value, which comprises a significant portion of our inventory. Retail inventories are valued at the lower of cost or market as determined by the retail inventory method. Vilebrequin inventories are stated at the lower of cost (determined by the weighted average method) or net realizable value.</w:t>
      </w:r>
    </w:p>
    <w:p>
      <w:pPr>
        <w:spacing w:after="0" w:line="6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spacing w:after="0" w:line="159"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In connection with the change in our reportable segments and according to ASC 350, we reassessed the reporting units for goodwill impairment purposes. We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our goodwill and intangible assets with an indefinite life.</w:t>
      </w:r>
    </w:p>
    <w:p>
      <w:pPr>
        <w:spacing w:after="0" w:line="72"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The process of evaluating the potential impairment of goodwill is subjective and requires significant judgment at many points during the analysis. In estimating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over its estimated remaining useful life.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w:t>
      </w:r>
    </w:p>
    <w:p>
      <w:pPr>
        <w:spacing w:after="0" w:line="5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spacing w:after="0" w:line="5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spacing w:after="0" w:line="57"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Identifiable intangible assets recorded as a result of our acquisition of DKI in 2016 include trademarks having a net carrying value of $370.0 million with an indefinite life and customer relationships having a net carrying value of $40.0 million with an estimated useful life of 17 years. We also recorded goodwill in the amount of $211.7 million in connection with the acquisition. Goodwill was fully assigned to the Company’s wholesale operations reporting unit as the wholesale operations reporting unit is expected to benefit from the synergies of the combination and from the future growth of DKI. These synergies will be also accomplished through the integration of DKI’s wholesale operations with G-III’s support functions such as credit and collection, IT, finance, logistics, human resources, sourcing and overseas quality control.</w:t>
      </w:r>
    </w:p>
    <w:p>
      <w:pPr>
        <w:spacing w:after="0" w:line="71"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In accordance with ASC 350, in the first step of our goodwill impairment review, we compared the fair value of the wholesale operations reporting unit and the retail operations reporting unit to their respective carrying values. If the fair value of the reporting unit exceeds its carrying value, goodwill is not impaired and no further testing is required. On January 31, 2018, we noted that both the fair value of the wholesale operations reporting unit and the fair value of the retail operations reporting unit significantly exceeded their respective carrying values. We estimated the fair value of the reporting units using a weighting of fair values derived most significantly from the market approach and, to a lesser extent, from the income approach. Under the income approach, we calculated the fair value of the reporting units based on the present value of estimated future cash flows. Cash flows projections are based on management’s estimates of revenue growth rates and earnings before interest and taxes, taking into consideration industry and market conditions. The assumptions used for the impairment analysis were developed by management of each reporting unit based on industry projections, as well as specific facts relating to the reporting units. If the reporting units were to experience sales declines or be exposed to enhanced and sustained pricing and volume pressures there would be an increased risk of impairment of goodwill for the reporting units.</w:t>
      </w: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spacing w:after="0" w:line="50"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Trademarks having finite lives are amortized over their estimated useful lives and measured for impairment when events or circumstances indicate that the carrying value may be impaired.</w:t>
      </w:r>
    </w:p>
    <w:p>
      <w:pPr>
        <w:spacing w:after="0" w:line="1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accordance with Financial Accounting Standards Board (“FASB”) Accounting Standards Codification (“ASC”) Topic 360 — Property, Plant and Equipment, we annually evaluate the carrying value of our long-lived assets to determine whether changes have occurred that would suggest that the carrying amount of such assets may not be recoverable based on the estimated future undiscounted cash flows of the businesses to which the assets relate. Any impairment would be equal to the amount by which the carrying value of the assets exceeded its fair value.</w:t>
      </w:r>
    </w:p>
    <w:p>
      <w:pPr>
        <w:spacing w:after="0" w:line="8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fiscal 2018, the we recorded a $6.5 million impairment charge related to leasehold improvements and furniture and fixtures at certain of our Wilsons, G.H. Bass and Vilebrequin stores as a result of the performance at these stores. In addition, we recorded a $738,000 impairment charge with respect to furniture and fixtures located in certain customers’ stores.</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fiscal 2017, the Company recorded a $10.5 million impairment charge related to leasehold improvements and furniture and fixtures at certain of our Wilsons and G.H. Bass stores as a result of the performance at these stores.</w:t>
      </w:r>
    </w:p>
    <w:p>
      <w:pPr>
        <w:spacing w:after="0" w:line="16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Equity Awards</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All share-based payments to employees, including grants of restricted stock units and employee stock options, are recognized in the consolidated financial statements as compensation expense over the service period (generally the vesting period) based on their fair values. Restricted stock units that do not have performance conditions are valued based on the quoted market price on date of grant. Restricted stock units with performance conditions are valued with the assistance of a valuation expert.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expenses for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ind w:left="1260" w:right="759" w:firstLine="360"/>
        <w:spacing w:after="0" w:line="262" w:lineRule="auto"/>
        <w:rPr>
          <w:sz w:val="20"/>
          <w:szCs w:val="20"/>
          <w:color w:val="auto"/>
        </w:rPr>
      </w:pPr>
      <w:r>
        <w:rPr>
          <w:rFonts w:ascii="Arial" w:cs="Arial" w:eastAsia="Arial" w:hAnsi="Arial"/>
          <w:sz w:val="18"/>
          <w:szCs w:val="18"/>
          <w:color w:val="auto"/>
        </w:rPr>
        <w:t>The following table sets forth selected operating data as a percentage of our net sales for the fiscal years indicated below:</w:t>
      </w:r>
    </w:p>
    <w:p>
      <w:pPr>
        <w:spacing w:after="0" w:line="80"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r>
      <w:tr>
        <w:trPr>
          <w:trHeight w:val="26"/>
        </w:trPr>
        <w:tc>
          <w:tcPr>
            <w:tcW w:w="5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8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820" w:type="dxa"/>
            <w:vAlign w:val="bottom"/>
            <w:gridSpan w:val="7"/>
          </w:tcPr>
          <w:p>
            <w:pPr>
              <w:jc w:val="right"/>
              <w:spacing w:after="0"/>
              <w:rPr>
                <w:sz w:val="20"/>
                <w:szCs w:val="20"/>
                <w:color w:val="auto"/>
              </w:rPr>
            </w:pPr>
            <w:r>
              <w:rPr>
                <w:rFonts w:ascii="Arial" w:cs="Arial" w:eastAsia="Arial" w:hAnsi="Arial"/>
                <w:sz w:val="18"/>
                <w:szCs w:val="18"/>
                <w:color w:val="auto"/>
                <w:w w:val="93"/>
              </w:rPr>
              <w:t>100.0% 100.0% 100.0%</w:t>
            </w:r>
          </w:p>
        </w:tc>
      </w:tr>
      <w:tr>
        <w:trPr>
          <w:trHeight w:val="264"/>
        </w:trPr>
        <w:tc>
          <w:tcPr>
            <w:tcW w:w="58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r>
      <w:tr>
        <w:trPr>
          <w:trHeight w:val="257"/>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2"/>
                <w:szCs w:val="22"/>
                <w:color w:val="auto"/>
              </w:rPr>
            </w:pPr>
          </w:p>
        </w:tc>
      </w:tr>
      <w:tr>
        <w:trPr>
          <w:trHeight w:val="257"/>
        </w:trPr>
        <w:tc>
          <w:tcPr>
            <w:tcW w:w="58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r>
      <w:tr>
        <w:trPr>
          <w:trHeight w:val="257"/>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r>
      <w:tr>
        <w:trPr>
          <w:trHeight w:val="264"/>
        </w:trPr>
        <w:tc>
          <w:tcPr>
            <w:tcW w:w="5820" w:type="dxa"/>
            <w:vAlign w:val="bottom"/>
            <w:gridSpan w:val="2"/>
          </w:tcPr>
          <w:p>
            <w:pPr>
              <w:spacing w:after="0"/>
              <w:rPr>
                <w:sz w:val="20"/>
                <w:szCs w:val="20"/>
                <w:color w:val="auto"/>
              </w:rPr>
            </w:pPr>
            <w:r>
              <w:rPr>
                <w:rFonts w:ascii="Arial" w:cs="Arial" w:eastAsia="Arial" w:hAnsi="Arial"/>
                <w:sz w:val="18"/>
                <w:szCs w:val="18"/>
                <w:color w:val="auto"/>
              </w:rPr>
              <w:t>Asset impairments</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2"/>
                <w:szCs w:val="22"/>
                <w:color w:val="auto"/>
              </w:rPr>
            </w:pPr>
          </w:p>
        </w:tc>
      </w:tr>
      <w:tr>
        <w:trPr>
          <w:trHeight w:val="264"/>
        </w:trPr>
        <w:tc>
          <w:tcPr>
            <w:tcW w:w="5820" w:type="dxa"/>
            <w:vAlign w:val="bottom"/>
            <w:gridSpan w:val="2"/>
          </w:tcPr>
          <w:p>
            <w:pPr>
              <w:spacing w:after="0"/>
              <w:rPr>
                <w:sz w:val="20"/>
                <w:szCs w:val="20"/>
                <w:color w:val="auto"/>
              </w:rPr>
            </w:pPr>
            <w:r>
              <w:rPr>
                <w:rFonts w:ascii="Arial" w:cs="Arial" w:eastAsia="Arial" w:hAnsi="Arial"/>
                <w:sz w:val="18"/>
                <w:szCs w:val="18"/>
                <w:color w:val="auto"/>
              </w:rPr>
              <w:t>Interest and financing charges, net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57"/>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2"/>
                <w:szCs w:val="22"/>
                <w:color w:val="auto"/>
              </w:rPr>
            </w:pPr>
          </w:p>
        </w:tc>
      </w:tr>
      <w:tr>
        <w:trPr>
          <w:trHeight w:val="264"/>
        </w:trPr>
        <w:tc>
          <w:tcPr>
            <w:tcW w:w="5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2"/>
                <w:szCs w:val="22"/>
                <w:color w:val="auto"/>
              </w:rPr>
            </w:pPr>
          </w:p>
        </w:tc>
      </w:tr>
      <w:tr>
        <w:trPr>
          <w:trHeight w:val="257"/>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-539750</wp:posOffset>
            </wp:positionV>
            <wp:extent cx="4493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-882650</wp:posOffset>
            </wp:positionV>
            <wp:extent cx="4493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-1551305</wp:posOffset>
            </wp:positionV>
            <wp:extent cx="4493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9389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-1894840</wp:posOffset>
            </wp:positionV>
            <wp:extent cx="475107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76" w:lineRule="exact"/>
        <w:rPr>
          <w:sz w:val="20"/>
          <w:szCs w:val="20"/>
          <w:color w:val="auto"/>
        </w:rPr>
      </w:pPr>
    </w:p>
    <w:p>
      <w:pPr>
        <w:ind w:left="1400"/>
        <w:spacing w:after="0"/>
        <w:rPr>
          <w:sz w:val="20"/>
          <w:szCs w:val="20"/>
          <w:color w:val="auto"/>
        </w:rPr>
      </w:pPr>
      <w:r>
        <w:rPr>
          <w:rFonts w:ascii="Arial" w:cs="Arial" w:eastAsia="Arial" w:hAnsi="Arial"/>
          <w:sz w:val="16"/>
          <w:szCs w:val="16"/>
          <w:b w:val="1"/>
          <w:bCs w:val="1"/>
          <w:i w:val="1"/>
          <w:iCs w:val="1"/>
          <w:color w:val="auto"/>
        </w:rPr>
        <w:t>Year ended January 31, 2018 (“fiscal 2018”) compared to year ended January 31, 2017 (“fiscal 2017”)</w:t>
      </w:r>
    </w:p>
    <w:p>
      <w:pPr>
        <w:spacing w:after="0" w:line="127"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Net sales for fiscal 2018 increased to $2.81 billion from $2.39 billion in the prior year. Net sales of our segments are reported before intercompany eliminations.</w:t>
      </w:r>
    </w:p>
    <w:p>
      <w:pPr>
        <w:spacing w:after="0" w:line="6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Net sales of our wholesale operations segment increased to $2.45 billion from $2.01 billion in the comparable period last year. Net sales from our DKNY and Donna Karan product lines accounted for $250.2 million in fiscal 2018 compared to $16.6 million in fiscal 2017 when we operated the business for only two months. The increase in net sales of our wholesale operations segment was also a result of a $138.6 million increase in net sales of Tommy Hilfiger licensed products primarily from our denim, women’s sportswear and women’s outerwear product categories, which were recently launched, as well as an increase in net sales in the men’s outerwear and dresses categories. The increase in net sales was also driven by a $85.7 million increase in net sales of Calvin Klein licensed products, primarily from dresses and women’s performance wear, and a $34.2 million increase in net sales of Karl Lagerfeld Paris licensed products. These increases are offset, in part, by a $38.3 million decrease in net sales of private label products and a $15.7 million decrease in net sales of Jessica Simpson licensed products, for which the license agreement was terminated in June 2017.</w:t>
      </w:r>
    </w:p>
    <w:p>
      <w:pPr>
        <w:spacing w:after="0" w:line="65"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Net sales of our retail operations segment increased to $502.5 million from $474.2 million in the same period last year. Our retail operations report on a 52/53 week fiscal year. Net sales increased by $6.9 million as a result of fiscal 2018 containing 53 weeks compared to 52 weeks in fiscal 2017. The remainder of the increase in net sales was due to $69.9 million in net sales in fiscal 2018 from our DKNY retail stores compared to $12.3 million in net sales from these stores in fiscal 2017 when we only operated these stores for two months. These increases were offset, in part, by a decrease in net sales of $27.8 million from the G.H. Bass and $5.9 million from the Wilsons store chains. We operated 44 fewer stores as of January 31, 2018 compared to January 31, 2017. G.H. Bass same store sales decreased by 5.8% and Wilsons Leather same stores sales decrease by 1.7% compared to the prior year. The decrease in comparable store sales for G.H. Bass and Wilsons was impacted by declining customer traffic offset, in part, by increased transaction values.</w:t>
      </w:r>
    </w:p>
    <w:p>
      <w:pPr>
        <w:spacing w:after="0" w:line="61"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Gross profit was $1.05 billion, or 37.6% of net sales, for the fiscal year ended January 31, 2018, and $840.9 million, or 35.2% of net sales, last year. The gross profit in our wholesale operations segment was $804.3 million, or 32.8% of net sales, for the fiscal year ended January 31, 2018, and $633.6 million, or 31.3% of net sales, last year. The increase in gross profit percentage was in part the result of DKNY and Donna Karan licensing income for which there is no associated cost of goods sold. In addition, our wholesale segment’s gross profit was favorably impacted by improved gross profit as a result of increased gross margin percentage from our Calvin Klein dresses product line. Our retail operations segment gross</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profit percentage was 49.9% for the fiscal year ended January 31, 2018 compared to 43.6% for the same period last year. This increase in gross profit percentage of our retail operations segment is due to the increase in gross profit percentage of our G.H. Bass and Wilsons retail store chains as well as the addition of our DKNY retail stores, which had a higher gross profit percentage than our other retail stores. The increase in gross margin is also a result of a favorable weather during the outerwear season and less promotional activity than the same period in the prior year.</w:t>
      </w:r>
    </w:p>
    <w:p>
      <w:pPr>
        <w:spacing w:after="0" w:line="7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Selling, general and administrative expenses increased to $855.2 million in fiscal 2018 from $704.4 million in fiscal 2017. The increased expense related to our Donna Karan business represented $133.6 million of this increase. The remainder of the increase is primarily due to increased personnel costs ($16.7 million), facility costs ($13.3 million) and advertising costs ($4.8 million). Personnel costs increased due to an increase in bonus accruals related to higher profitability and an increase in stock-based compensation expense. We also incurred additional staffing costs for new product lines under our license agreements offset by a decrease in personnel costs in our retail operations segment resulting from the reduction in the number of our retail stores. Facility costs increased because of increased shipping, storage and processing costs incurred at our third party warehouses. Advertising costs increased due to higher advertising fees paid to our licensors in connection with the increase in net sales of our licensed products, and an increase in cooperative advertising related to the increase in net sales of our wholesale operations segment. These increases were offset, in part, by a decrease in professional fees ($7.4 million) related to fees incurred in fiscal 2017 in connection with the acquisition of DKI.</w:t>
      </w:r>
    </w:p>
    <w:p>
      <w:pPr>
        <w:spacing w:after="0" w:line="4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Depreciation and amortization increased to $37.8 million in fiscal 2018 from $32.5 million in the prior year. These expenses increased primarily because of additional depreciation and amortization expenses incurred as a result of the acquisition of DKI. These increases were offset, in part, by depreciation not incurred in fiscal 2018 relating to fixed assets impaired in the fourth quarter of fiscal 2017.</w:t>
      </w:r>
    </w:p>
    <w:p>
      <w:pPr>
        <w:spacing w:after="0" w:line="36"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In fiscal 2018, we recorded a $7.9 million impairment charge. This impairment charge included (i) a $6.5 million impairment charge related to leasehold improvements and furniture and fixtures at certain of our Wilsons, G.H. Bass and Vilebrequin stores as a result of the performance at these stores, (ii) a $738,000 impairment charge with respect to furniture and fixtures located in certain customers’ stores and (iii) a $716,000 write-off of goodwill related to the retail operations segment as a result of the performance of the retail operations segment. In fiscal 2017, we recorded a $10.5 million impairment charge with respect to leasehold improvements and furniture and fixtures at certain of our Wilsons and G.H. Bass stores as a result of poor performance in these stores.</w:t>
      </w:r>
    </w:p>
    <w:p>
      <w:pPr>
        <w:spacing w:after="0" w:line="7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Interest and financing charges, net for fiscal 2018, were $43.5 million compared to $15.7 million for the prior year. The increase in interest and financing charges is a result of the interest incurred with respect to the bank loans and the note issued to the seller in connection with the acquisition of DKI and the amortization of the capitalized debt issuance costs related to this debt. These costs were amortized over a full year in fiscal 2018 compared to two months in fiscal 2017.</w:t>
      </w:r>
    </w:p>
    <w:p>
      <w:pPr>
        <w:spacing w:after="0" w:line="6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Income tax expense for fiscal 2018 was $47.9 million compared to $25.8 million for the prior year. Our effective tax rate was 43.6% in fiscal 2018 compared to 33.2% in the prior year. This increase in our effective tax rate is mainly a result of the provisional charges relating to the enactment of the Tax Cuts and Jobs Act (“TCJA”) as further discussed below and a reduced tax benefit in fiscal 2018 of $1.4 million compared to a $3.1 million tax benefit realized in fiscal 2017 in connection with the vesting of equity awards subsequent to the adoption of ASU 2016-09.</w:t>
      </w:r>
    </w:p>
    <w:p>
      <w:pPr>
        <w:spacing w:after="0" w:line="5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On December 22, 2017, the U.S. government enacted a tax legislation commonly referred to as the TCJA. The TCJA significantly changes U.S. corporate income tax laws by, among other things, reducing the U.S. corporate income tax rate to 21% (effective January 1, 2018) and moving from a global taxation to a modified territorial tax regime. As part of the legislation, U.S. companies are required to pay a tax on historical foreign earnings that have not been repatriated to the U.S. and revalue its deferred tax asset and liability positions at the lower federal base tax rate of 21%. The Company incurred income tax expense of approximately $3.3 million as a result of the repatriation of foreign earnings and approximately $4.4 million related to revaluation of its deferred tax asset and liability positions for fiscal 2018.</w:t>
      </w:r>
    </w:p>
    <w:p>
      <w:pPr>
        <w:spacing w:after="0" w:line="152" w:lineRule="exact"/>
        <w:rPr>
          <w:sz w:val="20"/>
          <w:szCs w:val="20"/>
          <w:color w:val="auto"/>
        </w:rPr>
      </w:pPr>
    </w:p>
    <w:p>
      <w:pPr>
        <w:ind w:left="1400"/>
        <w:spacing w:after="0"/>
        <w:rPr>
          <w:sz w:val="20"/>
          <w:szCs w:val="20"/>
          <w:color w:val="auto"/>
        </w:rPr>
      </w:pPr>
      <w:r>
        <w:rPr>
          <w:rFonts w:ascii="Arial" w:cs="Arial" w:eastAsia="Arial" w:hAnsi="Arial"/>
          <w:sz w:val="16"/>
          <w:szCs w:val="16"/>
          <w:b w:val="1"/>
          <w:bCs w:val="1"/>
          <w:i w:val="1"/>
          <w:iCs w:val="1"/>
          <w:color w:val="auto"/>
        </w:rPr>
        <w:t>Year ended January 31, 2017 (“fiscal 2017”) compared to year ended January 31, 2016 (“fiscal 2016”)</w:t>
      </w:r>
    </w:p>
    <w:p>
      <w:pPr>
        <w:spacing w:after="0" w:line="86"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Net sales for fiscal 2017 increased to $2.39 billion from $2.34 billion in the prior year. Net sales of our segments are reported before intercompany eliminations.</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Net sales of our wholesale operations segment were $2.01 billion for fiscal 2017 compared to $1.95 billion last year. Our wholesale operations segment had $70.8 million of net sales of new Tommy Hilfiger licensed products, including dresses, denim, women’s performance wear, and women’s suits and sportswear product lines $35.0 million of net sales of new Karl Lagerfeld Paris licensed products, and $16.6 million of net sales of new DKNY and Donna Karan products. The increase in net sales of our wholesale operations division was also the result of a $43.7 million increase in net sales of Calvin Klein licensed products and a $17.9 million increase in net sales of Ivanka Trump licensed products. These increases were offset, in part, by a $41.8 million decrease in net sales of private label products, $27.5 million decrease in net sales of Kensie licensed products, a $17.2 million decrease in net sales of our Andrew Marc product lines, a $13.0 million decrease in net sales of Guess men’s and women’s licensed outerwear and a $12.9 million decrease in net sales of Kenneth Cole licensed outerwear.</w:t>
      </w:r>
    </w:p>
    <w:p>
      <w:pPr>
        <w:spacing w:after="0" w:line="61"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Net sales of our retail operations segment decreased to $474.2 million for fiscal 2017 from $514.0 million in the prior year primarily as the result of a decrease of 14.2% in Wilsons’ same store sales compared to the same period in the prior year and a decrease of 7.5% in G.H. Bass’ same store sales compared to the same period in the prior year. These decreases are mainly the result of reduced net sales in outerwear and cold weather products due to lower customer traffic at locations that are frequented by international tourists, a highly promotional outlet and retail environment throughout the year and unseasonably warm weather.</w:t>
      </w:r>
    </w:p>
    <w:p>
      <w:pPr>
        <w:spacing w:after="0" w:line="70"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Gross profit increased to $840.9 million for fiscal 2017 from $838.6 million for fiscal 2016, with a gross profit percentage of 35.2% in fiscal 2017 and 35.8% in fiscal 2016. The gross profit percentage in our wholesale operations segment was 31.4% in fiscal 2017 compared to 30.9% in the prior year. This increase was primarily the result of a more favorable product mix, as well as an increase in gross profit for the Calvin Klein, Eliza J, Jessica Howard and Ivanka Trump product lines. The gross profit percentage in our retail operations segment was 43.6% in fiscal 2017 compared to 46.1% in the prior year. The decrease in gross profit percentage was the result of offering deeper discounts in order to maintain acceptable inventory levels and increased promotional activity due to a decline in traffic.</w:t>
      </w:r>
    </w:p>
    <w:p>
      <w:pPr>
        <w:spacing w:after="0" w:line="8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Selling, general and administrative expenses increased to $704.4 million, or 29.5% of net sales, in fiscal 2017 from $628.8 million, or 26.8% of net sales, in the prior year. Since December 1, 2016, we incurred $23.8 million of selling, general and administrative expenses with respect to the acquired Donna Karan business. The remainder of the increase is primarily due to increased facility costs ($21.4 million), advertising costs ($15.3 million) and personnel costs ($5.5 million), as well as professional fees associated with the Donna Karan acquisition ($7.8 million). Facility costs increased as a result of increased shipping, storage and processing costs incurred at our third party warehouses. Advertising costs increased due to the increase in net sales of licensed products and cooperative advertising. We typically pay an advertising fee and are required to participate in customer cooperative advertising pursuant to many of our license agreements based on a percentage of net sales of licensed products. Additionally, advertising costs increased due to an increase in advertising purchased, an increase in promotional activities at retail stores and increased spending in e-commerce initiatives. Personnel costs increased as a result of staffing for new product lines under new license agreements, as well as an increase in headcount to staff additional retail stores that opened since last year. The increase in personnel costs was offset, in part, by reduced bonus expense compared to last year.</w:t>
      </w:r>
    </w:p>
    <w:p>
      <w:pPr>
        <w:spacing w:after="0" w:line="6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Depreciation and amortization increased to $32.5 million in fiscal 2017 from $25.4 million in the prior year. These expenses increased as a result of depreciation and amortization related to the increase in capital expenditures in previous years primarily related to fixturing costs at department stores, as well as remodeling, relocating and adding new Wilsons, G.H. Bass and Vilebrequin stores. We expect depreciation and amortization to increase by approximately $12.0 million in fiscal 2018 as a result of the acquisition of DKI.</w:t>
      </w:r>
    </w:p>
    <w:p>
      <w:pPr>
        <w:spacing w:after="0" w:line="5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fiscal 2017, we recorded a $10.5 million impairment charge with respect to leasehold improvements, furniture and fixtures at certain of our Wilsons and G.H. Bass stores as a result of poor performance in these stores.</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operating profit decreased by $91.0 million to $93.5 million in fiscal 2017 from $184.5 million in fiscal 2016 primarily as a result of the losses in our retail operations segment. Operating profit in our wholesale operations segment decreased by $32.6 million to $153.0 million in fiscal 2017 from</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$185.6 million as a result of the factors discussed above. This includes severance related costs of $3.9 million, professional expenses incurred in connection with the acquisition of DKI of $7.8 million and DKI’s wholesale operating loss of $5.5 million. Operating loss in our retail operations segment increased by $60.2 million to $61.3 million in fiscal 2017 from $1.2 million in fiscal 2016 as a result of the factors discussed above. This includes a $10.5 million impairment charge with respect to leasehold improvements and DKI’s retail operating loss of $7.7 million.</w:t>
      </w:r>
    </w:p>
    <w:p>
      <w:pPr>
        <w:spacing w:after="0" w:line="85"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Other income was $1.3 million in fiscal 2016 and primarily related to a gain with respect to the revised estimated contingent consideration payable in connection with the acquisition of Vilebrequin.</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Interest and financing charges, net for fiscal 2017, were $15.7 million compared to $6.7 million for the prior year. The increase in interest and financing charges is a result of the additional interest incurred with respect the bank loans and the note issued to the seller in connection with the acquisition of DKI, as well as the amortization of the capitalized debt issuance costs related to this debt.</w:t>
      </w:r>
    </w:p>
    <w:p>
      <w:pPr>
        <w:spacing w:after="0" w:line="7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Income tax expense for fiscal 2017 was $25.8 million compared to $64.8 million for the prior year. The decrease in income tax expense is primarily related to the lower pretax income in fiscal 2017. Our effective tax rate was 33.2% in fiscal 2017 compared to 36.2% in the prior year. This decrease in our effective tax rate is mainly a result of the $3.1 million tax benefit realized in fiscal 2017 in connection with the vesting of equity awards subsequent to the adoption of ASU 2016-09.</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Acquisition of Donna Karan International</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On December 1, 2016, G-III acquired all of the outstanding capital stock of DKI from LVMH for a total purchase price of approximately $674.4 million, after taking into account certain adjustments. The purchase price was paid by us with a combination of (i) cash, (ii) $75.0 million of newly issued shares of our common stock to LVMH and (iii) a junior lien secured promissory note in favor of LVMH in the principal amount of $125 million. The cash portion of the purchase price was paid from proceeds of the borrowings under the new financing agreements entered into in connection with the acquisition.</w:t>
      </w:r>
    </w:p>
    <w:p>
      <w:pPr>
        <w:spacing w:after="0" w:line="180"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10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On December 1, 2016, our subsidiaries, G-III Leather Fashions, Inc. (“G-III Leather”), Riviera Sun, Inc., CK Outerwear, LLC, Andrew &amp; Suzanne Company Inc., AM Retail Group, Inc., The Donna Karan Company Store LLC and The Donna Karan Company LLC (collectively, the “Borrowers”), entered into an amended and restated credit agreement (the “ABL Credit Agreement”) with the Lenders named therein and with JPMorgan Chase Bank, N.A., as Administrative Agent. The ABL Credit Agreement is a five-year senior secured credit facility providing for borrowings in the aggregate principal amount of up to $650 million. We and our subsidiaries, G-III Apparel Canada ULC, AM Apparel Holdings, Inc., Gabrielle Studio, Inc., Donna Karan International Inc. and Donna Karan Studio LLC (the “Guarantors”), are Loan Guarantors under the ABL Credit Agreement.</w:t>
      </w:r>
    </w:p>
    <w:p>
      <w:pPr>
        <w:spacing w:after="0" w:line="8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ABL Credit Agreement refinances, amends and restates the Credit Agreement, dated as of August 6, 2012 as amended, supplemented or otherwise modified from time to time prior to December 1, 2016,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$450 million and was due to expire in August 2017.</w:t>
      </w:r>
    </w:p>
    <w:p>
      <w:pPr>
        <w:spacing w:after="0" w:line="8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Amounts available under the ABL Credit Agreement are subject to borrowing base formulas and over advances as specified in the ABL Credit Agreement. Borrowings bear interest, at the Borrowers’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Borrowers’ availability under the ABL Credit Agreement. As of January 31, 2018, interest under the ABL Credit Agreement was being paid at the average rate of 2.33% per annum. The ABL Credit Agreement is secured by specified assets of the Borrowers and the Guarantors.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addition to paying interest on any outstanding borrowings under the new revolving credit facility, we are required to pay a commitment fee to the lenders under the ABL Credit Agreement with respect to the unutilized commitments. The commitment fee shall accrue at a rate equal to 0.25% per annum on the average daily amount of the available commitment.</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ABL Credit Agreement contains a number of covenants that, among other things, restrict the Company’s ability, subject to specified exceptions, to incur additional debt; incur liens; sell or dispose of assets; merge with other companies; liquidate or dissolve itself; acquire other companies; make loans, advances, or guarantees; and make certain investments. In certain circumstances, the credit agreement also requires G-III to maintain a minimum fixed charge coverage ratio, as defined, that may not exceed 1.00 to 1.00 for each period of twelve consecutive fiscal months of holdings. As of January 31, 2018, the Company was in compliance with these covenants.</w:t>
      </w:r>
    </w:p>
    <w:p>
      <w:pPr>
        <w:spacing w:after="0" w:line="8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On December 1, 2016, the Borrowers borrowed an aggregate of $40.0 million under the ABL Credit Agreement to pay off all outstanding amounts under the Prior Credit Agreement and to pay certain fees and expenses in connection with the ABL Credit Agreement. In addition, on December 1, 2016, an additional $230.0 million was borrowed under the ABL Credit Agreement to fund a portion of the purchase price with respect to the acquisition of DKI.</w:t>
      </w:r>
    </w:p>
    <w:p>
      <w:pPr>
        <w:spacing w:after="0" w:line="17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On December 1, 2016, we entered into a Credit Agreement with the lenders party thereto and Barclays Bank PLC, as administrative agent and collateral agent (the “Term Loan Credit Agreement”).</w:t>
      </w:r>
    </w:p>
    <w:p>
      <w:pPr>
        <w:spacing w:after="0" w:line="6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Term Loan Credit Agreement provides for term loans in an aggregate principal amount of $350.0 million (the “Term Loans”), which were drawn in full on December 1, 2016. We used the proceeds to fund a portion of the purchase price with respect to the acquisition of DKI, with the remainder being used for general corporate purposes. Also on December 1, 2016, we prepaid $50 million in principal amount of the Term Loans, reducing the principal balance of the Term Loans to $300 million. The Term Loans and other obligations under the Term Loan Credit Agreement are guaranteed by certain of the Company’s restricted subsidiaries (the “Guarantors”).</w:t>
      </w:r>
    </w:p>
    <w:p>
      <w:pPr>
        <w:spacing w:after="0" w:line="81"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 xml:space="preserve">The Term Loan Credit Agreement permits the Company to incur, from time to time, additional incremental term loans under the Term Loan Credit Agreement (subject to obtaining commitments for such term loans)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lien indebtedness, subject to an overall limit of (x) $125.0 million plus (y) such additional amount that would cause the Company’s first lien leverage ratio not to exceed 2.25 to 1.00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Any such incremental term loans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lien indebtedness are permitted to share in the Collateral described below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Term Loans.</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Maturity and Interest Rate</w:t>
      </w:r>
    </w:p>
    <w:p>
      <w:pPr>
        <w:spacing w:after="0" w:line="104"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The Term Loan will mature in December 2022. Interest on the outstanding principal amount of the Term Loan accrues at a rate equal to LIBOR, subject to 1% floor, plus an applicable margin of 5.25% or an alternate base rate (defined as the greatest of (i) the “prime rate” as published by the Wall Street Journal from time to time,</w:t>
      </w:r>
    </w:p>
    <w:p>
      <w:pPr>
        <w:jc w:val="both"/>
        <w:ind w:left="1260" w:right="739" w:firstLine="8"/>
        <w:spacing w:after="0" w:line="255" w:lineRule="auto"/>
        <w:tabs>
          <w:tab w:leader="none" w:pos="15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funds rate plus 0.5% and (iii) the LIBOR rate for a borrowing with an interest period of one month) plus 4.25%, per annum, payable in cash. As of January 31, 2018, interest under the Term Loan was being paid at the average rate of 6.55% per annum.</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Collateral</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Subject to certain permitted liens and other exclusions and exceptions, the Term Loans are secured (i) on a first-priority basis by a lien on, among other things, our real estate assets, equipment and fixtures, equity interests and intellectual property and certain related rights owned by us and the Guarantors (the “Term Priority Collateral”) and (ii) by a second-priority security interest in our and the Guarantors’ other assets (together with the Term Priority Collateral, the “Collateral”), which will secure on a first-priority basis our asset-based loan facility described above under the caption “— Amended and Restated Credit Agreement”.</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Optional Prepayment</w:t>
      </w:r>
    </w:p>
    <w:p>
      <w:pPr>
        <w:spacing w:after="0" w:line="104"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The Term Loans may be prepaid, at the option of the Company, in whole or in part, at any time at par plus accrued interest and, in the case of prepayments from the proceeds of certain refinancings prior to December 1, 2017, subject to a 1% prepayment fee. On December 1, 2016, we prepaid $50.0 million of the outstanding balance of the loan. We paid a fee of $0.5 million to the lenders in connection with this prepayment.</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Mandatory Prepayment</w:t>
      </w:r>
    </w:p>
    <w:p>
      <w:pPr>
        <w:spacing w:after="0" w:line="104"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The Term Loans are required to be prepaid with the proceeds of certain asset sales if such proceeds are not applied as required by the Term Loan Credit Agreement within certain specified deadlines.</w:t>
      </w:r>
    </w:p>
    <w:p>
      <w:pPr>
        <w:spacing w:after="0" w:line="3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Term Loans are also required to be prepaid in an amount equal to 75% of our Excess Cash Flow (as defined in the Term Loan Credit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 As of January 31, 2018, we were not required to make a prepayment based on excess cash flow.</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Change of Control</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occurrence of specified change of control events constitute an event of default under the Term Loan Credit Agreement.</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Certain Covenants</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January 31, 2018 the Company was in compliance with these covenants.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Term Loan Credit Agreement limits our and our restricted subsidiaries’ ability to:</w:t>
      </w:r>
    </w:p>
    <w:p>
      <w:pPr>
        <w:spacing w:after="0" w:line="198"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dividend payments or other restricted payments;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 assets (including securities of our restricted subsidiaries);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certain restrictions on dividends and transfers of assets by our restricted subsidiaries;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certain types of transactions with shareholders and affiliates;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our assets.</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These covenants are subject to exceptions and qualifications. The Term Loan Credit Agreement also contains affirmative covenants and events of default that are customary for credit agreements governing term loans.</w:t>
      </w:r>
    </w:p>
    <w:p>
      <w:pPr>
        <w:spacing w:after="0" w:line="16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LVMH Note</w:t>
      </w:r>
    </w:p>
    <w:p>
      <w:pPr>
        <w:spacing w:after="0" w:line="104"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On December 1, 2016, we issued to LVMH, as a portion of the consideration for the acquisition of DKI,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w:t>
      </w: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Based on an independent valuation, it was determined that the LVMH Note should be treated as having been issued at a discount of $40.0 million in accordance with ASC 820 — Fair Value Measurements. This discount is being amortized as interest expense using the effective interest method over the term of the LVMH Note.</w:t>
      </w:r>
    </w:p>
    <w:p>
      <w:pPr>
        <w:spacing w:after="0" w:line="39"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In connection with the issuance of the LVMH Note, LVMH entered into (i) a subordination agreement with Barclays Bank PLC, as administrative agent for the lenders party to the Term Loan Credit Agreement and collateral agent for the Senior Secured Parties thereunder and JPMorgan Chase Bank, N.A., as administrative agent for the lenders and other Senior Secured Parties under the ABL Credit Agreement, providing that our obligations under the LVMH Note are subordinate and junior to our obligations under the ABL Credit Agreement and Term Loan Credit Agreement, and (ii) a pledge and security agreement with us and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ABL Credit Agreement and Term Loan Credit Agreement.</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Outstanding Borrowings</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cash generated from operations and the sale of our common stock.</w:t>
      </w:r>
    </w:p>
    <w:p>
      <w:pPr>
        <w:spacing w:after="0" w:line="6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We incurred significant additional debt in connection with our acquisition of DKI. We had $12.0 million and $91.1 million in borrowings outstanding under the ABL Credit Agreement at January 31, 2018 and January 31, 2017, respectively, and $300.0 million in borrowings outstanding under the Term Loan Credit Agreement at both January 31, 2018 and 2017. At January 31, 2016, we had no borrowings outstanding under the Prior Credit Agreement. Our contingent liability under open letters of credit was approximately $6.4 million at January 31, 2018, $10.4 million at January 31, 2017 and $5.5 million at January 31, 2016. In addition to the amounts outstanding under these two loan agreements, at January 31, 2018 and 2017, we had $125 million of face value principal outstanding under the LVMH Note.</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Issuance of Shares of Common Stock</w:t>
      </w:r>
    </w:p>
    <w:p>
      <w:pPr>
        <w:spacing w:after="0" w:line="10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As part of the purchase price for the acquisition of DKI, we issued to LVMH 2,608,877 shares of our common stock. These shares were valued at $28.748 per share, which price per share is the volume weighted average price of our common stock on the Nasdaq Stock Market over the five consecutive trading days ending on November 30, 2016. The shares were issued pursuant to the exemption from registration provided under Regulation D and Section 4(a)(2) of the Securities Act, as a transaction with a single, sophisticated investor not involving a public offering. We entered into a registration rights agreement with LVMH in which we granted piggyback registration rights to LVMH with respect to these shares for two years from December 1, 2016.</w:t>
      </w:r>
    </w:p>
    <w:p>
      <w:pPr>
        <w:spacing w:after="0" w:line="154"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Investment in Fabco Holding B.V.</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August 2017, we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We own 49% of the joint venture, with Amlon owning the remaining 51%. The joint venture will be funded with $25 million of equity to be used to strengthen the DKNY and Donna Karan brands and accelerate the growth of the business in the region. Of this amount, we are required to contribute an aggregate of $10.0 million to the joint venture by August 2018. We funded $49,000 of this amount upon the signing of the joint venture agreement. Starting January 1, 2018, this joint venture is the exclusive seller of women’s and men’s apparel, handbags, luggage and certain accessories under the DKNY and Donna Karan brands in the territory. The investment in Fabco, which is being accounted for under the equity method of accounting, is reflected in Investment in Unconsolidated Affiliates on the Consolidated Balance Sheets at January 31, 2018.</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Investment in Karl Lagerfeld Holding B.V.</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In February 2016, we acquired a 19% minority interest in KLH, the parent company of the group that holds the worldwide rights to the Karl Lagerfeld brand. We paid 32.5€ million (equal to $35.4 million at the date of the transaction) for this interest. This investment is intended to expand the partnership between us and the owners of Karl Lagerfeld and extend their business development opportunities on a global scale. The investment in KLH, which is being accounted for under the equity method of accounting, is reflected in Investment in Unconsolidated Affiliates in our Consolidated Balance Sheets at January 31, 2018.</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Investment in KL North America</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June 2015, we entered into a joint venture agreement with Karl Lagerfeld Group BV (“KLBV”). We paid KLBV $25.0 million for a 49% ownership interest in KLNA. KLNA holds brand rights to all Karl Lagerfeld trademarks, including the Karl Lagerfeld Paris brand we currently use, for all consumer products (except eyewear, fragrance, cosmetics, watches, jewelry and hospitality services) and apparel in the United States, Canada and Mexico. The investment in KLNA, which is being accounted for under the equity method of accounting, is reflected in Investment in Unconsolidated Affiliates in our Consolidated Balance Sheets at January 31, 2018.</w:t>
      </w:r>
    </w:p>
    <w:p>
      <w:pPr>
        <w:spacing w:after="0" w:line="1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April 2, 2018, we have approximately 49,145,809 shares of common stock outstanding.</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At January 31, 2018, we had cash and cash equivalents of $45.8 million. We generated $79.7 million of cash from operating activities in fiscal 2018, primarily as a result of our net income of $62.1 million, an increase in account payables and accrued expenses of $10.7 million, a decrease in prepaid income taxes, net, of $11.3 million and a decrease in other assets of $11.0 million, as well as non-cash charges totaling $87.3 million related to depreciation and amortization, equity based compensation, amortization of financing costs and impairment of assets. These amounts were offset, in part, by an increase of $68.8 million in inventory and $29.9 million in accounts receivable.</w:t>
      </w:r>
    </w:p>
    <w:p>
      <w:pPr>
        <w:spacing w:after="0" w:line="8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increase in inventory is due to the expected increase in net sales in the first quarter of fiscal 2019 compared to the first quarter of fiscal 2018. The increase in accounts receivables is due to the increased net sales in the fourth quarter of fiscal 2018 compared to the same period last year. The decrease in prepaid income taxes, net is mainly the result of the timing of our tax payments compared to the same period in the prior year. The decrease in other assets was mainly driven by the adjustments made to goodwill. The increase in accounts payable and accrued expenses was the result of increased finished goods purchases to accommodate our increase in net sales.</w:t>
      </w:r>
    </w:p>
    <w:p>
      <w:pPr>
        <w:spacing w:after="0" w:line="8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At January 31, 2017, we had cash and cash equivalents of $80.0 million. We generated $105.7 million of cash from operating activities in fiscal 2017, primarily as a result of our net income of $51.9 million, non-cash charges of $32.5 million for depreciation and amortization and $16.9 million for equity based compensation, as well as a decrease in prepaid income taxes, net of $14.2 million. These amounts were offset, in part, by an increase of $29.3 million in accounts receivable.</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increase in accounts receivables is due to additional receivables acquired in connection with the acquisition of DKI and the increase in the fourth quarter net sales compared to the same period last year. The decrease in prepaid income taxes, net is mainly the result of the timing of our tax payments compared to the same period in the prior year.</w:t>
      </w:r>
    </w:p>
    <w:p>
      <w:pPr>
        <w:spacing w:after="0" w:line="7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In connection with the purchase agreement, G-III and LVMH agreed to make an election under Section 338(h)(10) of the Internal Revenue Code, which would allow us to step up the basis in the assets acquired. We had initially estimated that the benefit from this election would be in excess of $10 million</w:t>
      </w:r>
    </w:p>
    <w:p>
      <w:pPr>
        <w:sectPr>
          <w:pgSz w:w="11900" w:h="16838" w:orient="portrait"/>
          <w:cols w:equalWidth="0" w:num="1">
            <w:col w:w="10219"/>
          </w:cols>
          <w:pgMar w:left="240" w:top="132" w:right="1440" w:bottom="1440" w:gutter="0" w:footer="0" w:header="0"/>
        </w:sect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annually. This benefit will be realized over a fifteen-year period if the we have taxable income in the United States in an amount greater than $40 million per year. However, with the enactment of the TCJA, our estimated benefit is approximately $6 million annually reflecting the change to our federal tax rate.</w:t>
      </w:r>
    </w:p>
    <w:p>
      <w:pPr>
        <w:spacing w:after="0" w:line="57"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At January 31, 2016, we had cash and cash equivalents of $132.6 million. We generated $74.3 million of cash from operating activities in fiscal 2016, primarily as a result of our net income of $114.3 million, non-cash charges of $25.4 million for depreciation and amortization, $15.6 million for equity based compensation, and an increase in accounts payable of $14.8 million, offset, in part, by an increase of $59.9 million in inventories, an increase of $23.6 million in accounts receivable and an increase in income taxes payable of $16.9 million.</w:t>
      </w:r>
    </w:p>
    <w:p>
      <w:pPr>
        <w:spacing w:after="0" w:line="5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increase in inventory is primarily a result of increased outerwear inventory due to unseasonably warm weather during the fall and winter seasons, as well as a challenging retail environment in the last quarter of fiscal 2016 that negatively impacted our sell through at the retail level. The increase in inventory compared to the prior year is also due, to a lesser extent, to the additional inventory from our new lines of Karl Lagerfeld Paris products and Tommy Hilfiger dresses. The increase in accounts receivables is due to a shift in the timing of our January shipments, as we shipped larger volumes of merchandise later in the month than in the same period in the prior year.</w:t>
      </w:r>
    </w:p>
    <w:p>
      <w:pPr>
        <w:spacing w:after="0" w:line="1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Cash from Investing Activities</w:t>
      </w:r>
    </w:p>
    <w:p>
      <w:pPr>
        <w:spacing w:after="0" w:line="104"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In fiscal 2018, we used $33.9 million of cash in investing activities. The cash used in investing activities consisted of capital expenditures related to additional fixturing costs at department stores, as well as renovating, repurposing and relocating G.H. Bass and Wilsons Leather stores to Karl Lagerfeld Paris and DKNY stores.</w:t>
      </w:r>
    </w:p>
    <w:p>
      <w:pPr>
        <w:spacing w:after="0" w:line="3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fiscal 2017, we used $525.8 million in investing activities of which $465.4 million was in connection with the acquisition of DKI. We also used $24.9 million for capital expenditures, primarily related to fixturing costs at department stores, and $35.4 million for the investment in KLH.</w:t>
      </w:r>
    </w:p>
    <w:p>
      <w:pPr>
        <w:spacing w:after="0" w:line="73"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In fiscal 2016, we used $67.7 million of cash in investing activities of which $42.2 million was for capital expenditures, primarily related to fixturing costs at department stores, as well as for remodeling, relocating and adding new Wilsons, G.H. Bass and Vilebrequin stores. The remainder of the cash used in investing activities of $25.5 million related to the investment in KLNA.</w:t>
      </w:r>
    </w:p>
    <w:p>
      <w:pPr>
        <w:spacing w:after="0" w:line="17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fiscal 2018, we used $83.7 million of cash in financing activities primarily for the reduction in net borrowings under our credit agreement.</w:t>
      </w:r>
    </w:p>
    <w:p>
      <w:pPr>
        <w:spacing w:after="0" w:line="62"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Cash from financing activities provided $367.6 million in fiscal 2017, primarily from additional borrowings to finance the DKI acquisition.</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Cash from financing activities provided $0.5 million in fiscal 2016, primarily as a result of net proceeds from the exercise of stock options.</w:t>
      </w:r>
    </w:p>
    <w:p>
      <w:pPr>
        <w:spacing w:after="0" w:line="1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Financing Needs</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7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purpose of ASU 2017-04 is to simplify the subsequent measurement of goodwill by removing the second step of the two-step impairment test. The amendment</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3" w:lineRule="auto"/>
        <w:rPr>
          <w:sz w:val="20"/>
          <w:szCs w:val="20"/>
          <w:color w:val="auto"/>
        </w:rPr>
      </w:pPr>
      <w:r>
        <w:rPr>
          <w:rFonts w:ascii="Arial" w:cs="Arial" w:eastAsia="Arial" w:hAnsi="Arial"/>
          <w:sz w:val="17"/>
          <w:szCs w:val="17"/>
          <w:color w:val="auto"/>
        </w:rPr>
        <w:t>should be applied on a prospective basis. ASU 2017-04 is effective for fiscal years beginning after December 15, 2019, including interim periods within that year. Early adoption is permitted for interim or annual goodwill impairment tests performed on testing dates after January 1, 2017. We adopted the provisions of ASU 2017-04 during the fourth quarter of fiscal 2018. As a result of this early adoption, we used a one-step approach to measure goodwill as of January 31, 2018 and recorded a $716,000 goodwill impairment charge related to the retail operations segment as a result of the retail operations segment performance.</w:t>
      </w:r>
    </w:p>
    <w:p>
      <w:pPr>
        <w:spacing w:after="0" w:line="7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July 2015, the FASB issued ASU 2015-11, “Simplifying the Measurement of Inventory (Topic 330)”,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The Company adopted the provisions of ASU 2015-11 during the first quarter of fiscal 2018. The adoption of ASU 2015-11 did not have a material impact on our consolidated financial statements.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Accounting Guidance Issued Being Evaluated for Adoption</w:t>
      </w:r>
    </w:p>
    <w:p>
      <w:pPr>
        <w:spacing w:after="0" w:line="104"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In February 2018, the Financial Accounting Standard Board (“FASB”) issued Accounting Standards Update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in the TCJA (or portion thereof) is recorded. The amendments of ASU 2018-12 are effective for all entities for fiscal years beginning after December 15, 2018, and interim periods within those fiscal years. Early adoption of ASU 2018-02 is permitted, including adoption in any interim period for public business entities for reporting periods for which financial statements have not yet been issued. The amendments of ASU 2018-12 should be applied either in the period of adoption or retrospectively to each period (or periods) in which the effect of the change in the U.S. federal corporate income tax rate in the Tax Cuts and Jobs Act is recognized. We are currently assessing the impact that adopting ASU 2018-02 will have on our financial statements and footnote disclosures.</w:t>
      </w:r>
    </w:p>
    <w:p>
      <w:pPr>
        <w:spacing w:after="0" w:line="61"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ASU 2017-09 provides clarification on when modification accounting should be used for changes to the terms or conditions of a share-based payment award. ASU 2017-09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2017-09 are effective for reporting periods beginning after December 15, 2017. The adoption of ASU 2017-09 is not expected to have an impact on our consolidated financial statements.</w:t>
      </w:r>
    </w:p>
    <w:p>
      <w:pPr>
        <w:spacing w:after="0" w:line="71"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The purpose of ASU 2017-01 is to clarify the definition of a business to assist entities with evaluating whether transactions should be accounted for as acquisitions (or disposals) of assets or businesses. ASU 2017-01 is effective for fiscal years beginning after December 15, 2017, including interim periods within that year. The amendments in ASU 2017-01 should be applied prospectively on or after the effective date. We do not expect ASU 2017-01 to have an impact on our consolidated financial statements.</w:t>
      </w:r>
    </w:p>
    <w:p>
      <w:pPr>
        <w:spacing w:after="0" w:line="7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In October 2016, the FASB issued ASU 2016-16, “Income Taxes (Topic 740): Intra-Entity Transfers of Assets Other Than Inventory.”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9" w:lineRule="auto"/>
        <w:rPr>
          <w:sz w:val="20"/>
          <w:szCs w:val="20"/>
          <w:color w:val="auto"/>
        </w:rPr>
      </w:pPr>
      <w:r>
        <w:rPr>
          <w:rFonts w:ascii="Arial" w:cs="Arial" w:eastAsia="Arial" w:hAnsi="Arial"/>
          <w:sz w:val="17"/>
          <w:szCs w:val="17"/>
          <w:color w:val="auto"/>
        </w:rPr>
        <w:t>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We do not expect ASU 2016-16 to have a material impact on our consolidated financial statements.</w:t>
      </w:r>
    </w:p>
    <w:p>
      <w:pPr>
        <w:spacing w:after="0" w:line="63"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which clarifies guidance with respect to the classification of eight specific cash flow issues. ASU 2016-15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2016-15 is effective for public business entities for fiscal years beginning after December 15, 2017, including interim periods within those fiscal years. Under the provision, entities must apply the guidance retrospectively to all periods presented but may apply it prospectively if retrospective application would be impracticable. We do not believe that adoption of ASU 2016-15 will have a material effect on our consolidated financial statements.</w:t>
      </w:r>
    </w:p>
    <w:p>
      <w:pPr>
        <w:spacing w:after="0" w:line="61"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In February 2016, the FASB issued ASU 2016-02, “Leases (Topic 842).” The primary difference between the current requirement under GAAP and ASU 2016-02 is the recognition of lease assets and lease liabilities by lessees for those leases classified as operating leases. The FASB has continued to clarify this guidance and most recently issued ASU 2017-13, “Amendments to SEC Paragraphs Pursuant to the Staff Announcement at the July 20, 2017 EITF Meeting and Rescission of Prior SEC Staff Announcements and Observer Comments.”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2016-02 may be adopted using a modified retrospective transition, and provides for certain practical expedients. Transactions will require application of the new guidance at the beginning of the earliest comparative period presented. The guidance is effective for public entities for fiscal years beginning after December 15, 2018, and interim periods within those fiscal years. Early adoption is permitted. We are currently assessing the potential impact of ASU 2016-02 on our consolidated financial statements. Given our significant number of leases, we expect this standard will result in a significant increase to our long-term assets and liabilities but do not expect it to have a material impact on our statements of operations. We are required to adopt the new standard in the first quarter of fiscal 2020 and do not expect to early adopt this new standard.</w:t>
      </w:r>
    </w:p>
    <w:p>
      <w:pPr>
        <w:spacing w:after="0" w:line="74"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In January 2016, the FASB issued ASU 2016-01, “Financial Instruments — Overall (Subtopic 825-10):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 (iii) changes presentation and disclosure requirements and (iv) clarifies that an entity should evaluate the need for a valuation allowance on a deferred tax asset related to available-for-sale securities in combination with the entity’s other deferred tax assets. ASU 2016-01 is effective for fiscal years beginning after December 15, 2017, including interim periods within those fiscal years. We do not expect that the adoption of this ASU 2016-01 will have a material impact on our statement of operations.</w:t>
      </w:r>
    </w:p>
    <w:p>
      <w:pPr>
        <w:spacing w:after="0" w:line="59"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In May 2014, the FASB issued ASU 2014-09, “Revenue from Contracts with Customers (Topic 606).” This update will replace the existing revenue recognition guidance in GAAP and requires an entity to recognize the amount of revenue to which it expects to be entitled for the transfer of promised goods or services to customers. The FASB has continued to clarify this guidance and has issued ASU 2017-13,</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4" w:lineRule="auto"/>
        <w:rPr>
          <w:sz w:val="20"/>
          <w:szCs w:val="20"/>
          <w:color w:val="auto"/>
        </w:rPr>
      </w:pPr>
      <w:r>
        <w:rPr>
          <w:rFonts w:ascii="Arial" w:cs="Arial" w:eastAsia="Arial" w:hAnsi="Arial"/>
          <w:sz w:val="16"/>
          <w:szCs w:val="16"/>
          <w:color w:val="auto"/>
        </w:rPr>
        <w:t>“Amendments to SEC Paragraphs Pursuant to the Staff Announcement at the July 20, 2017 EITF Meeting and Rescission of Prior SEC Staff Announcements and Observer Comments”; ASU 2016-08, “Principal versus Agent Considerations (Reporting Revenue Gross versus Net)”; ASU 2016-10, “Identifying Performance Obligations and Licensing”; ASU 2016-12, “Narrow-Scope Improvements and Practical Expedients”; and ASU 2016-20, “Technical Corrections and Improvements to Topic 606, Revenue from Contracts with Customers.” The amendments to ASU 2014-09 are intended to render more detailed implementation guidance with the expectation of reducing the degree of judgment necessary to comply with Topic 606. These new standards have the same effective date as ASU 2014-09 and will be effective for public entities for fiscal years beginning after December 15, 2017, and interim periods within those fiscal years.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We have adopted the pronouncement using a modified retrospective approach. We performed an analysis of our current revenue streams worldwide and identified potential changes that will result from the adoption of the new guidance. We are currently implementing changes to our accounting processes and controls to support the new revenue recognition and disclosure requirements. The adoption of Topic 606 will primarily affect our wholesale operations segment in the timing of recognition of certain adjustments that were recorded in net sales. For example, we previously recorded markdowns and certain customer allowances when the liability was known or incurred. Under the new guidance, we will have to estimate a liability for future anticipated markdowns and allowances related to all shipments that have taken place. We will have reclassifications of certain operating expenses that are considered customer assistance, such as cooperative advertising, which aggregated approximately $28.2 million in fiscal 2018 and were recorded in selling, general and administrative expenses, which will be recorded as an offset to net sales under the new guidance. The retail operations segment will not be materially impacted by the new guidance, as our retail stores do not currently offer significant loyalty programs to customers. Under the new standard, the transition adjustment as of February 1, 2018 to retained earnings is estimated to be between approximately $39 million and $45 million. This estimate may change as we finalize the adoption of the new guidance.</w:t>
      </w: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 Balance Sheet Arrangements</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We do not have any “off-balance sheet arrangements” as such term is defined in Item 303 of Regulation S-K of the SEC rules.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Tabular Disclosure of 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January 31, 2018, our contractual obligations were as follows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Payments Due By Period</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r>
      <w:tr>
        <w:trPr>
          <w:trHeight w:val="173"/>
        </w:trPr>
        <w:tc>
          <w:tcPr>
            <w:tcW w:w="1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Less than</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More than</w:t>
            </w:r>
          </w:p>
        </w:tc>
      </w:tr>
      <w:tr>
        <w:trPr>
          <w:trHeight w:val="186"/>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6"/>
                <w:szCs w:val="16"/>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1-3 Years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5 Years</w:t>
            </w:r>
          </w:p>
        </w:tc>
      </w:tr>
      <w:tr>
        <w:trPr>
          <w:trHeight w:val="26"/>
        </w:trPr>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4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$162.1</w:t>
            </w:r>
          </w:p>
        </w:tc>
        <w:tc>
          <w:tcPr>
            <w:tcW w:w="26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$121.9</w:t>
            </w:r>
          </w:p>
        </w:tc>
        <w:tc>
          <w:tcPr>
            <w:tcW w:w="2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$ 105.2</w:t>
            </w:r>
          </w:p>
        </w:tc>
      </w:tr>
      <w:tr>
        <w:trPr>
          <w:trHeight w:val="270"/>
        </w:trPr>
        <w:tc>
          <w:tcPr>
            <w:tcW w:w="4240" w:type="dxa"/>
            <w:vAlign w:val="bottom"/>
            <w:gridSpan w:val="3"/>
          </w:tcPr>
          <w:p>
            <w:pPr>
              <w:spacing w:after="0" w:line="270" w:lineRule="exact"/>
              <w:rPr>
                <w:sz w:val="20"/>
                <w:szCs w:val="20"/>
                <w:color w:val="auto"/>
              </w:rPr>
            </w:pPr>
            <w:r>
              <w:rPr>
                <w:rFonts w:ascii="Arial" w:cs="Arial" w:eastAsia="Arial" w:hAnsi="Arial"/>
                <w:sz w:val="18"/>
                <w:szCs w:val="18"/>
                <w:color w:val="auto"/>
              </w:rPr>
              <w:t>Minimum royalty payments</w:t>
            </w:r>
            <w:r>
              <w:rPr>
                <w:rFonts w:ascii="Arial" w:cs="Arial" w:eastAsia="Arial" w:hAnsi="Arial"/>
                <w:sz w:val="27"/>
                <w:szCs w:val="27"/>
                <w:color w:val="auto"/>
                <w:vertAlign w:val="superscript"/>
              </w:rPr>
              <w:t>(1)</w:t>
            </w:r>
          </w:p>
        </w:tc>
        <w:tc>
          <w:tcPr>
            <w:tcW w:w="10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148.3</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188.7</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23"/>
                <w:szCs w:val="23"/>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72.5</w:t>
            </w:r>
          </w:p>
        </w:tc>
      </w:tr>
      <w:tr>
        <w:trPr>
          <w:trHeight w:val="270"/>
        </w:trPr>
        <w:tc>
          <w:tcPr>
            <w:tcW w:w="4240" w:type="dxa"/>
            <w:vAlign w:val="bottom"/>
            <w:tcBorders>
              <w:right w:val="single" w:sz="8" w:color="CCEEFF"/>
            </w:tcBorders>
            <w:gridSpan w:val="3"/>
            <w:shd w:val="clear" w:color="auto" w:fill="CCEEFF"/>
          </w:tcPr>
          <w:p>
            <w:pPr>
              <w:spacing w:after="0" w:line="270"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437.0</w:t>
            </w:r>
          </w:p>
        </w:tc>
        <w:tc>
          <w:tcPr>
            <w:tcW w:w="120" w:type="dxa"/>
            <w:vAlign w:val="bottom"/>
            <w:shd w:val="clear" w:color="auto" w:fill="CCEEFF"/>
          </w:tcPr>
          <w:p>
            <w:pPr>
              <w:spacing w:after="0"/>
              <w:rPr>
                <w:sz w:val="23"/>
                <w:szCs w:val="23"/>
                <w:color w:val="auto"/>
              </w:rPr>
            </w:pP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84"/>
        </w:trPr>
        <w:tc>
          <w:tcPr>
            <w:tcW w:w="4240" w:type="dxa"/>
            <w:vAlign w:val="bottom"/>
            <w:gridSpan w:val="3"/>
          </w:tcPr>
          <w:p>
            <w:pPr>
              <w:spacing w:after="0" w:line="284"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7"/>
                <w:szCs w:val="27"/>
                <w:color w:val="auto"/>
                <w:vertAlign w:val="superscript"/>
              </w:rPr>
              <w:t>(3)</w:t>
            </w: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4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1,489.8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248.9</w:t>
            </w:r>
          </w:p>
        </w:tc>
        <w:tc>
          <w:tcPr>
            <w:tcW w:w="26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350.8</w:t>
            </w:r>
          </w:p>
        </w:tc>
        <w:tc>
          <w:tcPr>
            <w:tcW w:w="26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712.4</w:t>
            </w:r>
          </w:p>
        </w:tc>
        <w:tc>
          <w:tcPr>
            <w:tcW w:w="2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$ 177.7</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-376555</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-376555</wp:posOffset>
            </wp:positionV>
            <wp:extent cx="205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-376555</wp:posOffset>
            </wp:positionV>
            <wp:extent cx="1885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37903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90315"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-1071245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-1071245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-1071245</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-1071245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-1071245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620" w:right="759" w:hanging="352"/>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obligations to pay minimum scheduled royalty, advertising and other required payments under various license agreements.</w:t>
      </w:r>
    </w:p>
    <w:p>
      <w:pPr>
        <w:spacing w:after="0" w:line="129"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$12.0 million outstanding under our credit facility with an expiration in December 2021, $300.0 million related to our Term Loan that will mature in 2022 and $125.0 million related to the note issued to LVMH payable in 2023.</w:t>
      </w:r>
    </w:p>
    <w:p>
      <w:pPr>
        <w:spacing w:after="0" w:line="154"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outstanding trade letters of credit, which represent inventory purchase commitments, which typically mature in less than six months.</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 Exchange Rate Risks and Commodity Price Risk</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spacing w:after="0" w:line="63"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sales from the non-US operations of Vilebrequin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 DKI has operations in the Euro zone and, as such, sells product and records receivables denominated in Euro.</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 Rate Exposure</w:t>
      </w:r>
    </w:p>
    <w:p>
      <w:pPr>
        <w:spacing w:after="0" w:line="108"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are subject to market risk from exposure to changes in interest rates relating to our Term Loan and our revolving credit facility. We borrow under our revolving credit facility to support general corporate purposes, including capital expenditures and working capital needs. Interest rates increased in fiscal 2018 and we anticipate that increases in interest rates by the Federal Reserve in fiscal 2019 will result in a further increase in our interest expense under our Term Loan and revolving credit facility. Based on the outstanding balances of our Term Loan and our revolving credit facility as of January 31, 2018, we estimate that each 100 basis point increase in our borrowing rates would result in additional interest expense to us of approximately $3.1 million.</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Financial statements and supplementary data required pursuant to this Item begin on page F-1 of this Report.</w:t>
      </w:r>
    </w:p>
    <w:p>
      <w:pPr>
        <w:spacing w:after="0" w:line="244" w:lineRule="exact"/>
        <w:rPr>
          <w:sz w:val="20"/>
          <w:szCs w:val="20"/>
          <w:color w:val="auto"/>
        </w:rPr>
      </w:pPr>
    </w:p>
    <w:p>
      <w:pPr>
        <w:ind w:left="2160" w:right="1099" w:hanging="899"/>
        <w:spacing w:after="0" w:line="246" w:lineRule="auto"/>
        <w:tabs>
          <w:tab w:leader="none" w:pos="2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i w:val="1"/>
          <w:iCs w:val="1"/>
          <w:color w:val="auto"/>
        </w:rPr>
        <w:t>CHANGES IN AND DISAGREEMENTS WITH ACCOUNTANTS ON ACCOUNTING AND FINANCIAL DISCLOSURE.</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As of January 31, 2018, our management, including the Chief Executive Officer and Chief Financial Officer, carried out an evaluation of the effectiveness of the design and operation of our disclosure controls and procedures (as such term is defined in Rule 13a-15(e)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6" w:lineRule="auto"/>
        <w:rPr>
          <w:sz w:val="20"/>
          <w:szCs w:val="20"/>
          <w:color w:val="auto"/>
        </w:rPr>
      </w:pPr>
      <w:r>
        <w:rPr>
          <w:rFonts w:ascii="Arial" w:cs="Arial" w:eastAsia="Arial" w:hAnsi="Arial"/>
          <w:sz w:val="17"/>
          <w:szCs w:val="17"/>
          <w:color w:val="auto"/>
        </w:rPr>
        <w:t xml:space="preserve">assessment, including testing, using the criteria on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issued by the Committee of Sponsoring Organizations of the Treadway 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spacing w:after="0" w:line="6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 xml:space="preserve">Based on its assessment, management has concluded that we maintained effective internal control over financial reporting as of January 31, 2018, based on criteria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COSO.</w:t>
      </w:r>
    </w:p>
    <w:p>
      <w:pPr>
        <w:spacing w:after="0" w:line="73" w:lineRule="exact"/>
        <w:rPr>
          <w:sz w:val="20"/>
          <w:szCs w:val="20"/>
          <w:color w:val="auto"/>
        </w:rPr>
      </w:pPr>
    </w:p>
    <w:p>
      <w:pPr>
        <w:jc w:val="both"/>
        <w:ind w:left="1260" w:right="739"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Our independent auditors, Ernst &amp; Young LLP, a registered public accounting firm, have audited and reported on our consolidated financial statements and the effectiveness of our internal control over financial reporting. The reports of our independent auditors appear on pages </w:t>
      </w:r>
      <w:hyperlink w:anchor="page73">
        <w:r>
          <w:rPr>
            <w:rFonts w:ascii="Arial" w:cs="Arial" w:eastAsia="Arial" w:hAnsi="Arial"/>
            <w:sz w:val="18"/>
            <w:szCs w:val="18"/>
            <w:u w:val="single" w:color="auto"/>
            <w:color w:val="0000EE"/>
          </w:rPr>
          <w:t>F-2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74">
        <w:r>
          <w:rPr>
            <w:rFonts w:ascii="Arial" w:cs="Arial" w:eastAsia="Arial" w:hAnsi="Arial"/>
            <w:sz w:val="18"/>
            <w:szCs w:val="18"/>
            <w:u w:val="single" w:color="auto"/>
            <w:color w:val="0000EE"/>
          </w:rPr>
          <w:t>F-3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 and express unqualified opinions on the consolidated financial statements and the effectiveness of our internal control over financial reporting.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“Investor Relations.” Any amendments to, or waivers from, a provision of our Code of Ethics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spacing w:after="0" w:line="7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information required by Item 401 of Regulation S-K regarding directors is contained under the heading “Proposal No. 1 — Election of Directors” in our definitive Proxy Statement (the “Proxy Statement”) relating to our Annual Meeting of Stockholders to be held on or about June 14, 2018, to be filed pursuant to Regulation 14A of the Securities Exchange Act of 1934 with the Securities and Exchange Commission, and is incorporated herein by reference. For information concerning our executive officers, see “Business — Executive Officers of the Registrant” in Item 1 in this Form 10-K.</w:t>
      </w:r>
    </w:p>
    <w:p>
      <w:pPr>
        <w:spacing w:after="0" w:line="85"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information required by Item 405 of Regulation S-K is contained under the heading “Section 16(a) Beneficial Ownership Reporting Compliance” in our Proxy Statement and is incorporated herein by reference. The information required by Items 407(c)(3), (d)(4), and (d)(5) of Regulation S-K is contained under the heading “Corporate Governance” in our Proxy Statement and is incorporated herein by reference.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8"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The information required by this Item 11 is contained under the headings “Executive Compensation” and “Compensation Committee Report” in our Proxy Statement and is incorporated herein by reference.</w:t>
      </w:r>
    </w:p>
    <w:p>
      <w:pPr>
        <w:spacing w:after="0" w:line="129" w:lineRule="exact"/>
        <w:rPr>
          <w:sz w:val="20"/>
          <w:szCs w:val="20"/>
          <w:color w:val="auto"/>
        </w:rPr>
      </w:pPr>
    </w:p>
    <w:p>
      <w:pPr>
        <w:ind w:left="2220" w:right="799" w:hanging="941"/>
        <w:spacing w:after="0" w:line="25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RELATED STOCKHOLDER MATTERS.</w:t>
      </w:r>
    </w:p>
    <w:p>
      <w:pPr>
        <w:spacing w:after="0" w:line="71"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The following table provides information as of January 31, 2018, the last day of fiscal 2018, regarding securities issued under G-III’s equity compensation plans that were in effect during fiscal 2018.</w:t>
      </w:r>
    </w:p>
    <w:p>
      <w:pPr>
        <w:spacing w:after="0" w:line="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Number of Securities</w:t>
            </w:r>
          </w:p>
        </w:tc>
      </w:tr>
      <w:tr>
        <w:trPr>
          <w:trHeight w:val="162"/>
        </w:trPr>
        <w:tc>
          <w:tcPr>
            <w:tcW w:w="2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100" w:type="dxa"/>
            <w:vAlign w:val="bottom"/>
          </w:tcPr>
          <w:p>
            <w:pPr>
              <w:spacing w:after="0"/>
              <w:rPr>
                <w:sz w:val="14"/>
                <w:szCs w:val="14"/>
                <w:color w:val="auto"/>
              </w:rPr>
            </w:pPr>
          </w:p>
        </w:tc>
        <w:tc>
          <w:tcPr>
            <w:tcW w:w="2820" w:type="dxa"/>
            <w:vAlign w:val="bottom"/>
          </w:tcPr>
          <w:p>
            <w:pPr>
              <w:jc w:val="center"/>
              <w:ind w:left="1048"/>
              <w:spacing w:after="0"/>
              <w:rPr>
                <w:sz w:val="20"/>
                <w:szCs w:val="20"/>
                <w:color w:val="auto"/>
              </w:rPr>
            </w:pPr>
            <w:r>
              <w:rPr>
                <w:rFonts w:ascii="Arial" w:cs="Arial" w:eastAsia="Arial" w:hAnsi="Arial"/>
                <w:sz w:val="14"/>
                <w:szCs w:val="14"/>
                <w:b w:val="1"/>
                <w:bCs w:val="1"/>
                <w:color w:val="auto"/>
                <w:w w:val="92"/>
              </w:rPr>
              <w:t>Number of Securities to</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78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Future Issuance Under</w:t>
            </w:r>
          </w:p>
        </w:tc>
      </w:tr>
      <w:tr>
        <w:trPr>
          <w:trHeight w:val="162"/>
        </w:trPr>
        <w:tc>
          <w:tcPr>
            <w:tcW w:w="2100" w:type="dxa"/>
            <w:vAlign w:val="bottom"/>
          </w:tcPr>
          <w:p>
            <w:pPr>
              <w:spacing w:after="0"/>
              <w:rPr>
                <w:sz w:val="14"/>
                <w:szCs w:val="14"/>
                <w:color w:val="auto"/>
              </w:rPr>
            </w:pPr>
          </w:p>
        </w:tc>
        <w:tc>
          <w:tcPr>
            <w:tcW w:w="2820" w:type="dxa"/>
            <w:vAlign w:val="bottom"/>
          </w:tcPr>
          <w:p>
            <w:pPr>
              <w:jc w:val="center"/>
              <w:ind w:left="1048"/>
              <w:spacing w:after="0"/>
              <w:rPr>
                <w:sz w:val="20"/>
                <w:szCs w:val="20"/>
                <w:color w:val="auto"/>
              </w:rPr>
            </w:pPr>
            <w:r>
              <w:rPr>
                <w:rFonts w:ascii="Arial" w:cs="Arial" w:eastAsia="Arial" w:hAnsi="Arial"/>
                <w:sz w:val="14"/>
                <w:szCs w:val="14"/>
                <w:b w:val="1"/>
                <w:bCs w:val="1"/>
                <w:color w:val="auto"/>
                <w:w w:val="90"/>
              </w:rPr>
              <w:t>be Issued Upon Exercise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Price of</w:t>
            </w:r>
          </w:p>
        </w:tc>
        <w:tc>
          <w:tcPr>
            <w:tcW w:w="178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Equity Compensation</w:t>
            </w:r>
          </w:p>
        </w:tc>
      </w:tr>
      <w:tr>
        <w:trPr>
          <w:trHeight w:val="162"/>
        </w:trPr>
        <w:tc>
          <w:tcPr>
            <w:tcW w:w="2100" w:type="dxa"/>
            <w:vAlign w:val="bottom"/>
          </w:tcPr>
          <w:p>
            <w:pPr>
              <w:spacing w:after="0"/>
              <w:rPr>
                <w:sz w:val="14"/>
                <w:szCs w:val="14"/>
                <w:color w:val="auto"/>
              </w:rPr>
            </w:pPr>
          </w:p>
        </w:tc>
        <w:tc>
          <w:tcPr>
            <w:tcW w:w="2820" w:type="dxa"/>
            <w:vAlign w:val="bottom"/>
          </w:tcPr>
          <w:p>
            <w:pPr>
              <w:jc w:val="center"/>
              <w:ind w:left="1028"/>
              <w:spacing w:after="0"/>
              <w:rPr>
                <w:sz w:val="20"/>
                <w:szCs w:val="20"/>
                <w:color w:val="auto"/>
              </w:rPr>
            </w:pPr>
            <w:r>
              <w:rPr>
                <w:rFonts w:ascii="Arial" w:cs="Arial" w:eastAsia="Arial" w:hAnsi="Arial"/>
                <w:sz w:val="14"/>
                <w:szCs w:val="14"/>
                <w:b w:val="1"/>
                <w:bCs w:val="1"/>
                <w:color w:val="auto"/>
                <w:w w:val="92"/>
              </w:rPr>
              <w:t>of Outstanding Options,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Options,</w:t>
            </w:r>
          </w:p>
        </w:tc>
        <w:tc>
          <w:tcPr>
            <w:tcW w:w="178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Plans (Excluding Securities</w:t>
            </w:r>
          </w:p>
        </w:tc>
      </w:tr>
      <w:tr>
        <w:trPr>
          <w:trHeight w:val="162"/>
        </w:trPr>
        <w:tc>
          <w:tcPr>
            <w:tcW w:w="2100" w:type="dxa"/>
            <w:vAlign w:val="bottom"/>
          </w:tcPr>
          <w:p>
            <w:pPr>
              <w:spacing w:after="0"/>
              <w:rPr>
                <w:sz w:val="14"/>
                <w:szCs w:val="14"/>
                <w:color w:val="auto"/>
              </w:rPr>
            </w:pPr>
          </w:p>
        </w:tc>
        <w:tc>
          <w:tcPr>
            <w:tcW w:w="2820" w:type="dxa"/>
            <w:vAlign w:val="bottom"/>
          </w:tcPr>
          <w:p>
            <w:pPr>
              <w:jc w:val="center"/>
              <w:ind w:left="1048"/>
              <w:spacing w:after="0"/>
              <w:rPr>
                <w:sz w:val="20"/>
                <w:szCs w:val="20"/>
                <w:color w:val="auto"/>
              </w:rPr>
            </w:pPr>
            <w:r>
              <w:rPr>
                <w:rFonts w:ascii="Arial" w:cs="Arial" w:eastAsia="Arial" w:hAnsi="Arial"/>
                <w:sz w:val="14"/>
                <w:szCs w:val="14"/>
                <w:b w:val="1"/>
                <w:bCs w:val="1"/>
                <w:color w:val="auto"/>
                <w:w w:val="94"/>
              </w:rPr>
              <w:t>Warrants and Rights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78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Reflected in Column (a))</w:t>
            </w:r>
          </w:p>
        </w:tc>
      </w:tr>
      <w:tr>
        <w:trPr>
          <w:trHeight w:val="186"/>
        </w:trPr>
        <w:tc>
          <w:tcPr>
            <w:tcW w:w="2100" w:type="dxa"/>
            <w:vAlign w:val="bottom"/>
          </w:tcPr>
          <w:p>
            <w:pPr>
              <w:spacing w:after="0"/>
              <w:rPr>
                <w:sz w:val="20"/>
                <w:szCs w:val="20"/>
                <w:color w:val="auto"/>
              </w:rPr>
            </w:pPr>
            <w:r>
              <w:rPr>
                <w:rFonts w:ascii="Arial" w:cs="Arial" w:eastAsia="Arial" w:hAnsi="Arial"/>
                <w:sz w:val="14"/>
                <w:szCs w:val="14"/>
                <w:b w:val="1"/>
                <w:bCs w:val="1"/>
                <w:u w:val="single" w:color="auto"/>
                <w:color w:val="auto"/>
              </w:rPr>
              <w:t>Plan Category</w:t>
            </w:r>
          </w:p>
        </w:tc>
        <w:tc>
          <w:tcPr>
            <w:tcW w:w="2820" w:type="dxa"/>
            <w:vAlign w:val="bottom"/>
          </w:tcPr>
          <w:p>
            <w:pPr>
              <w:jc w:val="center"/>
              <w:ind w:left="1048"/>
              <w:spacing w:after="0"/>
              <w:rPr>
                <w:sz w:val="20"/>
                <w:szCs w:val="20"/>
                <w:color w:val="auto"/>
              </w:rPr>
            </w:pPr>
            <w:r>
              <w:rPr>
                <w:rFonts w:ascii="Arial" w:cs="Arial" w:eastAsia="Arial" w:hAnsi="Arial"/>
                <w:sz w:val="14"/>
                <w:szCs w:val="14"/>
                <w:b w:val="1"/>
                <w:bCs w:val="1"/>
                <w:color w:val="auto"/>
              </w:rPr>
              <w:t>(a)</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78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0</wp:posOffset>
            </wp:positionV>
            <wp:extent cx="30784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11" w:lineRule="exact"/>
        <w:rPr>
          <w:sz w:val="20"/>
          <w:szCs w:val="20"/>
          <w:color w:val="auto"/>
        </w:rPr>
      </w:pPr>
    </w:p>
    <w:p>
      <w:pPr>
        <w:ind w:left="1440" w:right="80" w:hanging="179"/>
        <w:spacing w:after="0" w:line="266" w:lineRule="auto"/>
        <w:rPr>
          <w:sz w:val="20"/>
          <w:szCs w:val="20"/>
          <w:color w:val="auto"/>
        </w:rPr>
      </w:pPr>
      <w:r>
        <w:rPr>
          <w:rFonts w:ascii="Arial" w:cs="Arial" w:eastAsia="Arial" w:hAnsi="Arial"/>
          <w:sz w:val="18"/>
          <w:szCs w:val="18"/>
          <w:color w:val="auto"/>
        </w:rPr>
        <w:t>Equity compensation plans approved by security holders</w:t>
      </w:r>
    </w:p>
    <w:p>
      <w:pPr>
        <w:ind w:left="1440" w:right="40" w:hanging="179"/>
        <w:spacing w:after="0" w:line="277" w:lineRule="auto"/>
        <w:rPr>
          <w:sz w:val="20"/>
          <w:szCs w:val="20"/>
          <w:color w:val="auto"/>
        </w:rPr>
      </w:pPr>
      <w:r>
        <w:rPr>
          <w:rFonts w:ascii="Arial" w:cs="Arial" w:eastAsia="Arial" w:hAnsi="Arial"/>
          <w:sz w:val="18"/>
          <w:szCs w:val="18"/>
          <w:color w:val="auto"/>
        </w:rPr>
        <w:t>Equity compensation plans not approved by security holders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3"/>
        </w:trPr>
        <w:tc>
          <w:tcPr>
            <w:tcW w:w="1700" w:type="dxa"/>
            <w:vAlign w:val="bottom"/>
            <w:gridSpan w:val="2"/>
          </w:tcPr>
          <w:p>
            <w:pPr>
              <w:jc w:val="right"/>
              <w:ind w:right="752"/>
              <w:spacing w:after="0"/>
              <w:rPr>
                <w:sz w:val="20"/>
                <w:szCs w:val="20"/>
                <w:color w:val="auto"/>
              </w:rPr>
            </w:pPr>
            <w:r>
              <w:rPr>
                <w:rFonts w:ascii="Arial" w:cs="Arial" w:eastAsia="Arial" w:hAnsi="Arial"/>
                <w:sz w:val="18"/>
                <w:szCs w:val="18"/>
                <w:color w:val="auto"/>
                <w:w w:val="84"/>
              </w:rPr>
              <w:t>1,835,243</w:t>
            </w:r>
            <w:r>
              <w:rPr>
                <w:rFonts w:ascii="Arial" w:cs="Arial" w:eastAsia="Arial" w:hAnsi="Arial"/>
                <w:sz w:val="27"/>
                <w:szCs w:val="27"/>
                <w:color w:val="auto"/>
                <w:w w:val="84"/>
                <w:vertAlign w:val="superscript"/>
              </w:rPr>
              <w:t>(1)</w:t>
            </w:r>
          </w:p>
        </w:tc>
        <w:tc>
          <w:tcPr>
            <w:tcW w:w="1580" w:type="dxa"/>
            <w:vAlign w:val="bottom"/>
            <w:gridSpan w:val="2"/>
          </w:tcPr>
          <w:p>
            <w:pPr>
              <w:jc w:val="right"/>
              <w:ind w:right="832"/>
              <w:spacing w:after="0"/>
              <w:rPr>
                <w:sz w:val="20"/>
                <w:szCs w:val="20"/>
                <w:color w:val="auto"/>
              </w:rPr>
            </w:pPr>
            <w:r>
              <w:rPr>
                <w:rFonts w:ascii="Arial" w:cs="Arial" w:eastAsia="Arial" w:hAnsi="Arial"/>
                <w:sz w:val="18"/>
                <w:szCs w:val="18"/>
                <w:color w:val="auto"/>
                <w:w w:val="80"/>
              </w:rPr>
              <w:t>$ 11.50</w:t>
            </w:r>
            <w:r>
              <w:rPr>
                <w:rFonts w:ascii="Arial" w:cs="Arial" w:eastAsia="Arial" w:hAnsi="Arial"/>
                <w:sz w:val="27"/>
                <w:szCs w:val="27"/>
                <w:color w:val="auto"/>
                <w:w w:val="80"/>
                <w:vertAlign w:val="superscript"/>
              </w:rPr>
              <w:t>(2)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1,252,317</w:t>
            </w:r>
          </w:p>
        </w:tc>
        <w:tc>
          <w:tcPr>
            <w:tcW w:w="160" w:type="dxa"/>
            <w:vAlign w:val="bottom"/>
          </w:tcPr>
          <w:p>
            <w:pPr>
              <w:spacing w:after="0"/>
              <w:rPr>
                <w:sz w:val="24"/>
                <w:szCs w:val="24"/>
                <w:color w:val="auto"/>
              </w:rPr>
            </w:pPr>
          </w:p>
        </w:tc>
      </w:tr>
      <w:tr>
        <w:trPr>
          <w:trHeight w:val="347"/>
        </w:trPr>
        <w:tc>
          <w:tcPr>
            <w:tcW w:w="1700" w:type="dxa"/>
            <w:vAlign w:val="bottom"/>
            <w:gridSpan w:val="2"/>
          </w:tcPr>
          <w:p>
            <w:pPr>
              <w:jc w:val="right"/>
              <w:ind w:right="912"/>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992"/>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right"/>
              <w:ind w:right="92"/>
              <w:spacing w:after="0"/>
              <w:rPr>
                <w:sz w:val="20"/>
                <w:szCs w:val="20"/>
                <w:color w:val="auto"/>
              </w:rPr>
            </w:pPr>
            <w:r>
              <w:rPr>
                <w:rFonts w:ascii="Arial" w:cs="Arial" w:eastAsia="Arial" w:hAnsi="Arial"/>
                <w:sz w:val="18"/>
                <w:szCs w:val="18"/>
                <w:color w:val="auto"/>
              </w:rPr>
              <w:t>N/A</w:t>
            </w:r>
          </w:p>
        </w:tc>
      </w:tr>
      <w:tr>
        <w:trPr>
          <w:trHeight w:val="27"/>
        </w:trPr>
        <w:tc>
          <w:tcPr>
            <w:tcW w:w="170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920" w:type="dxa"/>
            <w:vAlign w:val="bottom"/>
            <w:gridSpan w:val="3"/>
          </w:tcPr>
          <w:p>
            <w:pPr>
              <w:spacing w:after="0"/>
              <w:rPr>
                <w:sz w:val="2"/>
                <w:szCs w:val="2"/>
                <w:color w:val="auto"/>
              </w:rPr>
            </w:pPr>
          </w:p>
        </w:tc>
      </w:tr>
      <w:tr>
        <w:trPr>
          <w:trHeight w:val="250"/>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1,835,243</w:t>
            </w:r>
          </w:p>
        </w:tc>
        <w:tc>
          <w:tcPr>
            <w:tcW w:w="980" w:type="dxa"/>
            <w:vAlign w:val="bottom"/>
          </w:tcPr>
          <w:p>
            <w:pPr>
              <w:jc w:val="right"/>
              <w:ind w:right="752"/>
              <w:spacing w:after="0" w:line="155" w:lineRule="exact"/>
              <w:rPr>
                <w:sz w:val="20"/>
                <w:szCs w:val="20"/>
                <w:color w:val="auto"/>
              </w:rPr>
            </w:pPr>
            <w:r>
              <w:rPr>
                <w:rFonts w:ascii="Arial" w:cs="Arial" w:eastAsia="Arial" w:hAnsi="Arial"/>
                <w:sz w:val="14"/>
                <w:szCs w:val="14"/>
                <w:color w:val="auto"/>
                <w:w w:val="81"/>
              </w:rPr>
              <w:t>(1)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11.50</w:t>
            </w:r>
          </w:p>
        </w:tc>
        <w:tc>
          <w:tcPr>
            <w:tcW w:w="1060" w:type="dxa"/>
            <w:vAlign w:val="bottom"/>
          </w:tcPr>
          <w:p>
            <w:pPr>
              <w:jc w:val="right"/>
              <w:ind w:right="832"/>
              <w:spacing w:after="0" w:line="155" w:lineRule="exact"/>
              <w:rPr>
                <w:sz w:val="20"/>
                <w:szCs w:val="20"/>
                <w:color w:val="auto"/>
              </w:rPr>
            </w:pPr>
            <w:r>
              <w:rPr>
                <w:rFonts w:ascii="Arial" w:cs="Arial" w:eastAsia="Arial" w:hAnsi="Arial"/>
                <w:sz w:val="14"/>
                <w:szCs w:val="14"/>
                <w:color w:val="auto"/>
                <w:w w:val="81"/>
              </w:rPr>
              <w:t>(2)</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1,252,317</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1"/>
              </w:rPr>
              <w:t>(3)</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-196850</wp:posOffset>
            </wp:positionV>
            <wp:extent cx="521398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-762635</wp:posOffset>
            </wp:positionV>
            <wp:extent cx="5213985"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5259"/>
          </w:cols>
          <w:pgMar w:left="240" w:top="132" w:right="1440" w:bottom="1440" w:gutter="0" w:footer="0" w:header="0"/>
          <w:type w:val="continuous"/>
        </w:sectPr>
      </w:pPr>
    </w:p>
    <w:p>
      <w:pPr>
        <w:spacing w:after="0" w:line="9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620" w:right="1280" w:hanging="352"/>
        <w:spacing w:after="0" w:line="312"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outstanding awards of 1,772,577 shares of Common Stock issuable upon vesting of restricted stock units (‘‘RSUs’’) and stock options for 62,666 shares of common stock. Outstanding stock options have a weighted average exercise price of $11.50 and a weighted average remaining term of 2.26 years.</w:t>
      </w:r>
    </w:p>
    <w:p>
      <w:pPr>
        <w:spacing w:after="0" w:line="106" w:lineRule="exact"/>
        <w:rPr>
          <w:rFonts w:ascii="Arial" w:cs="Arial" w:eastAsia="Arial" w:hAnsi="Arial"/>
          <w:sz w:val="16"/>
          <w:szCs w:val="16"/>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RSUs are excluded when determining the weighted average exercise price of outstanding stock options.</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our 2015 Long-Term Incentive Plan.</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w:t>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INDEPENDENCE.</w:t>
      </w:r>
    </w:p>
    <w:p>
      <w:pPr>
        <w:spacing w:after="0" w:line="88" w:lineRule="exact"/>
        <w:rPr>
          <w:sz w:val="20"/>
          <w:szCs w:val="20"/>
          <w:color w:val="auto"/>
        </w:rPr>
      </w:pPr>
    </w:p>
    <w:p>
      <w:pPr>
        <w:ind w:left="1260" w:right="1260" w:firstLine="360"/>
        <w:spacing w:after="0" w:line="342" w:lineRule="auto"/>
        <w:rPr>
          <w:sz w:val="20"/>
          <w:szCs w:val="20"/>
          <w:color w:val="auto"/>
        </w:rPr>
      </w:pPr>
      <w:r>
        <w:rPr>
          <w:rFonts w:ascii="Arial" w:cs="Arial" w:eastAsia="Arial" w:hAnsi="Arial"/>
          <w:sz w:val="16"/>
          <w:szCs w:val="16"/>
          <w:color w:val="auto"/>
        </w:rPr>
        <w:t>The information required by this Item 13 is contained under the headings “Certain Relationships and Related Transactions” and “Corporate Governance” in our Proxy Statement and is incorporated herein by reference.</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08" w:lineRule="exact"/>
        <w:rPr>
          <w:sz w:val="20"/>
          <w:szCs w:val="20"/>
          <w:color w:val="auto"/>
        </w:rPr>
      </w:pPr>
    </w:p>
    <w:p>
      <w:pPr>
        <w:ind w:left="1260" w:right="1260" w:firstLine="360"/>
        <w:spacing w:after="0" w:line="277" w:lineRule="auto"/>
        <w:rPr>
          <w:sz w:val="20"/>
          <w:szCs w:val="20"/>
          <w:color w:val="auto"/>
        </w:rPr>
      </w:pPr>
      <w:r>
        <w:rPr>
          <w:rFonts w:ascii="Arial" w:cs="Arial" w:eastAsia="Arial" w:hAnsi="Arial"/>
          <w:sz w:val="18"/>
          <w:szCs w:val="18"/>
          <w:color w:val="auto"/>
        </w:rPr>
        <w:t>The information required by this Item 14 is contained under the heading “Principal Accounting Fees and Services” in our Proxy Statement and is incorporated herein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jc w:val="both"/>
        <w:ind w:left="1260" w:right="1260" w:firstLine="360"/>
        <w:spacing w:after="0" w:line="257" w:lineRule="auto"/>
        <w:rPr>
          <w:sz w:val="20"/>
          <w:szCs w:val="20"/>
          <w:color w:val="auto"/>
        </w:rPr>
      </w:pPr>
      <w:r>
        <w:rPr>
          <w:rFonts w:ascii="Arial" w:cs="Arial" w:eastAsia="Arial" w:hAnsi="Arial"/>
          <w:sz w:val="18"/>
          <w:szCs w:val="18"/>
          <w:color w:val="auto"/>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spacing w:after="0" w:line="94" w:lineRule="exact"/>
        <w:rPr>
          <w:sz w:val="20"/>
          <w:szCs w:val="20"/>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exhibits filed as part of this report or incorporated herein by reference are management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contracts or compensatory plans or arrangements: Exhibits 10.1, 10.1(a), 10.1(b), 10.1(c), 10.1(d), 10.6, 10.6(a),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10.7, 10.7(a), 10.7(b), 10.7(c), 10.7(d), 10.7(e), 10.7(f), 10.7(g), 10.7(h), 10.7(i), 10.7(j), 10.7(k), 10.8, 10.8(a),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10.8(b), 10.8(c), 10.9, 10.10, 10.10(a), 10.10(b), 10.10(c), 10.10(d), 10.13, 10.14, 10.14(a), 10.15, 10.16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gridSpan w:val="9"/>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1280" w:type="dxa"/>
            <w:vAlign w:val="bottom"/>
          </w:tcPr>
          <w:p>
            <w:pPr>
              <w:spacing w:after="0"/>
              <w:rPr>
                <w:sz w:val="16"/>
                <w:szCs w:val="16"/>
                <w:color w:val="auto"/>
              </w:rPr>
            </w:pPr>
          </w:p>
        </w:tc>
      </w:tr>
      <w:tr>
        <w:trPr>
          <w:trHeight w:val="66"/>
        </w:trPr>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2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80" w:type="dxa"/>
            <w:vAlign w:val="bottom"/>
          </w:tcPr>
          <w:p>
            <w:pPr>
              <w:spacing w:after="0"/>
              <w:rPr>
                <w:sz w:val="5"/>
                <w:szCs w:val="5"/>
                <w:color w:val="auto"/>
              </w:rPr>
            </w:pPr>
          </w:p>
        </w:tc>
      </w:tr>
      <w:tr>
        <w:trPr>
          <w:trHeight w:val="265"/>
        </w:trPr>
        <w:tc>
          <w:tcPr>
            <w:tcW w:w="1260" w:type="dxa"/>
            <w:vAlign w:val="bottom"/>
          </w:tcPr>
          <w:p>
            <w:pPr>
              <w:spacing w:after="0"/>
              <w:rPr>
                <w:sz w:val="23"/>
                <w:szCs w:val="23"/>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4340" w:type="dxa"/>
            <w:vAlign w:val="bottom"/>
            <w:gridSpan w:val="10"/>
          </w:tcPr>
          <w:p>
            <w:pPr>
              <w:ind w:left="1740"/>
              <w:spacing w:after="0"/>
              <w:rPr>
                <w:sz w:val="20"/>
                <w:szCs w:val="20"/>
                <w:color w:val="auto"/>
              </w:rPr>
            </w:pPr>
            <w:r>
              <w:rPr>
                <w:rFonts w:ascii="Arial" w:cs="Arial" w:eastAsia="Arial" w:hAnsi="Arial"/>
                <w:sz w:val="14"/>
                <w:szCs w:val="14"/>
                <w:b w:val="1"/>
                <w:bCs w:val="1"/>
                <w:color w:val="auto"/>
              </w:rPr>
              <w:t>Document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File No.</w:t>
            </w:r>
          </w:p>
        </w:tc>
        <w:tc>
          <w:tcPr>
            <w:tcW w:w="6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Date Filed</w:t>
            </w:r>
          </w:p>
        </w:tc>
        <w:tc>
          <w:tcPr>
            <w:tcW w:w="1280" w:type="dxa"/>
            <w:vAlign w:val="bottom"/>
          </w:tcPr>
          <w:p>
            <w:pPr>
              <w:spacing w:after="0"/>
              <w:rPr>
                <w:sz w:val="23"/>
                <w:szCs w:val="23"/>
                <w:color w:val="auto"/>
              </w:rPr>
            </w:pPr>
          </w:p>
        </w:tc>
      </w:tr>
      <w:tr>
        <w:trPr>
          <w:trHeight w:val="66"/>
        </w:trPr>
        <w:tc>
          <w:tcPr>
            <w:tcW w:w="12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80" w:type="dxa"/>
            <w:vAlign w:val="bottom"/>
          </w:tcPr>
          <w:p>
            <w:pPr>
              <w:spacing w:after="0"/>
              <w:rPr>
                <w:sz w:val="5"/>
                <w:szCs w:val="5"/>
                <w:color w:val="auto"/>
              </w:rPr>
            </w:pPr>
          </w:p>
        </w:tc>
      </w:tr>
      <w:tr>
        <w:trPr>
          <w:trHeight w:val="237"/>
        </w:trPr>
        <w:tc>
          <w:tcPr>
            <w:tcW w:w="1260" w:type="dxa"/>
            <w:vAlign w:val="bottom"/>
          </w:tcPr>
          <w:p>
            <w:pPr>
              <w:spacing w:after="0"/>
              <w:rPr>
                <w:sz w:val="20"/>
                <w:szCs w:val="20"/>
                <w:color w:val="auto"/>
              </w:rPr>
            </w:pPr>
          </w:p>
        </w:tc>
        <w:tc>
          <w:tcPr>
            <w:tcW w:w="240" w:type="dxa"/>
            <w:vAlign w:val="bottom"/>
          </w:tcPr>
          <w:p>
            <w:pPr>
              <w:spacing w:after="0"/>
              <w:rPr>
                <w:rFonts w:ascii="Arial" w:cs="Arial" w:eastAsia="Arial" w:hAnsi="Arial"/>
                <w:sz w:val="18"/>
                <w:szCs w:val="18"/>
                <w:color w:val="0000EE"/>
                <w:w w:val="87"/>
              </w:rPr>
            </w:pPr>
            <w:hyperlink r:id="rId12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10"/>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Stock Purchase Agreement, dated as of July 22, 2016, by</w:t>
              </w:r>
            </w:hyperlink>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3"/>
          </w:tcPr>
          <w:p>
            <w:pPr>
              <w:jc w:val="center"/>
              <w:spacing w:after="0"/>
              <w:rPr>
                <w:rFonts w:ascii="Arial" w:cs="Arial" w:eastAsia="Arial" w:hAnsi="Arial"/>
                <w:sz w:val="18"/>
                <w:szCs w:val="18"/>
                <w:color w:val="0000EE"/>
                <w:w w:val="99"/>
              </w:rPr>
            </w:pPr>
            <w:hyperlink r:id="rId122">
              <w:r>
                <w:rPr>
                  <w:rFonts w:ascii="Arial" w:cs="Arial" w:eastAsia="Arial" w:hAnsi="Arial"/>
                  <w:sz w:val="18"/>
                  <w:szCs w:val="18"/>
                  <w:color w:val="0000EE"/>
                  <w:w w:val="99"/>
                </w:rPr>
                <w:t>8-K</w:t>
              </w:r>
            </w:hyperlink>
          </w:p>
        </w:tc>
        <w:tc>
          <w:tcPr>
            <w:tcW w:w="1200" w:type="dxa"/>
            <w:vAlign w:val="bottom"/>
            <w:gridSpan w:val="5"/>
          </w:tcPr>
          <w:p>
            <w:pPr>
              <w:jc w:val="center"/>
              <w:ind w:left="334"/>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000-18183</w:t>
              </w:r>
            </w:hyperlink>
          </w:p>
        </w:tc>
        <w:tc>
          <w:tcPr>
            <w:tcW w:w="220" w:type="dxa"/>
            <w:vAlign w:val="bottom"/>
          </w:tcPr>
          <w:p>
            <w:pPr>
              <w:spacing w:after="0"/>
              <w:rPr>
                <w:sz w:val="20"/>
                <w:szCs w:val="20"/>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7/28/2016</w:t>
              </w:r>
            </w:hyperlink>
          </w:p>
        </w:tc>
        <w:tc>
          <w:tcPr>
            <w:tcW w:w="128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and between G-III Apparel Group, Ltd. (“G-III”) and</w:t>
              </w:r>
            </w:hyperlink>
          </w:p>
        </w:tc>
        <w:tc>
          <w:tcPr>
            <w:tcW w:w="26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gridSpan w:val="1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LVMH Moet Hennessy Louis Vuitton Inc. (“LVMH”)</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(including the exhibits thereto).</w:t>
              </w:r>
            </w:hyperlink>
          </w:p>
        </w:tc>
        <w:tc>
          <w:tcPr>
            <w:tcW w:w="1600" w:type="dxa"/>
            <w:vAlign w:val="bottom"/>
            <w:tcBorders>
              <w:top w:val="single" w:sz="8" w:color="0000EE"/>
            </w:tcBorders>
            <w:gridSpan w:val="4"/>
          </w:tcPr>
          <w:p>
            <w:pPr>
              <w:spacing w:after="0"/>
              <w:rPr>
                <w:sz w:val="17"/>
                <w:szCs w:val="17"/>
                <w:color w:val="auto"/>
              </w:rPr>
            </w:pPr>
          </w:p>
        </w:tc>
        <w:tc>
          <w:tcPr>
            <w:tcW w:w="4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31"/>
        </w:trPr>
        <w:tc>
          <w:tcPr>
            <w:tcW w:w="126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2.</w:t>
              </w:r>
              <w:r>
                <w:rPr>
                  <w:rFonts w:ascii="Arial" w:cs="Arial" w:eastAsia="Arial" w:hAnsi="Arial"/>
                  <w:sz w:val="18"/>
                  <w:szCs w:val="18"/>
                  <w:u w:val="single" w:color="auto"/>
                  <w:color w:val="0000EE"/>
                  <w:w w:val="89"/>
                </w:rPr>
                <w:t>1(a)</w:t>
              </w:r>
            </w:hyperlink>
          </w:p>
        </w:tc>
        <w:tc>
          <w:tcPr>
            <w:tcW w:w="540" w:type="dxa"/>
            <w:vAlign w:val="bottom"/>
            <w:gridSpan w:val="2"/>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Amendment No. 1 to Stock Purchase Agreement, dated</w:t>
              </w:r>
            </w:hyperlink>
          </w:p>
        </w:tc>
        <w:tc>
          <w:tcPr>
            <w:tcW w:w="3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center"/>
              <w:ind w:right="60"/>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8-K</w:t>
              </w:r>
            </w:hyperlink>
          </w:p>
        </w:tc>
        <w:tc>
          <w:tcPr>
            <w:tcW w:w="1200" w:type="dxa"/>
            <w:vAlign w:val="bottom"/>
            <w:gridSpan w:val="5"/>
          </w:tcPr>
          <w:p>
            <w:pPr>
              <w:jc w:val="center"/>
              <w:ind w:left="334"/>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12/6/2016</w:t>
              </w:r>
            </w:hyperlink>
          </w:p>
        </w:tc>
        <w:tc>
          <w:tcPr>
            <w:tcW w:w="128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November 30, 2016, by and between G-III and LVMH.</w:t>
              </w:r>
            </w:hyperlink>
          </w:p>
        </w:tc>
        <w:tc>
          <w:tcPr>
            <w:tcW w:w="20" w:type="dxa"/>
            <w:vAlign w:val="bottom"/>
            <w:tcBorders>
              <w:top w:val="single" w:sz="8" w:color="0000EE"/>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85"/>
        </w:trPr>
        <w:tc>
          <w:tcPr>
            <w:tcW w:w="12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auto"/>
              </w:rPr>
              <w:t>Certificate of Incorporation.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gridSpan w:val="5"/>
          </w:tcPr>
          <w:p>
            <w:pPr>
              <w:jc w:val="center"/>
              <w:ind w:left="334"/>
              <w:spacing w:after="0"/>
              <w:rPr>
                <w:sz w:val="20"/>
                <w:szCs w:val="20"/>
                <w:color w:val="auto"/>
              </w:rPr>
            </w:pPr>
            <w:r>
              <w:rPr>
                <w:rFonts w:ascii="Arial" w:cs="Arial" w:eastAsia="Arial" w:hAnsi="Arial"/>
                <w:sz w:val="18"/>
                <w:szCs w:val="18"/>
                <w:color w:val="auto"/>
                <w:w w:val="90"/>
              </w:rPr>
              <w:t>000-18183</w:t>
            </w:r>
          </w:p>
        </w:tc>
        <w:tc>
          <w:tcPr>
            <w:tcW w:w="2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7/2/2008</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26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3.</w:t>
              </w:r>
              <w:r>
                <w:rPr>
                  <w:rFonts w:ascii="Arial" w:cs="Arial" w:eastAsia="Arial" w:hAnsi="Arial"/>
                  <w:sz w:val="18"/>
                  <w:szCs w:val="18"/>
                  <w:u w:val="single" w:color="auto"/>
                  <w:color w:val="0000EE"/>
                  <w:w w:val="89"/>
                </w:rPr>
                <w:t>1(a)</w:t>
              </w:r>
            </w:hyperlink>
          </w:p>
        </w:tc>
        <w:tc>
          <w:tcPr>
            <w:tcW w:w="540" w:type="dxa"/>
            <w:vAlign w:val="bottom"/>
            <w:gridSpan w:val="2"/>
          </w:tcPr>
          <w:p>
            <w:pPr>
              <w:spacing w:after="0"/>
              <w:rPr>
                <w:sz w:val="24"/>
                <w:szCs w:val="24"/>
                <w:color w:val="auto"/>
              </w:rPr>
            </w:pPr>
          </w:p>
        </w:tc>
        <w:tc>
          <w:tcPr>
            <w:tcW w:w="4340" w:type="dxa"/>
            <w:vAlign w:val="bottom"/>
            <w:gridSpan w:val="10"/>
          </w:tcPr>
          <w:p>
            <w:pPr>
              <w:spacing w:after="0"/>
              <w:rPr>
                <w:rFonts w:ascii="Arial" w:cs="Arial" w:eastAsia="Arial" w:hAnsi="Arial"/>
                <w:sz w:val="18"/>
                <w:szCs w:val="18"/>
                <w:color w:val="0000EE"/>
              </w:rPr>
            </w:pPr>
            <w:hyperlink r:id="rId124">
              <w:r>
                <w:rPr>
                  <w:rFonts w:ascii="Arial" w:cs="Arial" w:eastAsia="Arial" w:hAnsi="Arial"/>
                  <w:sz w:val="18"/>
                  <w:szCs w:val="18"/>
                  <w:color w:val="0000EE"/>
                </w:rPr>
                <w:t>Certificate of Amendment of Certificate of</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3"/>
          </w:tcPr>
          <w:p>
            <w:pPr>
              <w:jc w:val="center"/>
              <w:ind w:right="40"/>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10-Q</w:t>
              </w:r>
            </w:hyperlink>
          </w:p>
        </w:tc>
        <w:tc>
          <w:tcPr>
            <w:tcW w:w="1200" w:type="dxa"/>
            <w:vAlign w:val="bottom"/>
            <w:gridSpan w:val="5"/>
          </w:tcPr>
          <w:p>
            <w:pPr>
              <w:jc w:val="center"/>
              <w:ind w:left="334"/>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9/13/2006</w:t>
              </w:r>
            </w:hyperlink>
          </w:p>
        </w:tc>
        <w:tc>
          <w:tcPr>
            <w:tcW w:w="128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Incorporation, dated June 8, 2006.</w:t>
              </w:r>
            </w:hyperlink>
          </w:p>
        </w:tc>
        <w:tc>
          <w:tcPr>
            <w:tcW w:w="1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10"/>
          </w:tcPr>
          <w:p>
            <w:pPr>
              <w:jc w:val="center"/>
              <w:ind w:right="1240"/>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(Q2 2007)</w:t>
              </w:r>
            </w:hyperlink>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01"/>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Borders>
              <w:top w:val="single" w:sz="8" w:color="0000EE"/>
            </w:tcBorders>
            <w:gridSpan w:val="2"/>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65" w:name="page66"/>
    <w:bookmarkEnd w:id="6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80" w:type="dxa"/>
            <w:vAlign w:val="bottom"/>
            <w:gridSpan w:val="7"/>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27"/>
          </w:tcPr>
          <w:p>
            <w:pPr>
              <w:ind w:left="120"/>
              <w:spacing w:after="0"/>
              <w:rPr>
                <w:sz w:val="20"/>
                <w:szCs w:val="20"/>
                <w:color w:val="auto"/>
              </w:rPr>
            </w:pPr>
            <w:r>
              <w:rPr>
                <w:rFonts w:ascii="Arial" w:cs="Arial" w:eastAsia="Arial" w:hAnsi="Arial"/>
                <w:sz w:val="14"/>
                <w:szCs w:val="14"/>
                <w:b w:val="1"/>
                <w:bCs w:val="1"/>
                <w:color w:val="auto"/>
              </w:rPr>
              <w:t>Document</w:t>
            </w:r>
          </w:p>
        </w:tc>
      </w:tr>
      <w:tr>
        <w:trPr>
          <w:trHeight w:val="66"/>
        </w:trPr>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7"/>
        </w:trPr>
        <w:tc>
          <w:tcPr>
            <w:tcW w:w="980" w:type="dxa"/>
            <w:vAlign w:val="bottom"/>
            <w:gridSpan w:val="7"/>
          </w:tcPr>
          <w:p>
            <w:pPr>
              <w:spacing w:after="0"/>
              <w:rPr>
                <w:rFonts w:ascii="Arial" w:cs="Arial" w:eastAsia="Arial" w:hAnsi="Arial"/>
                <w:sz w:val="18"/>
                <w:szCs w:val="18"/>
                <w:color w:val="0000EE"/>
              </w:rPr>
            </w:pPr>
            <w:hyperlink r:id="rId127">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4120" w:type="dxa"/>
            <w:vAlign w:val="bottom"/>
            <w:gridSpan w:val="31"/>
          </w:tcPr>
          <w:p>
            <w:pPr>
              <w:spacing w:after="0"/>
              <w:rPr>
                <w:rFonts w:ascii="Arial" w:cs="Arial" w:eastAsia="Arial" w:hAnsi="Arial"/>
                <w:sz w:val="18"/>
                <w:szCs w:val="18"/>
                <w:color w:val="0000EE"/>
              </w:rPr>
            </w:pPr>
            <w:hyperlink r:id="rId127">
              <w:r>
                <w:rPr>
                  <w:rFonts w:ascii="Arial" w:cs="Arial" w:eastAsia="Arial" w:hAnsi="Arial"/>
                  <w:sz w:val="18"/>
                  <w:szCs w:val="18"/>
                  <w:color w:val="0000EE"/>
                </w:rPr>
                <w:t>Certificate of Amendment of Certificate of</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Incorporation, dated June 7, 2011.</w:t>
              </w:r>
            </w:hyperlink>
          </w:p>
        </w:tc>
        <w:tc>
          <w:tcPr>
            <w:tcW w:w="620" w:type="dxa"/>
            <w:vAlign w:val="bottom"/>
            <w:tcBorders>
              <w:top w:val="single" w:sz="8" w:color="0000EE"/>
            </w:tcBorders>
            <w:gridSpan w:val="5"/>
          </w:tcPr>
          <w:p>
            <w:pPr>
              <w:spacing w:after="0"/>
              <w:rPr>
                <w:sz w:val="17"/>
                <w:szCs w:val="17"/>
                <w:color w:val="auto"/>
              </w:rPr>
            </w:pPr>
          </w:p>
        </w:tc>
        <w:tc>
          <w:tcPr>
            <w:tcW w:w="1040" w:type="dxa"/>
            <w:vAlign w:val="bottom"/>
            <w:gridSpan w:val="20"/>
          </w:tcPr>
          <w:p>
            <w:pPr>
              <w:spacing w:after="0"/>
              <w:rPr>
                <w:sz w:val="17"/>
                <w:szCs w:val="17"/>
                <w:color w:val="auto"/>
              </w:rPr>
            </w:pPr>
          </w:p>
        </w:tc>
      </w:tr>
      <w:tr>
        <w:trPr>
          <w:trHeight w:val="304"/>
        </w:trPr>
        <w:tc>
          <w:tcPr>
            <w:tcW w:w="440" w:type="dxa"/>
            <w:vAlign w:val="bottom"/>
            <w:gridSpan w:val="3"/>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1(c)</w:t>
              </w:r>
            </w:hyperlink>
          </w:p>
        </w:tc>
        <w:tc>
          <w:tcPr>
            <w:tcW w:w="540" w:type="dxa"/>
            <w:vAlign w:val="bottom"/>
            <w:gridSpan w:val="4"/>
          </w:tcPr>
          <w:p>
            <w:pPr>
              <w:spacing w:after="0"/>
              <w:rPr>
                <w:sz w:val="24"/>
                <w:szCs w:val="24"/>
                <w:color w:val="auto"/>
              </w:rPr>
            </w:pPr>
          </w:p>
        </w:tc>
        <w:tc>
          <w:tcPr>
            <w:tcW w:w="4120" w:type="dxa"/>
            <w:vAlign w:val="bottom"/>
            <w:gridSpan w:val="31"/>
          </w:tcPr>
          <w:p>
            <w:pPr>
              <w:spacing w:after="0"/>
              <w:rPr>
                <w:rFonts w:ascii="Arial" w:cs="Arial" w:eastAsia="Arial" w:hAnsi="Arial"/>
                <w:sz w:val="18"/>
                <w:szCs w:val="18"/>
                <w:color w:val="0000EE"/>
              </w:rPr>
            </w:pPr>
            <w:hyperlink r:id="rId128">
              <w:r>
                <w:rPr>
                  <w:rFonts w:ascii="Arial" w:cs="Arial" w:eastAsia="Arial" w:hAnsi="Arial"/>
                  <w:sz w:val="18"/>
                  <w:szCs w:val="18"/>
                  <w:color w:val="0000EE"/>
                </w:rPr>
                <w:t>Certificate of Amendment of Certificate of</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Incorporation, dated June 30, 2015.</w:t>
              </w:r>
            </w:hyperlink>
          </w:p>
        </w:tc>
        <w:tc>
          <w:tcPr>
            <w:tcW w:w="520" w:type="dxa"/>
            <w:vAlign w:val="bottom"/>
            <w:tcBorders>
              <w:top w:val="single" w:sz="8" w:color="0000EE"/>
            </w:tcBorders>
            <w:gridSpan w:val="4"/>
          </w:tcPr>
          <w:p>
            <w:pPr>
              <w:spacing w:after="0"/>
              <w:rPr>
                <w:sz w:val="17"/>
                <w:szCs w:val="17"/>
                <w:color w:val="auto"/>
              </w:rPr>
            </w:pPr>
          </w:p>
        </w:tc>
        <w:tc>
          <w:tcPr>
            <w:tcW w:w="1040" w:type="dxa"/>
            <w:vAlign w:val="bottom"/>
            <w:gridSpan w:val="20"/>
          </w:tcPr>
          <w:p>
            <w:pPr>
              <w:spacing w:after="0"/>
              <w:rPr>
                <w:sz w:val="17"/>
                <w:szCs w:val="17"/>
                <w:color w:val="auto"/>
              </w:rPr>
            </w:pPr>
          </w:p>
        </w:tc>
      </w:tr>
      <w:tr>
        <w:trPr>
          <w:trHeight w:val="318"/>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2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Borders>
              <w:bottom w:val="single" w:sz="8" w:color="0000EE"/>
            </w:tcBorders>
            <w:gridSpan w:val="5"/>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By-Laws, as amended, of G-III.</w:t>
              </w:r>
            </w:hyperlink>
          </w:p>
        </w:tc>
        <w:tc>
          <w:tcPr>
            <w:tcW w:w="1820" w:type="dxa"/>
            <w:vAlign w:val="bottom"/>
            <w:gridSpan w:val="26"/>
          </w:tcPr>
          <w:p>
            <w:pPr>
              <w:spacing w:after="0"/>
              <w:rPr>
                <w:sz w:val="24"/>
                <w:szCs w:val="24"/>
                <w:color w:val="auto"/>
              </w:rPr>
            </w:pPr>
          </w:p>
        </w:tc>
      </w:tr>
      <w:tr>
        <w:trPr>
          <w:trHeight w:val="291"/>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3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Borders>
              <w:bottom w:val="single" w:sz="8" w:color="0000EE"/>
            </w:tcBorders>
            <w:gridSpan w:val="31"/>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Promissory Note, dated December 1, 2016, from G-III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r:id="rId130">
              <w:r>
                <w:rPr>
                  <w:rFonts w:ascii="Arial" w:cs="Arial" w:eastAsia="Arial" w:hAnsi="Arial"/>
                  <w:sz w:val="18"/>
                  <w:szCs w:val="18"/>
                  <w:color w:val="0000EE"/>
                  <w:w w:val="98"/>
                </w:rPr>
                <w:t>LVMH.</w:t>
              </w:r>
            </w:hyperlink>
          </w:p>
        </w:tc>
        <w:tc>
          <w:tcPr>
            <w:tcW w:w="3560" w:type="dxa"/>
            <w:vAlign w:val="bottom"/>
            <w:gridSpan w:val="29"/>
          </w:tcPr>
          <w:p>
            <w:pPr>
              <w:spacing w:after="0"/>
              <w:rPr>
                <w:sz w:val="17"/>
                <w:szCs w:val="17"/>
                <w:color w:val="auto"/>
              </w:rPr>
            </w:pPr>
          </w:p>
        </w:tc>
      </w:tr>
      <w:tr>
        <w:trPr>
          <w:trHeight w:val="304"/>
        </w:trPr>
        <w:tc>
          <w:tcPr>
            <w:tcW w:w="440" w:type="dxa"/>
            <w:vAlign w:val="bottom"/>
            <w:gridSpan w:val="3"/>
          </w:tcPr>
          <w:p>
            <w:pPr>
              <w:spacing w:after="0"/>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31"/>
          </w:tcPr>
          <w:p>
            <w:pPr>
              <w:spacing w:after="0"/>
              <w:rPr>
                <w:rFonts w:ascii="Arial" w:cs="Arial" w:eastAsia="Arial" w:hAnsi="Arial"/>
                <w:sz w:val="18"/>
                <w:szCs w:val="18"/>
                <w:color w:val="0000EE"/>
              </w:rPr>
            </w:pPr>
            <w:hyperlink r:id="rId131">
              <w:r>
                <w:rPr>
                  <w:rFonts w:ascii="Arial" w:cs="Arial" w:eastAsia="Arial" w:hAnsi="Arial"/>
                  <w:sz w:val="18"/>
                  <w:szCs w:val="18"/>
                  <w:color w:val="0000EE"/>
                </w:rPr>
                <w:t>Employment Agreement, dated February 1, 1994,</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between G-III and Morris Goldfarb.</w:t>
              </w:r>
            </w:hyperlink>
          </w:p>
        </w:tc>
        <w:tc>
          <w:tcPr>
            <w:tcW w:w="980" w:type="dxa"/>
            <w:vAlign w:val="bottom"/>
            <w:tcBorders>
              <w:top w:val="single" w:sz="8" w:color="0000EE"/>
            </w:tcBorders>
            <w:gridSpan w:val="7"/>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304"/>
        </w:trPr>
        <w:tc>
          <w:tcPr>
            <w:tcW w:w="980" w:type="dxa"/>
            <w:vAlign w:val="bottom"/>
            <w:gridSpan w:val="7"/>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1(a)</w:t>
              </w:r>
            </w:hyperlink>
          </w:p>
        </w:tc>
        <w:tc>
          <w:tcPr>
            <w:tcW w:w="4120" w:type="dxa"/>
            <w:vAlign w:val="bottom"/>
            <w:gridSpan w:val="31"/>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Amendment, dated October 1, 1999, to the Employment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top w:val="single" w:sz="8" w:color="0000EE"/>
            </w:tcBorders>
            <w:gridSpan w:val="27"/>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Agreement, dated February 1, 1994, between G-III and</w:t>
              </w:r>
            </w:hyperlink>
          </w:p>
        </w:tc>
        <w:tc>
          <w:tcPr>
            <w:tcW w:w="8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Morris Goldfarb.</w:t>
              </w:r>
            </w:hyperlink>
          </w:p>
        </w:tc>
        <w:tc>
          <w:tcPr>
            <w:tcW w:w="2740" w:type="dxa"/>
            <w:vAlign w:val="bottom"/>
            <w:tcBorders>
              <w:top w:val="single" w:sz="8" w:color="0000EE"/>
            </w:tcBorders>
            <w:gridSpan w:val="22"/>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04"/>
        </w:trPr>
        <w:tc>
          <w:tcPr>
            <w:tcW w:w="540" w:type="dxa"/>
            <w:vAlign w:val="bottom"/>
            <w:tcBorders>
              <w:bottom w:val="single" w:sz="8" w:color="0000EE"/>
            </w:tcBorders>
            <w:gridSpan w:val="5"/>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1(b)</w:t>
              </w:r>
            </w:hyperlink>
          </w:p>
        </w:tc>
        <w:tc>
          <w:tcPr>
            <w:tcW w:w="440" w:type="dxa"/>
            <w:vAlign w:val="bottom"/>
            <w:gridSpan w:val="2"/>
          </w:tcPr>
          <w:p>
            <w:pPr>
              <w:spacing w:after="0"/>
              <w:rPr>
                <w:sz w:val="24"/>
                <w:szCs w:val="24"/>
                <w:color w:val="auto"/>
              </w:rPr>
            </w:pPr>
          </w:p>
        </w:tc>
        <w:tc>
          <w:tcPr>
            <w:tcW w:w="3860" w:type="dxa"/>
            <w:vAlign w:val="bottom"/>
            <w:tcBorders>
              <w:bottom w:val="single" w:sz="8" w:color="0000EE"/>
            </w:tcBorders>
            <w:gridSpan w:val="20"/>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Amendment, dated January 28, 2009, to Employment</w:t>
              </w:r>
            </w:hyperlink>
          </w:p>
        </w:tc>
        <w:tc>
          <w:tcPr>
            <w:tcW w:w="260" w:type="dxa"/>
            <w:vAlign w:val="bottom"/>
            <w:gridSpan w:val="11"/>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31"/>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Agreement, dated February 1, 1994, between G-III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Morris Goldfarb.</w:t>
              </w:r>
            </w:hyperlink>
          </w:p>
        </w:tc>
        <w:tc>
          <w:tcPr>
            <w:tcW w:w="2740" w:type="dxa"/>
            <w:vAlign w:val="bottom"/>
            <w:tcBorders>
              <w:top w:val="single" w:sz="8" w:color="0000EE"/>
            </w:tcBorders>
            <w:gridSpan w:val="22"/>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04"/>
        </w:trPr>
        <w:tc>
          <w:tcPr>
            <w:tcW w:w="980" w:type="dxa"/>
            <w:vAlign w:val="bottom"/>
            <w:gridSpan w:val="7"/>
          </w:tcPr>
          <w:p>
            <w:pPr>
              <w:spacing w:after="0"/>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1(c)</w:t>
              </w:r>
            </w:hyperlink>
          </w:p>
        </w:tc>
        <w:tc>
          <w:tcPr>
            <w:tcW w:w="4120" w:type="dxa"/>
            <w:vAlign w:val="bottom"/>
            <w:gridSpan w:val="31"/>
          </w:tcPr>
          <w:p>
            <w:pPr>
              <w:spacing w:after="0"/>
              <w:rPr>
                <w:rFonts w:ascii="Arial" w:cs="Arial" w:eastAsia="Arial" w:hAnsi="Arial"/>
                <w:sz w:val="18"/>
                <w:szCs w:val="18"/>
                <w:color w:val="0000EE"/>
              </w:rPr>
            </w:pPr>
            <w:hyperlink r:id="rId134">
              <w:r>
                <w:rPr>
                  <w:rFonts w:ascii="Arial" w:cs="Arial" w:eastAsia="Arial" w:hAnsi="Arial"/>
                  <w:sz w:val="18"/>
                  <w:szCs w:val="18"/>
                  <w:color w:val="0000EE"/>
                </w:rPr>
                <w:t>Letter Amendment, dated March 13, 2013, 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Employment Agreement, dated February 1, 1994,</w:t>
              </w:r>
            </w:hyperlink>
          </w:p>
        </w:tc>
        <w:tc>
          <w:tcPr>
            <w:tcW w:w="540" w:type="dxa"/>
            <w:vAlign w:val="bottom"/>
            <w:gridSpan w:val="1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between G-III and Morris Goldfarb.</w:t>
              </w:r>
            </w:hyperlink>
          </w:p>
        </w:tc>
        <w:tc>
          <w:tcPr>
            <w:tcW w:w="1520" w:type="dxa"/>
            <w:vAlign w:val="bottom"/>
            <w:gridSpan w:val="22"/>
          </w:tcPr>
          <w:p>
            <w:pPr>
              <w:spacing w:after="0"/>
              <w:rPr>
                <w:sz w:val="17"/>
                <w:szCs w:val="17"/>
                <w:color w:val="auto"/>
              </w:rPr>
            </w:pPr>
          </w:p>
        </w:tc>
      </w:tr>
      <w:tr>
        <w:trPr>
          <w:trHeight w:val="304"/>
        </w:trPr>
        <w:tc>
          <w:tcPr>
            <w:tcW w:w="540" w:type="dxa"/>
            <w:vAlign w:val="bottom"/>
            <w:tcBorders>
              <w:bottom w:val="single" w:sz="8" w:color="0000EE"/>
            </w:tcBorders>
            <w:gridSpan w:val="5"/>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1(d)</w:t>
              </w:r>
            </w:hyperlink>
          </w:p>
        </w:tc>
        <w:tc>
          <w:tcPr>
            <w:tcW w:w="440" w:type="dxa"/>
            <w:vAlign w:val="bottom"/>
            <w:gridSpan w:val="2"/>
          </w:tcPr>
          <w:p>
            <w:pPr>
              <w:spacing w:after="0"/>
              <w:rPr>
                <w:sz w:val="24"/>
                <w:szCs w:val="24"/>
                <w:color w:val="auto"/>
              </w:rPr>
            </w:pPr>
          </w:p>
        </w:tc>
        <w:tc>
          <w:tcPr>
            <w:tcW w:w="3180" w:type="dxa"/>
            <w:vAlign w:val="bottom"/>
            <w:tcBorders>
              <w:bottom w:val="single" w:sz="8" w:color="0000EE"/>
            </w:tcBorders>
            <w:gridSpan w:val="12"/>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Letter Amendment, dated April 28, 2014, to</w:t>
              </w:r>
            </w:hyperlink>
          </w:p>
        </w:tc>
        <w:tc>
          <w:tcPr>
            <w:tcW w:w="940" w:type="dxa"/>
            <w:vAlign w:val="bottom"/>
            <w:gridSpan w:val="19"/>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Employment Agreement, dated February 1, 1994,</w:t>
              </w:r>
            </w:hyperlink>
          </w:p>
        </w:tc>
        <w:tc>
          <w:tcPr>
            <w:tcW w:w="540" w:type="dxa"/>
            <w:vAlign w:val="bottom"/>
            <w:gridSpan w:val="1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between G-III and Morris Goldfarb.</w:t>
              </w:r>
            </w:hyperlink>
          </w:p>
        </w:tc>
        <w:tc>
          <w:tcPr>
            <w:tcW w:w="1520" w:type="dxa"/>
            <w:vAlign w:val="bottom"/>
            <w:gridSpan w:val="22"/>
          </w:tcPr>
          <w:p>
            <w:pPr>
              <w:spacing w:after="0"/>
              <w:rPr>
                <w:sz w:val="17"/>
                <w:szCs w:val="17"/>
                <w:color w:val="auto"/>
              </w:rPr>
            </w:pPr>
          </w:p>
        </w:tc>
      </w:tr>
      <w:tr>
        <w:trPr>
          <w:trHeight w:val="304"/>
        </w:trPr>
        <w:tc>
          <w:tcPr>
            <w:tcW w:w="440" w:type="dxa"/>
            <w:vAlign w:val="bottom"/>
            <w:gridSpan w:val="3"/>
          </w:tcPr>
          <w:p>
            <w:pPr>
              <w:spacing w:after="0"/>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31"/>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Amended and Restated Credit Agreement, dated as of</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December 1, 2016, among G-III Leather, Riviera Sun,</w:t>
              </w:r>
            </w:hyperlink>
          </w:p>
        </w:tc>
        <w:tc>
          <w:tcPr>
            <w:tcW w:w="220" w:type="dxa"/>
            <w:vAlign w:val="bottom"/>
            <w:gridSpan w:val="9"/>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 CK Outerwear, LLC, Andrew &amp; Suzanne</w:t>
              </w:r>
            </w:hyperlink>
          </w:p>
        </w:tc>
        <w:tc>
          <w:tcPr>
            <w:tcW w:w="760" w:type="dxa"/>
            <w:vAlign w:val="bottom"/>
            <w:gridSpan w:val="1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Company, Inc., AM Retail Group, Inc, The Donna Karan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Company Store, LLC and The Donna Karan Company</w:t>
              </w:r>
            </w:hyperlink>
          </w:p>
        </w:tc>
        <w:tc>
          <w:tcPr>
            <w:tcW w:w="180" w:type="dxa"/>
            <w:vAlign w:val="bottom"/>
            <w:gridSpan w:val="7"/>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LLC, as Borrowers, the other Borrowers party thereto,</w:t>
              </w:r>
            </w:hyperlink>
          </w:p>
        </w:tc>
        <w:tc>
          <w:tcPr>
            <w:tcW w:w="200" w:type="dxa"/>
            <w:vAlign w:val="bottom"/>
            <w:gridSpan w:val="8"/>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31"/>
          </w:tcPr>
          <w:p>
            <w:pPr>
              <w:spacing w:after="0" w:line="196" w:lineRule="exact"/>
              <w:rPr>
                <w:rFonts w:ascii="Arial" w:cs="Arial" w:eastAsia="Arial" w:hAnsi="Arial"/>
                <w:sz w:val="18"/>
                <w:szCs w:val="18"/>
                <w:color w:val="0000EE"/>
                <w:w w:val="97"/>
              </w:rPr>
            </w:pPr>
            <w:hyperlink r:id="rId136">
              <w:r>
                <w:rPr>
                  <w:rFonts w:ascii="Arial" w:cs="Arial" w:eastAsia="Arial" w:hAnsi="Arial"/>
                  <w:sz w:val="18"/>
                  <w:szCs w:val="18"/>
                  <w:color w:val="0000EE"/>
                  <w:w w:val="97"/>
                </w:rPr>
                <w:t>the Loan Guarantors party thereto, the Lenders party</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r:id="rId136">
              <w:r>
                <w:rPr>
                  <w:rFonts w:ascii="Arial" w:cs="Arial" w:eastAsia="Arial" w:hAnsi="Arial"/>
                  <w:sz w:val="18"/>
                  <w:szCs w:val="18"/>
                  <w:color w:val="0000EE"/>
                  <w:w w:val="97"/>
                </w:rPr>
                <w:t>thereto and JPMorgan Chase Bank, N.A., as the</w:t>
              </w:r>
            </w:hyperlink>
          </w:p>
        </w:tc>
        <w:tc>
          <w:tcPr>
            <w:tcW w:w="340" w:type="dxa"/>
            <w:vAlign w:val="bottom"/>
            <w:gridSpan w:val="1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Administrative Agent.</w:t>
              </w:r>
            </w:hyperlink>
          </w:p>
        </w:tc>
        <w:tc>
          <w:tcPr>
            <w:tcW w:w="1820" w:type="dxa"/>
            <w:vAlign w:val="bottom"/>
            <w:tcBorders>
              <w:top w:val="single" w:sz="8" w:color="0000EE"/>
            </w:tcBorders>
            <w:gridSpan w:val="11"/>
          </w:tcPr>
          <w:p>
            <w:pPr>
              <w:spacing w:after="0"/>
              <w:rPr>
                <w:sz w:val="17"/>
                <w:szCs w:val="17"/>
                <w:color w:val="auto"/>
              </w:rPr>
            </w:pPr>
          </w:p>
        </w:tc>
        <w:tc>
          <w:tcPr>
            <w:tcW w:w="680" w:type="dxa"/>
            <w:vAlign w:val="bottom"/>
            <w:gridSpan w:val="16"/>
          </w:tcPr>
          <w:p>
            <w:pPr>
              <w:spacing w:after="0"/>
              <w:rPr>
                <w:sz w:val="17"/>
                <w:szCs w:val="17"/>
                <w:color w:val="auto"/>
              </w:rPr>
            </w:pPr>
          </w:p>
        </w:tc>
      </w:tr>
      <w:tr>
        <w:trPr>
          <w:trHeight w:val="304"/>
        </w:trPr>
        <w:tc>
          <w:tcPr>
            <w:tcW w:w="980" w:type="dxa"/>
            <w:vAlign w:val="bottom"/>
            <w:gridSpan w:val="7"/>
          </w:tcPr>
          <w:p>
            <w:pPr>
              <w:spacing w:after="0"/>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2(a)</w:t>
              </w:r>
            </w:hyperlink>
          </w:p>
        </w:tc>
        <w:tc>
          <w:tcPr>
            <w:tcW w:w="4120" w:type="dxa"/>
            <w:vAlign w:val="bottom"/>
            <w:gridSpan w:val="31"/>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Credit Agreement dated as of December 1, 2016, among</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top w:val="single" w:sz="8" w:color="0000EE"/>
            </w:tcBorders>
            <w:gridSpan w:val="28"/>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G-III, the other loan parties thereto, the lenders party</w:t>
              </w:r>
            </w:hyperlink>
          </w:p>
        </w:tc>
        <w:tc>
          <w:tcPr>
            <w:tcW w:w="60" w:type="dxa"/>
            <w:vAlign w:val="bottom"/>
            <w:gridSpan w:val="3"/>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31"/>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thereto and Barclays Bank PLC, as the Administrative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Agent.</w:t>
              </w:r>
            </w:hyperlink>
          </w:p>
        </w:tc>
        <w:tc>
          <w:tcPr>
            <w:tcW w:w="220" w:type="dxa"/>
            <w:vAlign w:val="bottom"/>
            <w:gridSpan w:val="9"/>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40" w:type="dxa"/>
            <w:vAlign w:val="bottom"/>
            <w:gridSpan w:val="3"/>
          </w:tcPr>
          <w:p>
            <w:pPr>
              <w:spacing w:after="0"/>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31"/>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Lease, dated June 1, 1993, between 512 Seventh Avenue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4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31"/>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Associates (“512”) and G-III Leather Fashions, Inc. (“G-</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III Leather”) (34th and 35th floors).</w:t>
              </w:r>
            </w:hyperlink>
          </w:p>
        </w:tc>
        <w:tc>
          <w:tcPr>
            <w:tcW w:w="1520" w:type="dxa"/>
            <w:vAlign w:val="bottom"/>
            <w:tcBorders>
              <w:top w:val="single" w:sz="8" w:color="0000EE"/>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80" w:type="dxa"/>
            <w:vAlign w:val="bottom"/>
            <w:gridSpan w:val="7"/>
          </w:tcPr>
          <w:p>
            <w:pPr>
              <w:spacing w:after="0"/>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3(a)</w:t>
              </w:r>
            </w:hyperlink>
          </w:p>
        </w:tc>
        <w:tc>
          <w:tcPr>
            <w:tcW w:w="4120" w:type="dxa"/>
            <w:vAlign w:val="bottom"/>
            <w:gridSpan w:val="31"/>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Lease amendment, dated July 1, 2000, between 512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G-III Leather (34th and 35th floors).</w:t>
              </w:r>
            </w:hyperlink>
          </w:p>
        </w:tc>
        <w:tc>
          <w:tcPr>
            <w:tcW w:w="100" w:type="dxa"/>
            <w:vAlign w:val="bottom"/>
            <w:gridSpan w:val="5"/>
          </w:tcPr>
          <w:p>
            <w:pPr>
              <w:spacing w:after="0"/>
              <w:rPr>
                <w:sz w:val="17"/>
                <w:szCs w:val="17"/>
                <w:color w:val="auto"/>
              </w:rPr>
            </w:pPr>
          </w:p>
        </w:tc>
      </w:tr>
      <w:tr>
        <w:trPr>
          <w:trHeight w:val="20"/>
        </w:trPr>
        <w:tc>
          <w:tcPr>
            <w:tcW w:w="980" w:type="dxa"/>
            <w:vAlign w:val="bottom"/>
            <w:gridSpan w:val="7"/>
          </w:tcPr>
          <w:p>
            <w:pPr>
              <w:spacing w:after="0" w:line="20" w:lineRule="exact"/>
              <w:rPr>
                <w:sz w:val="1"/>
                <w:szCs w:val="1"/>
                <w:color w:val="auto"/>
              </w:rPr>
            </w:pPr>
          </w:p>
        </w:tc>
        <w:tc>
          <w:tcPr>
            <w:tcW w:w="2620" w:type="dxa"/>
            <w:vAlign w:val="bottom"/>
            <w:gridSpan w:val="10"/>
            <w:shd w:val="clear" w:color="auto" w:fill="0000EE"/>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04"/>
        </w:trPr>
        <w:tc>
          <w:tcPr>
            <w:tcW w:w="540" w:type="dxa"/>
            <w:vAlign w:val="bottom"/>
            <w:tcBorders>
              <w:bottom w:val="single" w:sz="8" w:color="0000EE"/>
            </w:tcBorders>
            <w:gridSpan w:val="5"/>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3(b)</w:t>
              </w:r>
            </w:hyperlink>
          </w:p>
        </w:tc>
        <w:tc>
          <w:tcPr>
            <w:tcW w:w="440" w:type="dxa"/>
            <w:vAlign w:val="bottom"/>
            <w:gridSpan w:val="2"/>
          </w:tcPr>
          <w:p>
            <w:pPr>
              <w:spacing w:after="0"/>
              <w:rPr>
                <w:sz w:val="24"/>
                <w:szCs w:val="24"/>
                <w:color w:val="auto"/>
              </w:rPr>
            </w:pPr>
          </w:p>
        </w:tc>
        <w:tc>
          <w:tcPr>
            <w:tcW w:w="3840" w:type="dxa"/>
            <w:vAlign w:val="bottom"/>
            <w:tcBorders>
              <w:bottom w:val="single" w:sz="8" w:color="0000EE"/>
            </w:tcBorders>
            <w:gridSpan w:val="19"/>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Second Amendment of Lease, dated March 26, 2010,</w:t>
              </w:r>
            </w:hyperlink>
          </w:p>
        </w:tc>
        <w:tc>
          <w:tcPr>
            <w:tcW w:w="280" w:type="dxa"/>
            <w:vAlign w:val="bottom"/>
            <w:gridSpan w:val="1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31"/>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between 500-512 Seventh Avenue Limited Partnership,</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2240" w:right="440"/>
        <w:spacing w:after="0" w:line="277"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the successor to 512 (collectively, “512”) and G-III</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Leather (34th and 35th floors).</w:t>
        </w:r>
      </w:hyperlink>
    </w:p>
    <w:p>
      <w:pPr>
        <w:spacing w:after="0" w:line="27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18351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Date Filed</w:t>
            </w:r>
          </w:p>
        </w:tc>
      </w:tr>
      <w:tr>
        <w:trPr>
          <w:trHeight w:val="66"/>
        </w:trPr>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27">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000-18183</w:t>
              </w:r>
            </w:hyperlink>
          </w:p>
        </w:tc>
        <w:tc>
          <w:tcPr>
            <w:tcW w:w="220" w:type="dxa"/>
            <w:vAlign w:val="bottom"/>
          </w:tcPr>
          <w:p>
            <w:pPr>
              <w:spacing w:after="0"/>
              <w:rPr>
                <w:sz w:val="20"/>
                <w:szCs w:val="20"/>
                <w:color w:val="auto"/>
              </w:rPr>
            </w:pPr>
          </w:p>
        </w:tc>
        <w:tc>
          <w:tcPr>
            <w:tcW w:w="760" w:type="dxa"/>
            <w:vAlign w:val="bottom"/>
            <w:gridSpan w:val="2"/>
          </w:tcPr>
          <w:p>
            <w:pPr>
              <w:jc w:val="center"/>
              <w:ind w:left="30"/>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6/9/2011</w:t>
              </w:r>
            </w:hyperlink>
          </w:p>
        </w:tc>
        <w:tc>
          <w:tcPr>
            <w:tcW w:w="10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60" w:type="dxa"/>
            <w:vAlign w:val="bottom"/>
            <w:gridSpan w:val="2"/>
          </w:tcPr>
          <w:p>
            <w:pPr>
              <w:jc w:val="center"/>
              <w:ind w:left="30"/>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7/1/2015</w:t>
              </w:r>
            </w:hyperlink>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3/15/2013</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12/6/2016</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520"/>
        </w:trPr>
        <w:tc>
          <w:tcPr>
            <w:tcW w:w="120" w:type="dxa"/>
            <w:vAlign w:val="bottom"/>
          </w:tcPr>
          <w:p>
            <w:pPr>
              <w:spacing w:after="0"/>
              <w:rPr>
                <w:sz w:val="24"/>
                <w:szCs w:val="24"/>
                <w:color w:val="auto"/>
              </w:rPr>
            </w:pPr>
          </w:p>
        </w:tc>
        <w:tc>
          <w:tcPr>
            <w:tcW w:w="560" w:type="dxa"/>
            <w:vAlign w:val="bottom"/>
            <w:gridSpan w:val="6"/>
          </w:tcPr>
          <w:p>
            <w:pPr>
              <w:jc w:val="center"/>
              <w:spacing w:after="0"/>
              <w:rPr>
                <w:rFonts w:ascii="Arial" w:cs="Arial" w:eastAsia="Arial" w:hAnsi="Arial"/>
                <w:sz w:val="18"/>
                <w:szCs w:val="18"/>
                <w:color w:val="0000EE"/>
              </w:rPr>
            </w:pPr>
            <w:hyperlink r:id="rId131">
              <w:r>
                <w:rPr>
                  <w:rFonts w:ascii="Arial" w:cs="Arial" w:eastAsia="Arial" w:hAnsi="Arial"/>
                  <w:sz w:val="18"/>
                  <w:szCs w:val="18"/>
                  <w:color w:val="0000EE"/>
                </w:rPr>
                <w:t>10-K/A</w:t>
              </w:r>
            </w:hyperlink>
          </w:p>
        </w:tc>
        <w:tc>
          <w:tcPr>
            <w:tcW w:w="340" w:type="dxa"/>
            <w:vAlign w:val="bottom"/>
            <w:gridSpan w:val="2"/>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60" w:type="dxa"/>
            <w:vAlign w:val="bottom"/>
            <w:gridSpan w:val="2"/>
          </w:tcPr>
          <w:p>
            <w:pPr>
              <w:jc w:val="center"/>
              <w:ind w:left="30"/>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5/8/2006</w:t>
              </w:r>
            </w:hyperlink>
          </w:p>
        </w:tc>
        <w:tc>
          <w:tcPr>
            <w:tcW w:w="1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bottom w:val="single" w:sz="8" w:color="0000EE"/>
            </w:tcBorders>
            <w:gridSpan w:val="4"/>
          </w:tcPr>
          <w:p>
            <w:pPr>
              <w:jc w:val="center"/>
              <w:ind w:right="20"/>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(2006)</w:t>
              </w:r>
            </w:hyperlink>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560" w:type="dxa"/>
            <w:vAlign w:val="bottom"/>
            <w:gridSpan w:val="6"/>
          </w:tcPr>
          <w:p>
            <w:pPr>
              <w:jc w:val="center"/>
              <w:spacing w:after="0"/>
              <w:rPr>
                <w:rFonts w:ascii="Arial" w:cs="Arial" w:eastAsia="Arial" w:hAnsi="Arial"/>
                <w:sz w:val="18"/>
                <w:szCs w:val="18"/>
                <w:color w:val="0000EE"/>
              </w:rPr>
            </w:pPr>
            <w:hyperlink r:id="rId132">
              <w:r>
                <w:rPr>
                  <w:rFonts w:ascii="Arial" w:cs="Arial" w:eastAsia="Arial" w:hAnsi="Arial"/>
                  <w:sz w:val="18"/>
                  <w:szCs w:val="18"/>
                  <w:color w:val="0000EE"/>
                </w:rPr>
                <w:t>10-K/A</w:t>
              </w:r>
            </w:hyperlink>
          </w:p>
        </w:tc>
        <w:tc>
          <w:tcPr>
            <w:tcW w:w="340" w:type="dxa"/>
            <w:vAlign w:val="bottom"/>
            <w:gridSpan w:val="2"/>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60" w:type="dxa"/>
            <w:vAlign w:val="bottom"/>
            <w:gridSpan w:val="2"/>
          </w:tcPr>
          <w:p>
            <w:pPr>
              <w:jc w:val="center"/>
              <w:ind w:left="30"/>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5/8/2006</w:t>
              </w:r>
            </w:hyperlink>
          </w:p>
        </w:tc>
        <w:tc>
          <w:tcPr>
            <w:tcW w:w="10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(2006)</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520"/>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60" w:type="dxa"/>
            <w:vAlign w:val="bottom"/>
            <w:gridSpan w:val="2"/>
          </w:tcPr>
          <w:p>
            <w:pPr>
              <w:jc w:val="center"/>
              <w:ind w:left="30"/>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2/3/2009</w:t>
              </w:r>
            </w:hyperlink>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6"/>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34">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3/15/2013</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736"/>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35">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5/14/2015</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736"/>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6"/>
          </w:tcPr>
          <w:p>
            <w:pPr>
              <w:jc w:val="center"/>
              <w:ind w:right="480"/>
              <w:spacing w:after="0"/>
              <w:rPr>
                <w:rFonts w:ascii="Arial" w:cs="Arial" w:eastAsia="Arial" w:hAnsi="Arial"/>
                <w:sz w:val="18"/>
                <w:szCs w:val="18"/>
                <w:color w:val="0000EE"/>
                <w:w w:val="99"/>
              </w:rPr>
            </w:pPr>
            <w:hyperlink r:id="rId136">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3"/>
          </w:tcPr>
          <w:p>
            <w:pPr>
              <w:jc w:val="cente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12/6/2016</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tabs>
          <w:tab w:leader="none" w:pos="1000" w:val="left"/>
          <w:tab w:leader="none" w:pos="2060" w:val="left"/>
        </w:tabs>
        <w:rPr>
          <w:rFonts w:ascii="Arial" w:cs="Arial" w:eastAsia="Arial" w:hAnsi="Arial"/>
          <w:sz w:val="16"/>
          <w:szCs w:val="16"/>
          <w:u w:val="single" w:color="auto"/>
          <w:color w:val="0000EE"/>
        </w:rPr>
      </w:pPr>
      <w:hyperlink r:id="rId137">
        <w:r>
          <w:rPr>
            <w:rFonts w:ascii="Arial" w:cs="Arial" w:eastAsia="Arial" w:hAnsi="Arial"/>
            <w:sz w:val="18"/>
            <w:szCs w:val="18"/>
            <w:u w:val="single" w:color="auto"/>
            <w:color w:val="0000EE"/>
          </w:rPr>
          <w:t>8-K</w:t>
        </w:r>
      </w:hyperlink>
      <w:r>
        <w:rPr>
          <w:rFonts w:ascii="Arial" w:cs="Arial" w:eastAsia="Arial" w:hAnsi="Arial"/>
          <w:sz w:val="18"/>
          <w:szCs w:val="18"/>
          <w:u w:val="single" w:color="auto"/>
          <w:color w:val="0000EE"/>
        </w:rPr>
        <w:tab/>
      </w:r>
      <w:hyperlink r:id="rId137">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37">
        <w:r>
          <w:rPr>
            <w:rFonts w:ascii="Arial" w:cs="Arial" w:eastAsia="Arial" w:hAnsi="Arial"/>
            <w:sz w:val="16"/>
            <w:szCs w:val="16"/>
            <w:u w:val="single" w:color="auto"/>
            <w:color w:val="0000EE"/>
          </w:rPr>
          <w:t>12/6/2016</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48" w:lineRule="exact"/>
        <w:rPr>
          <w:rFonts w:ascii="Arial" w:cs="Arial" w:eastAsia="Arial" w:hAnsi="Arial"/>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740" w:type="dxa"/>
            <w:vAlign w:val="bottom"/>
            <w:gridSpan w:val="7"/>
          </w:tcPr>
          <w:p>
            <w:pPr>
              <w:jc w:val="center"/>
              <w:ind w:right="180"/>
              <w:spacing w:after="0"/>
              <w:rPr>
                <w:rFonts w:ascii="Arial" w:cs="Arial" w:eastAsia="Arial" w:hAnsi="Arial"/>
                <w:sz w:val="18"/>
                <w:szCs w:val="18"/>
                <w:color w:val="0000EE"/>
              </w:rPr>
            </w:pPr>
            <w:hyperlink r:id="rId138">
              <w:r>
                <w:rPr>
                  <w:rFonts w:ascii="Arial" w:cs="Arial" w:eastAsia="Arial" w:hAnsi="Arial"/>
                  <w:sz w:val="18"/>
                  <w:szCs w:val="18"/>
                  <w:color w:val="0000EE"/>
                </w:rPr>
                <w:t>10-K/A</w:t>
              </w:r>
            </w:hyperlink>
          </w:p>
        </w:tc>
        <w:tc>
          <w:tcPr>
            <w:tcW w:w="940" w:type="dxa"/>
            <w:vAlign w:val="bottom"/>
            <w:gridSpan w:val="2"/>
          </w:tcPr>
          <w:p>
            <w:pPr>
              <w:jc w:val="right"/>
              <w:spacing w:after="0"/>
              <w:rPr>
                <w:rFonts w:ascii="Arial" w:cs="Arial" w:eastAsia="Arial" w:hAnsi="Arial"/>
                <w:sz w:val="18"/>
                <w:szCs w:val="18"/>
                <w:color w:val="0000EE"/>
              </w:rPr>
            </w:pPr>
            <w:hyperlink r:id="rId138">
              <w:r>
                <w:rPr>
                  <w:rFonts w:ascii="Arial" w:cs="Arial" w:eastAsia="Arial" w:hAnsi="Arial"/>
                  <w:sz w:val="18"/>
                  <w:szCs w:val="18"/>
                  <w:color w:val="0000EE"/>
                </w:rPr>
                <w:t>000-18183</w:t>
              </w:r>
            </w:hyperlink>
          </w:p>
        </w:tc>
        <w:tc>
          <w:tcPr>
            <w:tcW w:w="1060" w:type="dxa"/>
            <w:vAlign w:val="bottom"/>
            <w:gridSpan w:val="4"/>
          </w:tcPr>
          <w:p>
            <w:pPr>
              <w:jc w:val="center"/>
              <w:ind w:left="170"/>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5/8/2006</w:t>
              </w:r>
            </w:hyperlink>
          </w:p>
        </w:tc>
      </w:tr>
      <w:tr>
        <w:trPr>
          <w:trHeight w:val="196"/>
        </w:trPr>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bottom w:val="single" w:sz="8" w:color="0000EE"/>
            </w:tcBorders>
            <w:gridSpan w:val="4"/>
          </w:tcPr>
          <w:p>
            <w:pPr>
              <w:jc w:val="center"/>
              <w:ind w:right="20"/>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(2006)</w:t>
              </w:r>
            </w:hyperlink>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520"/>
        </w:trPr>
        <w:tc>
          <w:tcPr>
            <w:tcW w:w="740" w:type="dxa"/>
            <w:vAlign w:val="bottom"/>
            <w:gridSpan w:val="7"/>
          </w:tcPr>
          <w:p>
            <w:pPr>
              <w:jc w:val="center"/>
              <w:ind w:right="180"/>
              <w:spacing w:after="0"/>
              <w:rPr>
                <w:rFonts w:ascii="Arial" w:cs="Arial" w:eastAsia="Arial" w:hAnsi="Arial"/>
                <w:sz w:val="18"/>
                <w:szCs w:val="18"/>
                <w:color w:val="0000EE"/>
              </w:rPr>
            </w:pPr>
            <w:hyperlink r:id="rId139">
              <w:r>
                <w:rPr>
                  <w:rFonts w:ascii="Arial" w:cs="Arial" w:eastAsia="Arial" w:hAnsi="Arial"/>
                  <w:sz w:val="18"/>
                  <w:szCs w:val="18"/>
                  <w:color w:val="0000EE"/>
                </w:rPr>
                <w:t>10-K/A</w:t>
              </w:r>
            </w:hyperlink>
          </w:p>
        </w:tc>
        <w:tc>
          <w:tcPr>
            <w:tcW w:w="940" w:type="dxa"/>
            <w:vAlign w:val="bottom"/>
            <w:gridSpan w:val="2"/>
          </w:tcPr>
          <w:p>
            <w:pPr>
              <w:jc w:val="right"/>
              <w:spacing w:after="0"/>
              <w:rPr>
                <w:rFonts w:ascii="Arial" w:cs="Arial" w:eastAsia="Arial" w:hAnsi="Arial"/>
                <w:sz w:val="18"/>
                <w:szCs w:val="18"/>
                <w:color w:val="0000EE"/>
              </w:rPr>
            </w:pPr>
            <w:hyperlink r:id="rId139">
              <w:r>
                <w:rPr>
                  <w:rFonts w:ascii="Arial" w:cs="Arial" w:eastAsia="Arial" w:hAnsi="Arial"/>
                  <w:sz w:val="18"/>
                  <w:szCs w:val="18"/>
                  <w:color w:val="0000EE"/>
                </w:rPr>
                <w:t>000-18183</w:t>
              </w:r>
            </w:hyperlink>
          </w:p>
        </w:tc>
        <w:tc>
          <w:tcPr>
            <w:tcW w:w="1060" w:type="dxa"/>
            <w:vAlign w:val="bottom"/>
            <w:gridSpan w:val="4"/>
          </w:tcPr>
          <w:p>
            <w:pPr>
              <w:jc w:val="center"/>
              <w:ind w:left="170"/>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5/8/2006</w:t>
              </w:r>
            </w:hyperlink>
          </w:p>
        </w:tc>
      </w:tr>
      <w:tr>
        <w:trPr>
          <w:trHeight w:val="196"/>
        </w:trPr>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bottom w:val="single" w:sz="8" w:color="0000EE"/>
            </w:tcBorders>
            <w:gridSpan w:val="3"/>
          </w:tcPr>
          <w:p>
            <w:pPr>
              <w:jc w:val="cente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(2006)</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0000EE"/>
            </w:tcBorders>
          </w:tcPr>
          <w:p>
            <w:pPr>
              <w:jc w:val="cente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10-Q</w:t>
              </w:r>
            </w:hyperlink>
          </w:p>
        </w:tc>
        <w:tc>
          <w:tcPr>
            <w:tcW w:w="2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0000EE"/>
            </w:tcBorders>
          </w:tcPr>
          <w:p>
            <w:pPr>
              <w:jc w:val="right"/>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000-18183</w:t>
              </w:r>
            </w:hyperlink>
          </w:p>
        </w:tc>
        <w:tc>
          <w:tcPr>
            <w:tcW w:w="240" w:type="dxa"/>
            <w:vAlign w:val="bottom"/>
          </w:tcPr>
          <w:p>
            <w:pPr>
              <w:spacing w:after="0"/>
              <w:rPr>
                <w:sz w:val="24"/>
                <w:szCs w:val="24"/>
                <w:color w:val="auto"/>
              </w:rPr>
            </w:pPr>
          </w:p>
        </w:tc>
        <w:tc>
          <w:tcPr>
            <w:tcW w:w="820" w:type="dxa"/>
            <w:vAlign w:val="bottom"/>
            <w:tcBorders>
              <w:bottom w:val="single" w:sz="8" w:color="0000EE"/>
            </w:tcBorders>
            <w:gridSpan w:val="3"/>
          </w:tcPr>
          <w:p>
            <w:pPr>
              <w:jc w:val="cente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12/10/2010</w:t>
              </w:r>
            </w:hyperlink>
          </w:p>
        </w:tc>
      </w:tr>
    </w:tbl>
    <w:p>
      <w:pPr>
        <w:spacing w:after="0" w:line="13" w:lineRule="exact"/>
        <w:rPr>
          <w:sz w:val="20"/>
          <w:szCs w:val="20"/>
          <w:color w:val="auto"/>
        </w:rPr>
      </w:pPr>
    </w:p>
    <w:p>
      <w:pPr>
        <w:ind w:left="40"/>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(Q3 2011)</w:t>
        </w:r>
      </w:hyperlink>
    </w:p>
    <w:p>
      <w:pPr>
        <w:sectPr>
          <w:pgSz w:w="11900" w:h="16838" w:orient="portrait"/>
          <w:cols w:equalWidth="0" w:num="2">
            <w:col w:w="6360" w:space="220"/>
            <w:col w:w="363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Exhibit No.</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gridSpan w:val="22"/>
          </w:tcPr>
          <w:p>
            <w:pPr>
              <w:ind w:left="420"/>
              <w:spacing w:after="0"/>
              <w:rPr>
                <w:sz w:val="20"/>
                <w:szCs w:val="20"/>
                <w:color w:val="auto"/>
              </w:rPr>
            </w:pPr>
            <w:r>
              <w:rPr>
                <w:rFonts w:ascii="Arial" w:cs="Arial" w:eastAsia="Arial" w:hAnsi="Arial"/>
                <w:sz w:val="14"/>
                <w:szCs w:val="14"/>
                <w:b w:val="1"/>
                <w:bCs w:val="1"/>
                <w:color w:val="auto"/>
              </w:rPr>
              <w:t>Document</w:t>
            </w:r>
          </w:p>
        </w:tc>
      </w:tr>
      <w:tr>
        <w:trPr>
          <w:trHeight w:val="66"/>
        </w:trPr>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7"/>
        </w:trPr>
        <w:tc>
          <w:tcPr>
            <w:tcW w:w="500" w:type="dxa"/>
            <w:vAlign w:val="bottom"/>
            <w:gridSpan w:val="2"/>
          </w:tcPr>
          <w:p>
            <w:pPr>
              <w:spacing w:after="0"/>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27"/>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Lease, dated January 31, 1994, between 512 and G-III</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(33rd floor).</w:t>
              </w:r>
            </w:hyperlink>
          </w:p>
        </w:tc>
        <w:tc>
          <w:tcPr>
            <w:tcW w:w="3000" w:type="dxa"/>
            <w:vAlign w:val="bottom"/>
            <w:tcBorders>
              <w:top w:val="single" w:sz="8" w:color="0000EE"/>
            </w:tcBorders>
            <w:gridSpan w:val="17"/>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4(a)</w:t>
              </w:r>
            </w:hyperlink>
          </w:p>
        </w:tc>
        <w:tc>
          <w:tcPr>
            <w:tcW w:w="4120" w:type="dxa"/>
            <w:vAlign w:val="bottom"/>
            <w:gridSpan w:val="27"/>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Lease amendment, dated July 1, 2000, between 512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G-III (33rd floor).</w:t>
              </w:r>
            </w:hyperlink>
          </w:p>
        </w:tc>
        <w:tc>
          <w:tcPr>
            <w:tcW w:w="80" w:type="dxa"/>
            <w:vAlign w:val="bottom"/>
            <w:gridSpan w:val="4"/>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87"/>
              </w:rPr>
            </w:pPr>
            <w:hyperlink r:id="rId145">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4(b)</w:t>
              </w:r>
            </w:hyperlink>
          </w:p>
        </w:tc>
        <w:tc>
          <w:tcPr>
            <w:tcW w:w="440" w:type="dxa"/>
            <w:vAlign w:val="bottom"/>
            <w:gridSpan w:val="3"/>
          </w:tcPr>
          <w:p>
            <w:pPr>
              <w:spacing w:after="0"/>
              <w:rPr>
                <w:sz w:val="24"/>
                <w:szCs w:val="24"/>
                <w:color w:val="auto"/>
              </w:rPr>
            </w:pPr>
          </w:p>
        </w:tc>
        <w:tc>
          <w:tcPr>
            <w:tcW w:w="3840" w:type="dxa"/>
            <w:vAlign w:val="bottom"/>
            <w:tcBorders>
              <w:bottom w:val="single" w:sz="8" w:color="0000EE"/>
            </w:tcBorders>
            <w:gridSpan w:val="17"/>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Second Amendment of Lease, dated March 26, 2010,</w:t>
              </w:r>
            </w:hyperlink>
          </w:p>
        </w:tc>
        <w:tc>
          <w:tcPr>
            <w:tcW w:w="280" w:type="dxa"/>
            <w:vAlign w:val="bottom"/>
            <w:gridSpan w:val="10"/>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between 512 and G-III Leather (33rd floor).</w:t>
              </w:r>
            </w:hyperlink>
          </w:p>
        </w:tc>
        <w:tc>
          <w:tcPr>
            <w:tcW w:w="940" w:type="dxa"/>
            <w:vAlign w:val="bottom"/>
            <w:gridSpan w:val="17"/>
          </w:tcPr>
          <w:p>
            <w:pPr>
              <w:spacing w:after="0"/>
              <w:rPr>
                <w:sz w:val="17"/>
                <w:szCs w:val="17"/>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4(c)</w:t>
              </w:r>
            </w:hyperlink>
          </w:p>
        </w:tc>
        <w:tc>
          <w:tcPr>
            <w:tcW w:w="4120" w:type="dxa"/>
            <w:vAlign w:val="bottom"/>
            <w:gridSpan w:val="27"/>
          </w:tcPr>
          <w:p>
            <w:pPr>
              <w:spacing w:after="0"/>
              <w:rPr>
                <w:rFonts w:ascii="Arial" w:cs="Arial" w:eastAsia="Arial" w:hAnsi="Arial"/>
                <w:sz w:val="18"/>
                <w:szCs w:val="18"/>
                <w:color w:val="0000EE"/>
                <w:w w:val="95"/>
              </w:rPr>
            </w:pPr>
            <w:hyperlink r:id="rId146">
              <w:r>
                <w:rPr>
                  <w:rFonts w:ascii="Arial" w:cs="Arial" w:eastAsia="Arial" w:hAnsi="Arial"/>
                  <w:sz w:val="18"/>
                  <w:szCs w:val="18"/>
                  <w:color w:val="0000EE"/>
                  <w:w w:val="95"/>
                </w:rPr>
                <w:t>Second Amendment of Lease, dated March 26, 2010,</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between 512 and G-III Leather (10th floor).</w:t>
              </w:r>
            </w:hyperlink>
          </w:p>
        </w:tc>
        <w:tc>
          <w:tcPr>
            <w:tcW w:w="680" w:type="dxa"/>
            <w:vAlign w:val="bottom"/>
            <w:tcBorders>
              <w:top w:val="single" w:sz="8" w:color="0000EE"/>
            </w:tcBorders>
            <w:gridSpan w:val="8"/>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304"/>
        </w:trPr>
        <w:tc>
          <w:tcPr>
            <w:tcW w:w="540" w:type="dxa"/>
            <w:vAlign w:val="bottom"/>
            <w:gridSpan w:val="3"/>
          </w:tcPr>
          <w:p>
            <w:pPr>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4(d)</w:t>
              </w:r>
            </w:hyperlink>
          </w:p>
        </w:tc>
        <w:tc>
          <w:tcPr>
            <w:tcW w:w="440" w:type="dxa"/>
            <w:vAlign w:val="bottom"/>
            <w:gridSpan w:val="3"/>
          </w:tcPr>
          <w:p>
            <w:pPr>
              <w:spacing w:after="0"/>
              <w:rPr>
                <w:sz w:val="24"/>
                <w:szCs w:val="24"/>
                <w:color w:val="auto"/>
              </w:rPr>
            </w:pPr>
          </w:p>
        </w:tc>
        <w:tc>
          <w:tcPr>
            <w:tcW w:w="4120" w:type="dxa"/>
            <w:vAlign w:val="bottom"/>
            <w:gridSpan w:val="27"/>
          </w:tcPr>
          <w:p>
            <w:pPr>
              <w:spacing w:after="0"/>
              <w:rPr>
                <w:rFonts w:ascii="Arial" w:cs="Arial" w:eastAsia="Arial" w:hAnsi="Arial"/>
                <w:sz w:val="18"/>
                <w:szCs w:val="18"/>
                <w:color w:val="0000EE"/>
              </w:rPr>
            </w:pPr>
            <w:hyperlink r:id="rId147">
              <w:r>
                <w:rPr>
                  <w:rFonts w:ascii="Arial" w:cs="Arial" w:eastAsia="Arial" w:hAnsi="Arial"/>
                  <w:sz w:val="18"/>
                  <w:szCs w:val="18"/>
                  <w:color w:val="0000EE"/>
                </w:rPr>
                <w:t>Third Amendment of Lease, dated March 26, 2010,</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between 512 and G-III Leather (21st, 22nd, 23rd, 24th</w:t>
              </w:r>
            </w:hyperlink>
          </w:p>
        </w:tc>
        <w:tc>
          <w:tcPr>
            <w:tcW w:w="20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and 36th floors).</w:t>
              </w:r>
            </w:hyperlink>
          </w:p>
        </w:tc>
        <w:tc>
          <w:tcPr>
            <w:tcW w:w="2920" w:type="dxa"/>
            <w:vAlign w:val="bottom"/>
            <w:gridSpan w:val="24"/>
          </w:tcPr>
          <w:p>
            <w:pPr>
              <w:spacing w:after="0"/>
              <w:rPr>
                <w:sz w:val="17"/>
                <w:szCs w:val="17"/>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4(e)</w:t>
              </w:r>
            </w:hyperlink>
          </w:p>
        </w:tc>
        <w:tc>
          <w:tcPr>
            <w:tcW w:w="4120" w:type="dxa"/>
            <w:vAlign w:val="bottom"/>
            <w:gridSpan w:val="27"/>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Sixth Amendment of Lease, dated May 23, 2013, by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between G-III Leather Fashions, Inc. as Tenant and 500-</w:t>
              </w:r>
            </w:hyperlink>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512 Seventh Avenue Limited Partnership as Landlord,</w:t>
              </w:r>
            </w:hyperlink>
          </w:p>
        </w:tc>
        <w:tc>
          <w:tcPr>
            <w:tcW w:w="20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(2nd Floor (including mezzanine), 21 st, 22nd, 23rd,</w:t>
              </w:r>
            </w:hyperlink>
          </w:p>
        </w:tc>
        <w:tc>
          <w:tcPr>
            <w:tcW w:w="340" w:type="dxa"/>
            <w:vAlign w:val="bottom"/>
            <w:gridSpan w:val="11"/>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24th, 27th, 29th, 31st, 36th and 40th Floors).</w:t>
              </w:r>
            </w:hyperlink>
          </w:p>
        </w:tc>
      </w:tr>
      <w:tr>
        <w:trPr>
          <w:trHeight w:val="20"/>
        </w:trPr>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4(f)</w:t>
              </w:r>
            </w:hyperlink>
          </w:p>
        </w:tc>
        <w:tc>
          <w:tcPr>
            <w:tcW w:w="4120" w:type="dxa"/>
            <w:vAlign w:val="bottom"/>
            <w:gridSpan w:val="27"/>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Seventh Amendment of Lease dated April 25, 2014,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and between G-III Leather Fashions, Inc. as Tenant and</w:t>
              </w:r>
            </w:hyperlink>
          </w:p>
        </w:tc>
        <w:tc>
          <w:tcPr>
            <w:tcW w:w="12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500-512 Seventh Avenue Limited Partnership as</w:t>
              </w:r>
            </w:hyperlink>
          </w:p>
        </w:tc>
        <w:tc>
          <w:tcPr>
            <w:tcW w:w="620" w:type="dxa"/>
            <w:vAlign w:val="bottom"/>
            <w:gridSpan w:val="1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Landlord (2nd Floor (including mezzanine), 21st, 22nd,</w:t>
              </w:r>
            </w:hyperlink>
          </w:p>
        </w:tc>
        <w:tc>
          <w:tcPr>
            <w:tcW w:w="10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23rd, 24th, 27th, 29th, 31st, 36th, 39th and 40th Floors).</w:t>
              </w:r>
            </w:hyperlink>
          </w:p>
        </w:tc>
        <w:tc>
          <w:tcPr>
            <w:tcW w:w="60" w:type="dxa"/>
            <w:vAlign w:val="bottom"/>
            <w:gridSpan w:val="3"/>
          </w:tcPr>
          <w:p>
            <w:pPr>
              <w:spacing w:after="0"/>
              <w:rPr>
                <w:sz w:val="17"/>
                <w:szCs w:val="17"/>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10.</w:t>
              </w:r>
              <w:r>
                <w:rPr>
                  <w:rFonts w:ascii="Arial" w:cs="Arial" w:eastAsia="Arial" w:hAnsi="Arial"/>
                  <w:sz w:val="18"/>
                  <w:szCs w:val="18"/>
                  <w:u w:val="single" w:color="auto"/>
                  <w:color w:val="0000EE"/>
                </w:rPr>
                <w:t>4(g)*</w:t>
              </w:r>
            </w:hyperlink>
          </w:p>
        </w:tc>
        <w:tc>
          <w:tcPr>
            <w:tcW w:w="4120" w:type="dxa"/>
            <w:vAlign w:val="bottom"/>
            <w:gridSpan w:val="27"/>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Eighth Amendment Of Lease, dated June 16, 2017, by</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and between G-III Leather Fashions, Inc. as Tenant and</w:t>
              </w:r>
            </w:hyperlink>
          </w:p>
        </w:tc>
        <w:tc>
          <w:tcPr>
            <w:tcW w:w="12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500-512 Seventh Avenue Limited Partnership as</w:t>
              </w:r>
            </w:hyperlink>
          </w:p>
        </w:tc>
        <w:tc>
          <w:tcPr>
            <w:tcW w:w="620" w:type="dxa"/>
            <w:vAlign w:val="bottom"/>
            <w:gridSpan w:val="1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Landlord* (2nd Floor (including mezzanine), 3rd, 4th,</w:t>
              </w:r>
            </w:hyperlink>
          </w:p>
        </w:tc>
        <w:tc>
          <w:tcPr>
            <w:tcW w:w="20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5th, 21st, 22nd, 23rd, 24th, 27th, 28th, 29th, 30th, 31st,</w:t>
              </w:r>
            </w:hyperlink>
          </w:p>
        </w:tc>
        <w:tc>
          <w:tcPr>
            <w:tcW w:w="140" w:type="dxa"/>
            <w:vAlign w:val="bottom"/>
            <w:gridSpan w:val="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36th, 39th and 40th Floors)</w:t>
              </w:r>
            </w:hyperlink>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500" w:type="dxa"/>
            <w:vAlign w:val="bottom"/>
            <w:gridSpan w:val="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7"/>
          </w:tcPr>
          <w:p>
            <w:pPr>
              <w:spacing w:after="0"/>
              <w:rPr>
                <w:rFonts w:ascii="Arial" w:cs="Arial" w:eastAsia="Arial" w:hAnsi="Arial"/>
                <w:sz w:val="18"/>
                <w:szCs w:val="18"/>
                <w:color w:val="0000EE"/>
              </w:rPr>
            </w:pPr>
            <w:hyperlink r:id="rId150">
              <w:r>
                <w:rPr>
                  <w:rFonts w:ascii="Arial" w:cs="Arial" w:eastAsia="Arial" w:hAnsi="Arial"/>
                  <w:sz w:val="18"/>
                  <w:szCs w:val="18"/>
                  <w:color w:val="0000EE"/>
                </w:rPr>
                <w:t>Lease, dated February 10, 2009, between IRET</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Properties and AM Retail Group, Inc.</w:t>
              </w:r>
            </w:hyperlink>
          </w:p>
        </w:tc>
        <w:tc>
          <w:tcPr>
            <w:tcW w:w="680" w:type="dxa"/>
            <w:vAlign w:val="bottom"/>
            <w:tcBorders>
              <w:top w:val="single" w:sz="8" w:color="0000EE"/>
            </w:tcBorders>
            <w:gridSpan w:val="5"/>
          </w:tcPr>
          <w:p>
            <w:pPr>
              <w:spacing w:after="0"/>
              <w:rPr>
                <w:sz w:val="17"/>
                <w:szCs w:val="17"/>
                <w:color w:val="auto"/>
              </w:rPr>
            </w:pPr>
          </w:p>
        </w:tc>
        <w:tc>
          <w:tcPr>
            <w:tcW w:w="720" w:type="dxa"/>
            <w:vAlign w:val="bottom"/>
            <w:gridSpan w:val="15"/>
          </w:tcPr>
          <w:p>
            <w:pPr>
              <w:spacing w:after="0"/>
              <w:rPr>
                <w:sz w:val="17"/>
                <w:szCs w:val="17"/>
                <w:color w:val="auto"/>
              </w:rPr>
            </w:pPr>
          </w:p>
        </w:tc>
      </w:tr>
      <w:tr>
        <w:trPr>
          <w:trHeight w:val="304"/>
        </w:trPr>
        <w:tc>
          <w:tcPr>
            <w:tcW w:w="500" w:type="dxa"/>
            <w:vAlign w:val="bottom"/>
            <w:gridSpan w:val="2"/>
          </w:tcPr>
          <w:p>
            <w:pPr>
              <w:spacing w:after="0"/>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7"/>
          </w:tcPr>
          <w:p>
            <w:pPr>
              <w:spacing w:after="0"/>
              <w:rPr>
                <w:rFonts w:ascii="Arial" w:cs="Arial" w:eastAsia="Arial" w:hAnsi="Arial"/>
                <w:sz w:val="18"/>
                <w:szCs w:val="18"/>
                <w:color w:val="0000EE"/>
              </w:rPr>
            </w:pPr>
            <w:hyperlink r:id="rId151">
              <w:r>
                <w:rPr>
                  <w:rFonts w:ascii="Arial" w:cs="Arial" w:eastAsia="Arial" w:hAnsi="Arial"/>
                  <w:sz w:val="18"/>
                  <w:szCs w:val="18"/>
                  <w:color w:val="0000EE"/>
                </w:rPr>
                <w:t>G-III 1999 Stock Option Plan for Non-Employee</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Directors, as amended (the “1999 Plan).</w:t>
              </w:r>
            </w:hyperlink>
          </w:p>
        </w:tc>
        <w:tc>
          <w:tcPr>
            <w:tcW w:w="580" w:type="dxa"/>
            <w:vAlign w:val="bottom"/>
            <w:gridSpan w:val="13"/>
          </w:tcPr>
          <w:p>
            <w:pPr>
              <w:spacing w:after="0"/>
              <w:rPr>
                <w:sz w:val="17"/>
                <w:szCs w:val="17"/>
                <w:color w:val="auto"/>
              </w:rPr>
            </w:pPr>
          </w:p>
        </w:tc>
      </w:tr>
      <w:tr>
        <w:trPr>
          <w:trHeight w:val="20"/>
        </w:trPr>
        <w:tc>
          <w:tcPr>
            <w:tcW w:w="980" w:type="dxa"/>
            <w:vAlign w:val="bottom"/>
            <w:gridSpan w:val="6"/>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1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r:id="rId152">
              <w:r>
                <w:rPr>
                  <w:rFonts w:ascii="Arial" w:cs="Arial" w:eastAsia="Arial" w:hAnsi="Arial"/>
                  <w:sz w:val="18"/>
                  <w:szCs w:val="18"/>
                  <w:color w:val="0000EE"/>
                </w:rPr>
                <w:t>10.</w:t>
              </w:r>
              <w:r>
                <w:rPr>
                  <w:rFonts w:ascii="Arial" w:cs="Arial" w:eastAsia="Arial" w:hAnsi="Arial"/>
                  <w:sz w:val="18"/>
                  <w:szCs w:val="18"/>
                  <w:u w:val="single" w:color="auto"/>
                  <w:color w:val="0000EE"/>
                </w:rPr>
                <w:t>6(a)</w:t>
              </w:r>
            </w:hyperlink>
          </w:p>
        </w:tc>
        <w:tc>
          <w:tcPr>
            <w:tcW w:w="4120" w:type="dxa"/>
            <w:vAlign w:val="bottom"/>
            <w:gridSpan w:val="27"/>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Form of Option Agreement for awards made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the 1999 Plan.</w:t>
              </w:r>
            </w:hyperlink>
          </w:p>
        </w:tc>
        <w:tc>
          <w:tcPr>
            <w:tcW w:w="304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500" w:type="dxa"/>
            <w:vAlign w:val="bottom"/>
            <w:gridSpan w:val="2"/>
          </w:tcPr>
          <w:p>
            <w:pPr>
              <w:spacing w:after="0"/>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7"/>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G-III 2005 Amended and Restated Stock Incentive Plan,</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(the “2005 Plan”).</w:t>
              </w:r>
            </w:hyperlink>
          </w:p>
        </w:tc>
        <w:tc>
          <w:tcPr>
            <w:tcW w:w="276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980" w:type="dxa"/>
            <w:vAlign w:val="bottom"/>
            <w:gridSpan w:val="6"/>
          </w:tcPr>
          <w:p>
            <w:pPr>
              <w:spacing w:after="0"/>
              <w:rPr>
                <w:rFonts w:ascii="Arial" w:cs="Arial" w:eastAsia="Arial" w:hAnsi="Arial"/>
                <w:sz w:val="18"/>
                <w:szCs w:val="18"/>
                <w:color w:val="0000EE"/>
              </w:rPr>
            </w:pPr>
            <w:hyperlink r:id="rId154">
              <w:r>
                <w:rPr>
                  <w:rFonts w:ascii="Arial" w:cs="Arial" w:eastAsia="Arial" w:hAnsi="Arial"/>
                  <w:sz w:val="18"/>
                  <w:szCs w:val="18"/>
                  <w:color w:val="0000EE"/>
                </w:rPr>
                <w:t>10.</w:t>
              </w:r>
              <w:r>
                <w:rPr>
                  <w:rFonts w:ascii="Arial" w:cs="Arial" w:eastAsia="Arial" w:hAnsi="Arial"/>
                  <w:sz w:val="18"/>
                  <w:szCs w:val="18"/>
                  <w:u w:val="single" w:color="auto"/>
                  <w:color w:val="0000EE"/>
                </w:rPr>
                <w:t>7(a)</w:t>
              </w:r>
            </w:hyperlink>
          </w:p>
        </w:tc>
        <w:tc>
          <w:tcPr>
            <w:tcW w:w="4120" w:type="dxa"/>
            <w:vAlign w:val="bottom"/>
            <w:gridSpan w:val="27"/>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Form of Option Agreement for awards made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54">
              <w:r>
                <w:rPr>
                  <w:rFonts w:ascii="Arial" w:cs="Arial" w:eastAsia="Arial" w:hAnsi="Arial"/>
                  <w:sz w:val="18"/>
                  <w:szCs w:val="18"/>
                  <w:color w:val="0000EE"/>
                  <w:w w:val="87"/>
                </w:rPr>
                <w:t>the 2005 Plan.</w:t>
              </w:r>
            </w:hyperlink>
          </w:p>
        </w:tc>
        <w:tc>
          <w:tcPr>
            <w:tcW w:w="304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87"/>
              </w:rPr>
            </w:pPr>
            <w:hyperlink r:id="rId155">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7(b)</w:t>
              </w:r>
            </w:hyperlink>
          </w:p>
        </w:tc>
        <w:tc>
          <w:tcPr>
            <w:tcW w:w="440" w:type="dxa"/>
            <w:vAlign w:val="bottom"/>
            <w:gridSpan w:val="3"/>
          </w:tcPr>
          <w:p>
            <w:pPr>
              <w:spacing w:after="0"/>
              <w:rPr>
                <w:sz w:val="24"/>
                <w:szCs w:val="24"/>
                <w:color w:val="auto"/>
              </w:rPr>
            </w:pPr>
          </w:p>
        </w:tc>
        <w:tc>
          <w:tcPr>
            <w:tcW w:w="4060" w:type="dxa"/>
            <w:vAlign w:val="bottom"/>
            <w:tcBorders>
              <w:bottom w:val="single" w:sz="8" w:color="0000EE"/>
            </w:tcBorders>
            <w:gridSpan w:val="24"/>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Form of Restricted Stock Agreement for restricted stock</w:t>
              </w:r>
            </w:hyperlink>
          </w:p>
        </w:tc>
        <w:tc>
          <w:tcPr>
            <w:tcW w:w="6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awards made pursuant to the 2005 Plan.</w:t>
              </w:r>
            </w:hyperlink>
          </w:p>
        </w:tc>
        <w:tc>
          <w:tcPr>
            <w:tcW w:w="1240" w:type="dxa"/>
            <w:vAlign w:val="bottom"/>
            <w:gridSpan w:val="19"/>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wp:posOffset>
            </wp:positionV>
            <wp:extent cx="18351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43" w:lineRule="exact"/>
        <w:rPr>
          <w:sz w:val="20"/>
          <w:szCs w:val="20"/>
          <w:color w:val="auto"/>
        </w:rPr>
      </w:pPr>
    </w:p>
    <w:p>
      <w:pPr>
        <w:ind w:left="200"/>
        <w:spacing w:after="0"/>
        <w:tabs>
          <w:tab w:leader="none" w:pos="1140" w:val="left"/>
          <w:tab w:leader="none" w:pos="210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3"/>
          <w:szCs w:val="13"/>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wp:posOffset>
            </wp:positionV>
            <wp:extent cx="18351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38" w:lineRule="exact"/>
        <w:rPr>
          <w:sz w:val="20"/>
          <w:szCs w:val="20"/>
          <w:color w:val="auto"/>
        </w:rPr>
      </w:pPr>
    </w:p>
    <w:p>
      <w:pPr>
        <w:ind w:left="100"/>
        <w:spacing w:after="0"/>
        <w:tabs>
          <w:tab w:leader="none" w:pos="980" w:val="left"/>
          <w:tab w:leader="none" w:pos="2100" w:val="left"/>
        </w:tabs>
        <w:rPr>
          <w:rFonts w:ascii="Arial" w:cs="Arial" w:eastAsia="Arial" w:hAnsi="Arial"/>
          <w:sz w:val="16"/>
          <w:szCs w:val="16"/>
          <w:u w:val="single" w:color="auto"/>
          <w:color w:val="0000EE"/>
        </w:rPr>
      </w:pPr>
      <w:hyperlink r:id="rId143">
        <w:r>
          <w:rPr>
            <w:rFonts w:ascii="Arial" w:cs="Arial" w:eastAsia="Arial" w:hAnsi="Arial"/>
            <w:sz w:val="18"/>
            <w:szCs w:val="18"/>
            <w:u w:val="single" w:color="auto"/>
            <w:color w:val="0000EE"/>
          </w:rPr>
          <w:t>10-K/A</w:t>
        </w:r>
      </w:hyperlink>
      <w:r>
        <w:rPr>
          <w:rFonts w:ascii="Arial" w:cs="Arial" w:eastAsia="Arial" w:hAnsi="Arial"/>
          <w:sz w:val="18"/>
          <w:szCs w:val="18"/>
          <w:u w:val="single" w:color="auto"/>
          <w:color w:val="0000EE"/>
        </w:rPr>
        <w:tab/>
      </w:r>
      <w:hyperlink r:id="rId143">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3">
        <w:r>
          <w:rPr>
            <w:rFonts w:ascii="Arial" w:cs="Arial" w:eastAsia="Arial" w:hAnsi="Arial"/>
            <w:sz w:val="16"/>
            <w:szCs w:val="16"/>
            <w:u w:val="single" w:color="auto"/>
            <w:color w:val="0000EE"/>
          </w:rPr>
          <w:t>5/8/2006</w:t>
        </w:r>
      </w:hyperlink>
    </w:p>
    <w:p>
      <w:pPr>
        <w:spacing w:after="0" w:line="23" w:lineRule="exact"/>
        <w:rPr>
          <w:rFonts w:ascii="Arial" w:cs="Arial" w:eastAsia="Arial" w:hAnsi="Arial"/>
          <w:sz w:val="18"/>
          <w:szCs w:val="18"/>
          <w:u w:val="single" w:color="auto"/>
          <w:color w:val="0000EE"/>
        </w:rPr>
      </w:pPr>
    </w:p>
    <w:p>
      <w:pPr>
        <w:ind w:left="140"/>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(2006)</w:t>
        </w:r>
      </w:hyperlink>
    </w:p>
    <w:p>
      <w:pPr>
        <w:spacing w:after="0" w:line="103" w:lineRule="exact"/>
        <w:rPr>
          <w:rFonts w:ascii="Arial" w:cs="Arial" w:eastAsia="Arial" w:hAnsi="Arial"/>
          <w:sz w:val="18"/>
          <w:szCs w:val="18"/>
          <w:u w:val="single" w:color="auto"/>
          <w:color w:val="0000EE"/>
        </w:rPr>
      </w:pPr>
    </w:p>
    <w:p>
      <w:pPr>
        <w:ind w:left="100"/>
        <w:spacing w:after="0"/>
        <w:tabs>
          <w:tab w:leader="none" w:pos="980" w:val="left"/>
          <w:tab w:leader="none" w:pos="2100" w:val="left"/>
        </w:tabs>
        <w:rPr>
          <w:rFonts w:ascii="Arial" w:cs="Arial" w:eastAsia="Arial" w:hAnsi="Arial"/>
          <w:sz w:val="16"/>
          <w:szCs w:val="16"/>
          <w:u w:val="single" w:color="auto"/>
          <w:color w:val="0000EE"/>
        </w:rPr>
      </w:pPr>
      <w:hyperlink r:id="rId144">
        <w:r>
          <w:rPr>
            <w:rFonts w:ascii="Arial" w:cs="Arial" w:eastAsia="Arial" w:hAnsi="Arial"/>
            <w:sz w:val="18"/>
            <w:szCs w:val="18"/>
            <w:u w:val="single" w:color="auto"/>
            <w:color w:val="0000EE"/>
          </w:rPr>
          <w:t>10-K/A</w:t>
        </w:r>
      </w:hyperlink>
      <w:r>
        <w:rPr>
          <w:rFonts w:ascii="Arial" w:cs="Arial" w:eastAsia="Arial" w:hAnsi="Arial"/>
          <w:sz w:val="18"/>
          <w:szCs w:val="18"/>
          <w:u w:val="single" w:color="auto"/>
          <w:color w:val="0000EE"/>
        </w:rPr>
        <w:tab/>
      </w:r>
      <w:hyperlink r:id="rId144">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4">
        <w:r>
          <w:rPr>
            <w:rFonts w:ascii="Arial" w:cs="Arial" w:eastAsia="Arial" w:hAnsi="Arial"/>
            <w:sz w:val="16"/>
            <w:szCs w:val="16"/>
            <w:u w:val="single" w:color="auto"/>
            <w:color w:val="0000EE"/>
          </w:rPr>
          <w:t>5/8/2006</w:t>
        </w:r>
      </w:hyperlink>
    </w:p>
    <w:p>
      <w:pPr>
        <w:spacing w:after="0" w:line="23" w:lineRule="exact"/>
        <w:rPr>
          <w:rFonts w:ascii="Arial" w:cs="Arial" w:eastAsia="Arial" w:hAnsi="Arial"/>
          <w:sz w:val="18"/>
          <w:szCs w:val="18"/>
          <w:u w:val="single" w:color="auto"/>
          <w:color w:val="0000EE"/>
        </w:rPr>
      </w:pPr>
    </w:p>
    <w:p>
      <w:pPr>
        <w:ind w:left="140"/>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(2006)</w:t>
        </w:r>
      </w:hyperlink>
    </w:p>
    <w:p>
      <w:pPr>
        <w:spacing w:after="0" w:line="103" w:lineRule="exact"/>
        <w:rPr>
          <w:rFonts w:ascii="Arial" w:cs="Arial" w:eastAsia="Arial" w:hAnsi="Arial"/>
          <w:sz w:val="18"/>
          <w:szCs w:val="18"/>
          <w:u w:val="single" w:color="auto"/>
          <w:color w:val="0000EE"/>
        </w:rPr>
      </w:pPr>
    </w:p>
    <w:p>
      <w:pPr>
        <w:ind w:left="180"/>
        <w:spacing w:after="0"/>
        <w:tabs>
          <w:tab w:leader="none" w:pos="980" w:val="left"/>
          <w:tab w:leader="none" w:pos="2000" w:val="left"/>
        </w:tabs>
        <w:rPr>
          <w:rFonts w:ascii="Arial" w:cs="Arial" w:eastAsia="Arial" w:hAnsi="Arial"/>
          <w:sz w:val="16"/>
          <w:szCs w:val="16"/>
          <w:u w:val="single" w:color="auto"/>
          <w:color w:val="0000EE"/>
        </w:rPr>
      </w:pPr>
      <w:hyperlink r:id="rId145">
        <w:r>
          <w:rPr>
            <w:rFonts w:ascii="Arial" w:cs="Arial" w:eastAsia="Arial" w:hAnsi="Arial"/>
            <w:sz w:val="18"/>
            <w:szCs w:val="18"/>
            <w:u w:val="single" w:color="auto"/>
            <w:color w:val="0000EE"/>
          </w:rPr>
          <w:t>10-Q</w:t>
        </w:r>
      </w:hyperlink>
      <w:r>
        <w:rPr>
          <w:rFonts w:ascii="Arial" w:cs="Arial" w:eastAsia="Arial" w:hAnsi="Arial"/>
          <w:sz w:val="18"/>
          <w:szCs w:val="18"/>
          <w:u w:val="single" w:color="auto"/>
          <w:color w:val="0000EE"/>
        </w:rPr>
        <w:tab/>
      </w:r>
      <w:hyperlink r:id="rId145">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5">
        <w:r>
          <w:rPr>
            <w:rFonts w:ascii="Arial" w:cs="Arial" w:eastAsia="Arial" w:hAnsi="Arial"/>
            <w:sz w:val="16"/>
            <w:szCs w:val="16"/>
            <w:u w:val="single" w:color="auto"/>
            <w:color w:val="0000EE"/>
          </w:rPr>
          <w:t>12/10/2010</w:t>
        </w:r>
      </w:hyperlink>
    </w:p>
    <w:p>
      <w:pPr>
        <w:spacing w:after="0" w:line="23" w:lineRule="exact"/>
        <w:rPr>
          <w:rFonts w:ascii="Arial" w:cs="Arial" w:eastAsia="Arial" w:hAnsi="Arial"/>
          <w:sz w:val="18"/>
          <w:szCs w:val="18"/>
          <w:u w:val="single" w:color="auto"/>
          <w:color w:val="0000EE"/>
        </w:rPr>
      </w:pPr>
    </w:p>
    <w:p>
      <w:pPr>
        <w:ind w:left="20"/>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(Q3 2011)</w:t>
        </w:r>
      </w:hyperlink>
    </w:p>
    <w:p>
      <w:pPr>
        <w:spacing w:after="0" w:line="103" w:lineRule="exact"/>
        <w:rPr>
          <w:rFonts w:ascii="Arial" w:cs="Arial" w:eastAsia="Arial" w:hAnsi="Arial"/>
          <w:sz w:val="18"/>
          <w:szCs w:val="18"/>
          <w:u w:val="single" w:color="auto"/>
          <w:color w:val="0000EE"/>
        </w:rPr>
      </w:pPr>
    </w:p>
    <w:p>
      <w:pPr>
        <w:ind w:left="180"/>
        <w:spacing w:after="0"/>
        <w:tabs>
          <w:tab w:leader="none" w:pos="980" w:val="left"/>
          <w:tab w:leader="none" w:pos="2000" w:val="left"/>
        </w:tabs>
        <w:rPr>
          <w:rFonts w:ascii="Arial" w:cs="Arial" w:eastAsia="Arial" w:hAnsi="Arial"/>
          <w:sz w:val="16"/>
          <w:szCs w:val="16"/>
          <w:u w:val="single" w:color="auto"/>
          <w:color w:val="0000EE"/>
        </w:rPr>
      </w:pPr>
      <w:hyperlink r:id="rId146">
        <w:r>
          <w:rPr>
            <w:rFonts w:ascii="Arial" w:cs="Arial" w:eastAsia="Arial" w:hAnsi="Arial"/>
            <w:sz w:val="18"/>
            <w:szCs w:val="18"/>
            <w:u w:val="single" w:color="auto"/>
            <w:color w:val="0000EE"/>
          </w:rPr>
          <w:t>10-Q</w:t>
        </w:r>
      </w:hyperlink>
      <w:r>
        <w:rPr>
          <w:rFonts w:ascii="Arial" w:cs="Arial" w:eastAsia="Arial" w:hAnsi="Arial"/>
          <w:sz w:val="18"/>
          <w:szCs w:val="18"/>
          <w:u w:val="single" w:color="auto"/>
          <w:color w:val="0000EE"/>
        </w:rPr>
        <w:tab/>
      </w:r>
      <w:hyperlink r:id="rId146">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6">
        <w:r>
          <w:rPr>
            <w:rFonts w:ascii="Arial" w:cs="Arial" w:eastAsia="Arial" w:hAnsi="Arial"/>
            <w:sz w:val="16"/>
            <w:szCs w:val="16"/>
            <w:u w:val="single" w:color="auto"/>
            <w:color w:val="0000EE"/>
          </w:rPr>
          <w:t>12/10/2010</w:t>
        </w:r>
      </w:hyperlink>
    </w:p>
    <w:p>
      <w:pPr>
        <w:spacing w:after="0" w:line="23" w:lineRule="exact"/>
        <w:rPr>
          <w:rFonts w:ascii="Arial" w:cs="Arial" w:eastAsia="Arial" w:hAnsi="Arial"/>
          <w:sz w:val="18"/>
          <w:szCs w:val="18"/>
          <w:u w:val="single" w:color="auto"/>
          <w:color w:val="0000EE"/>
        </w:rPr>
      </w:pPr>
    </w:p>
    <w:p>
      <w:pPr>
        <w:ind w:left="20"/>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(Q3 2011)</w:t>
        </w:r>
      </w:hyperlink>
    </w:p>
    <w:p>
      <w:pPr>
        <w:spacing w:after="0" w:line="103" w:lineRule="exact"/>
        <w:rPr>
          <w:rFonts w:ascii="Arial" w:cs="Arial" w:eastAsia="Arial" w:hAnsi="Arial"/>
          <w:sz w:val="18"/>
          <w:szCs w:val="18"/>
          <w:u w:val="single" w:color="auto"/>
          <w:color w:val="0000EE"/>
        </w:rPr>
      </w:pPr>
    </w:p>
    <w:p>
      <w:pPr>
        <w:ind w:left="180"/>
        <w:spacing w:after="0"/>
        <w:tabs>
          <w:tab w:leader="none" w:pos="980" w:val="left"/>
          <w:tab w:leader="none" w:pos="2000" w:val="left"/>
        </w:tabs>
        <w:rPr>
          <w:rFonts w:ascii="Arial" w:cs="Arial" w:eastAsia="Arial" w:hAnsi="Arial"/>
          <w:sz w:val="16"/>
          <w:szCs w:val="16"/>
          <w:u w:val="single" w:color="auto"/>
          <w:color w:val="0000EE"/>
        </w:rPr>
      </w:pPr>
      <w:hyperlink r:id="rId147">
        <w:r>
          <w:rPr>
            <w:rFonts w:ascii="Arial" w:cs="Arial" w:eastAsia="Arial" w:hAnsi="Arial"/>
            <w:sz w:val="18"/>
            <w:szCs w:val="18"/>
            <w:u w:val="single" w:color="auto"/>
            <w:color w:val="0000EE"/>
          </w:rPr>
          <w:t>10-Q</w:t>
        </w:r>
      </w:hyperlink>
      <w:r>
        <w:rPr>
          <w:rFonts w:ascii="Arial" w:cs="Arial" w:eastAsia="Arial" w:hAnsi="Arial"/>
          <w:sz w:val="18"/>
          <w:szCs w:val="18"/>
          <w:u w:val="single" w:color="auto"/>
          <w:color w:val="0000EE"/>
        </w:rPr>
        <w:tab/>
      </w:r>
      <w:hyperlink r:id="rId147">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7">
        <w:r>
          <w:rPr>
            <w:rFonts w:ascii="Arial" w:cs="Arial" w:eastAsia="Arial" w:hAnsi="Arial"/>
            <w:sz w:val="16"/>
            <w:szCs w:val="16"/>
            <w:u w:val="single" w:color="auto"/>
            <w:color w:val="0000EE"/>
          </w:rPr>
          <w:t>12/10/2010</w:t>
        </w:r>
      </w:hyperlink>
    </w:p>
    <w:p>
      <w:pPr>
        <w:spacing w:after="0" w:line="23" w:lineRule="exact"/>
        <w:rPr>
          <w:rFonts w:ascii="Arial" w:cs="Arial" w:eastAsia="Arial" w:hAnsi="Arial"/>
          <w:sz w:val="18"/>
          <w:szCs w:val="18"/>
          <w:u w:val="single" w:color="auto"/>
          <w:color w:val="0000EE"/>
        </w:rPr>
      </w:pPr>
    </w:p>
    <w:p>
      <w:pPr>
        <w:ind w:left="20"/>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(Q3 2011)</w:t>
        </w:r>
      </w:hyperlink>
    </w:p>
    <w:p>
      <w:pPr>
        <w:spacing w:after="0" w:line="319" w:lineRule="exact"/>
        <w:rPr>
          <w:rFonts w:ascii="Arial" w:cs="Arial" w:eastAsia="Arial" w:hAnsi="Arial"/>
          <w:sz w:val="18"/>
          <w:szCs w:val="18"/>
          <w:u w:val="single" w:color="auto"/>
          <w:color w:val="0000EE"/>
        </w:rPr>
      </w:pPr>
    </w:p>
    <w:p>
      <w:pPr>
        <w:ind w:left="180"/>
        <w:spacing w:after="0"/>
        <w:tabs>
          <w:tab w:leader="none" w:pos="980" w:val="left"/>
          <w:tab w:leader="none" w:pos="2040" w:val="left"/>
        </w:tabs>
        <w:rPr>
          <w:rFonts w:ascii="Arial" w:cs="Arial" w:eastAsia="Arial" w:hAnsi="Arial"/>
          <w:sz w:val="16"/>
          <w:szCs w:val="16"/>
          <w:u w:val="single" w:color="auto"/>
          <w:color w:val="0000EE"/>
        </w:rPr>
      </w:pPr>
      <w:hyperlink r:id="rId148">
        <w:r>
          <w:rPr>
            <w:rFonts w:ascii="Arial" w:cs="Arial" w:eastAsia="Arial" w:hAnsi="Arial"/>
            <w:sz w:val="18"/>
            <w:szCs w:val="18"/>
            <w:u w:val="single" w:color="auto"/>
            <w:color w:val="0000EE"/>
          </w:rPr>
          <w:t>10-Q</w:t>
        </w:r>
      </w:hyperlink>
      <w:r>
        <w:rPr>
          <w:rFonts w:ascii="Arial" w:cs="Arial" w:eastAsia="Arial" w:hAnsi="Arial"/>
          <w:sz w:val="18"/>
          <w:szCs w:val="18"/>
          <w:u w:val="single" w:color="auto"/>
          <w:color w:val="0000EE"/>
        </w:rPr>
        <w:tab/>
      </w:r>
      <w:hyperlink r:id="rId148">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8">
        <w:r>
          <w:rPr>
            <w:rFonts w:ascii="Arial" w:cs="Arial" w:eastAsia="Arial" w:hAnsi="Arial"/>
            <w:sz w:val="16"/>
            <w:szCs w:val="16"/>
            <w:u w:val="single" w:color="auto"/>
            <w:color w:val="0000EE"/>
          </w:rPr>
          <w:t>6/10/2013</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(Q1 2014)</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51" w:lineRule="exact"/>
        <w:rPr>
          <w:rFonts w:ascii="Arial" w:cs="Arial" w:eastAsia="Arial" w:hAnsi="Arial"/>
          <w:sz w:val="18"/>
          <w:szCs w:val="18"/>
          <w:u w:val="single" w:color="auto"/>
          <w:color w:val="0000EE"/>
        </w:rPr>
      </w:pPr>
    </w:p>
    <w:p>
      <w:pPr>
        <w:ind w:left="180"/>
        <w:spacing w:after="0"/>
        <w:tabs>
          <w:tab w:leader="none" w:pos="980" w:val="left"/>
          <w:tab w:leader="none" w:pos="2100" w:val="left"/>
        </w:tabs>
        <w:rPr>
          <w:rFonts w:ascii="Arial" w:cs="Arial" w:eastAsia="Arial" w:hAnsi="Arial"/>
          <w:sz w:val="16"/>
          <w:szCs w:val="16"/>
          <w:u w:val="single" w:color="auto"/>
          <w:color w:val="0000EE"/>
        </w:rPr>
      </w:pPr>
      <w:hyperlink r:id="rId149">
        <w:r>
          <w:rPr>
            <w:rFonts w:ascii="Arial" w:cs="Arial" w:eastAsia="Arial" w:hAnsi="Arial"/>
            <w:sz w:val="18"/>
            <w:szCs w:val="18"/>
            <w:u w:val="single" w:color="auto"/>
            <w:color w:val="0000EE"/>
          </w:rPr>
          <w:t>10-Q</w:t>
        </w:r>
      </w:hyperlink>
      <w:r>
        <w:rPr>
          <w:rFonts w:ascii="Arial" w:cs="Arial" w:eastAsia="Arial" w:hAnsi="Arial"/>
          <w:sz w:val="18"/>
          <w:szCs w:val="18"/>
          <w:u w:val="single" w:color="auto"/>
          <w:color w:val="0000EE"/>
        </w:rPr>
        <w:tab/>
      </w:r>
      <w:hyperlink r:id="rId149">
        <w:r>
          <w:rPr>
            <w:rFonts w:ascii="Arial" w:cs="Arial" w:eastAsia="Arial" w:hAnsi="Arial"/>
            <w:sz w:val="18"/>
            <w:szCs w:val="18"/>
            <w:u w:val="single" w:color="auto"/>
            <w:color w:val="0000EE"/>
          </w:rPr>
          <w:t>000-18183</w:t>
        </w:r>
      </w:hyperlink>
      <w:r>
        <w:rPr>
          <w:rFonts w:ascii="Arial" w:cs="Arial" w:eastAsia="Arial" w:hAnsi="Arial"/>
          <w:sz w:val="18"/>
          <w:szCs w:val="18"/>
          <w:u w:val="single" w:color="auto"/>
          <w:color w:val="0000EE"/>
        </w:rPr>
        <w:tab/>
      </w:r>
      <w:hyperlink r:id="rId149">
        <w:r>
          <w:rPr>
            <w:rFonts w:ascii="Arial" w:cs="Arial" w:eastAsia="Arial" w:hAnsi="Arial"/>
            <w:sz w:val="16"/>
            <w:szCs w:val="16"/>
            <w:u w:val="single" w:color="auto"/>
            <w:color w:val="0000EE"/>
          </w:rPr>
          <w:t>6/5/2014</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(Q1 2015)</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51" w:lineRule="exact"/>
        <w:rPr>
          <w:rFonts w:ascii="Arial" w:cs="Arial" w:eastAsia="Arial" w:hAnsi="Arial"/>
          <w:sz w:val="18"/>
          <w:szCs w:val="18"/>
          <w:u w:val="single" w:color="auto"/>
          <w:color w:val="0000EE"/>
        </w:rPr>
      </w:pPr>
    </w:p>
    <w:p>
      <w:pPr>
        <w:ind w:left="300"/>
        <w:spacing w:after="0"/>
        <w:tabs>
          <w:tab w:leader="none" w:pos="1280" w:val="left"/>
          <w:tab w:leader="none" w:pos="232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w:t>
      </w:r>
      <w:r>
        <w:rPr>
          <w:sz w:val="20"/>
          <w:szCs w:val="20"/>
          <w:color w:val="auto"/>
        </w:rPr>
        <w:tab/>
      </w:r>
      <w:r>
        <w:rPr>
          <w:rFonts w:ascii="Arial" w:cs="Arial" w:eastAsia="Arial" w:hAnsi="Arial"/>
          <w:sz w:val="18"/>
          <w:szCs w:val="18"/>
          <w:u w:val="single" w:color="auto"/>
          <w:color w:val="0000EE"/>
        </w:rPr>
        <w:t>—</w:t>
      </w:r>
      <w:r>
        <w:rPr>
          <w:sz w:val="20"/>
          <w:szCs w:val="20"/>
          <w:color w:val="auto"/>
        </w:rPr>
        <w:tab/>
      </w:r>
      <w:hyperlink w:anchor="page109">
        <w:r>
          <w:rPr>
            <w:rFonts w:ascii="Arial" w:cs="Arial" w:eastAsia="Arial" w:hAnsi="Arial"/>
            <w:sz w:val="17"/>
            <w:szCs w:val="17"/>
            <w:u w:val="single" w:color="auto"/>
            <w:color w:val="0000EE"/>
          </w:rPr>
          <w:t>—</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80" w:lineRule="exact"/>
        <w:rPr>
          <w:rFonts w:ascii="Arial" w:cs="Arial" w:eastAsia="Arial" w:hAnsi="Arial"/>
          <w:sz w:val="18"/>
          <w:szCs w:val="18"/>
          <w:u w:val="single" w:color="auto"/>
          <w:color w:val="0000EE"/>
        </w:rPr>
      </w:pPr>
    </w:p>
    <w:tbl>
      <w:tblPr>
        <w:tblLayout w:type="fixed"/>
        <w:tblInd w:w="2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0000EE"/>
            </w:tcBorders>
            <w:gridSpan w:val="3"/>
          </w:tcPr>
          <w:p>
            <w:pPr>
              <w:jc w:val="center"/>
              <w:ind w:right="40"/>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10-Q</w:t>
              </w:r>
            </w:hyperlink>
          </w:p>
        </w:tc>
        <w:tc>
          <w:tcPr>
            <w:tcW w:w="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0000EE"/>
            </w:tcBorders>
          </w:tcPr>
          <w:p>
            <w:pPr>
              <w:jc w:val="right"/>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000-18183</w:t>
              </w:r>
            </w:hyperlink>
          </w:p>
        </w:tc>
        <w:tc>
          <w:tcPr>
            <w:tcW w:w="240" w:type="dxa"/>
            <w:vAlign w:val="bottom"/>
          </w:tcPr>
          <w:p>
            <w:pPr>
              <w:spacing w:after="0"/>
              <w:rPr>
                <w:sz w:val="18"/>
                <w:szCs w:val="18"/>
                <w:color w:val="auto"/>
              </w:rPr>
            </w:pPr>
          </w:p>
        </w:tc>
        <w:tc>
          <w:tcPr>
            <w:tcW w:w="820" w:type="dxa"/>
            <w:vAlign w:val="bottom"/>
            <w:tcBorders>
              <w:bottom w:val="single" w:sz="8" w:color="0000EE"/>
            </w:tcBorders>
            <w:gridSpan w:val="3"/>
          </w:tcPr>
          <w:p>
            <w:pPr>
              <w:jc w:val="cente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12/10/2010</w:t>
              </w:r>
            </w:hyperlink>
          </w:p>
        </w:tc>
      </w:tr>
      <w:tr>
        <w:trPr>
          <w:trHeight w:val="196"/>
        </w:trPr>
        <w:tc>
          <w:tcPr>
            <w:tcW w:w="7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(Q3 2011)</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4"/>
          </w:tcPr>
          <w:p>
            <w:pPr>
              <w:jc w:val="center"/>
              <w:ind w:right="200"/>
              <w:spacing w:after="0"/>
              <w:rPr>
                <w:rFonts w:ascii="Arial" w:cs="Arial" w:eastAsia="Arial" w:hAnsi="Arial"/>
                <w:sz w:val="18"/>
                <w:szCs w:val="18"/>
                <w:color w:val="0000EE"/>
                <w:w w:val="84"/>
              </w:rPr>
            </w:pPr>
            <w:hyperlink r:id="rId151">
              <w:r>
                <w:rPr>
                  <w:rFonts w:ascii="Arial" w:cs="Arial" w:eastAsia="Arial" w:hAnsi="Arial"/>
                  <w:sz w:val="18"/>
                  <w:szCs w:val="18"/>
                  <w:color w:val="0000EE"/>
                  <w:w w:val="84"/>
                </w:rPr>
                <w:t>10-K</w:t>
              </w:r>
            </w:hyperlink>
          </w:p>
        </w:tc>
        <w:tc>
          <w:tcPr>
            <w:tcW w:w="1020" w:type="dxa"/>
            <w:vAlign w:val="bottom"/>
            <w:gridSpan w:val="2"/>
          </w:tcPr>
          <w:p>
            <w:pPr>
              <w:jc w:val="right"/>
              <w:spacing w:after="0"/>
              <w:rPr>
                <w:rFonts w:ascii="Arial" w:cs="Arial" w:eastAsia="Arial" w:hAnsi="Arial"/>
                <w:sz w:val="18"/>
                <w:szCs w:val="18"/>
                <w:color w:val="0000EE"/>
              </w:rPr>
            </w:pPr>
            <w:hyperlink r:id="rId151">
              <w:r>
                <w:rPr>
                  <w:rFonts w:ascii="Arial" w:cs="Arial" w:eastAsia="Arial" w:hAnsi="Arial"/>
                  <w:sz w:val="18"/>
                  <w:szCs w:val="18"/>
                  <w:color w:val="0000EE"/>
                </w:rPr>
                <w:t>000-18183</w:t>
              </w:r>
            </w:hyperlink>
          </w:p>
        </w:tc>
        <w:tc>
          <w:tcPr>
            <w:tcW w:w="980" w:type="dxa"/>
            <w:vAlign w:val="bottom"/>
            <w:gridSpan w:val="3"/>
          </w:tcPr>
          <w:p>
            <w:pPr>
              <w:jc w:val="center"/>
              <w:ind w:left="250"/>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5/1/2006</w:t>
              </w:r>
            </w:hyperlink>
          </w:p>
        </w:tc>
        <w:tc>
          <w:tcPr>
            <w:tcW w:w="8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jc w:val="center"/>
              <w:ind w:right="140"/>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(2006)</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3"/>
          </w:tcPr>
          <w:p>
            <w:pPr>
              <w:jc w:val="center"/>
              <w:ind w:right="60"/>
              <w:spacing w:after="0"/>
              <w:rPr>
                <w:rFonts w:ascii="Arial" w:cs="Arial" w:eastAsia="Arial" w:hAnsi="Arial"/>
                <w:sz w:val="18"/>
                <w:szCs w:val="18"/>
                <w:color w:val="0000EE"/>
                <w:w w:val="84"/>
              </w:rPr>
            </w:pPr>
            <w:hyperlink r:id="rId152">
              <w:r>
                <w:rPr>
                  <w:rFonts w:ascii="Arial" w:cs="Arial" w:eastAsia="Arial" w:hAnsi="Arial"/>
                  <w:sz w:val="18"/>
                  <w:szCs w:val="18"/>
                  <w:color w:val="0000EE"/>
                  <w:w w:val="84"/>
                </w:rPr>
                <w:t>10-K</w:t>
              </w:r>
            </w:hyperlink>
          </w:p>
        </w:tc>
        <w:tc>
          <w:tcPr>
            <w:tcW w:w="140" w:type="dxa"/>
            <w:vAlign w:val="bottom"/>
          </w:tcPr>
          <w:p>
            <w:pPr>
              <w:spacing w:after="0"/>
              <w:rPr>
                <w:sz w:val="24"/>
                <w:szCs w:val="24"/>
                <w:color w:val="auto"/>
              </w:rPr>
            </w:pPr>
          </w:p>
        </w:tc>
        <w:tc>
          <w:tcPr>
            <w:tcW w:w="1020" w:type="dxa"/>
            <w:vAlign w:val="bottom"/>
            <w:gridSpan w:val="2"/>
          </w:tcPr>
          <w:p>
            <w:pPr>
              <w:jc w:val="right"/>
              <w:spacing w:after="0"/>
              <w:rPr>
                <w:rFonts w:ascii="Arial" w:cs="Arial" w:eastAsia="Arial" w:hAnsi="Arial"/>
                <w:sz w:val="18"/>
                <w:szCs w:val="18"/>
                <w:color w:val="0000EE"/>
              </w:rPr>
            </w:pPr>
            <w:hyperlink r:id="rId152">
              <w:r>
                <w:rPr>
                  <w:rFonts w:ascii="Arial" w:cs="Arial" w:eastAsia="Arial" w:hAnsi="Arial"/>
                  <w:sz w:val="18"/>
                  <w:szCs w:val="18"/>
                  <w:color w:val="0000EE"/>
                </w:rPr>
                <w:t>000-18183</w:t>
              </w:r>
            </w:hyperlink>
          </w:p>
        </w:tc>
        <w:tc>
          <w:tcPr>
            <w:tcW w:w="1060" w:type="dxa"/>
            <w:vAlign w:val="bottom"/>
            <w:gridSpan w:val="4"/>
          </w:tcPr>
          <w:p>
            <w:pPr>
              <w:jc w:val="center"/>
              <w:ind w:left="150"/>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4/16/2009</w:t>
              </w:r>
            </w:hyperlink>
          </w:p>
        </w:tc>
      </w:tr>
      <w:tr>
        <w:trPr>
          <w:trHeight w:val="20"/>
        </w:trPr>
        <w:tc>
          <w:tcPr>
            <w:tcW w:w="220" w:type="dxa"/>
            <w:vAlign w:val="bottom"/>
            <w:tcBorders>
              <w:right w:val="single" w:sz="8" w:color="0000EE"/>
            </w:tcBorders>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jc w:val="center"/>
              <w:ind w:right="140"/>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(2009)</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3"/>
          </w:tcPr>
          <w:p>
            <w:pPr>
              <w:jc w:val="center"/>
              <w:ind w:right="100"/>
              <w:spacing w:after="0"/>
              <w:rPr>
                <w:rFonts w:ascii="Arial" w:cs="Arial" w:eastAsia="Arial" w:hAnsi="Arial"/>
                <w:sz w:val="18"/>
                <w:szCs w:val="18"/>
                <w:color w:val="0000EE"/>
                <w:w w:val="99"/>
              </w:rPr>
            </w:pPr>
            <w:hyperlink r:id="rId153">
              <w:r>
                <w:rPr>
                  <w:rFonts w:ascii="Arial" w:cs="Arial" w:eastAsia="Arial" w:hAnsi="Arial"/>
                  <w:sz w:val="18"/>
                  <w:szCs w:val="18"/>
                  <w:color w:val="0000EE"/>
                  <w:w w:val="99"/>
                </w:rPr>
                <w:t>8-K</w:t>
              </w:r>
            </w:hyperlink>
          </w:p>
        </w:tc>
        <w:tc>
          <w:tcPr>
            <w:tcW w:w="140" w:type="dxa"/>
            <w:vAlign w:val="bottom"/>
          </w:tcPr>
          <w:p>
            <w:pPr>
              <w:spacing w:after="0"/>
              <w:rPr>
                <w:sz w:val="24"/>
                <w:szCs w:val="24"/>
                <w:color w:val="auto"/>
              </w:rPr>
            </w:pPr>
          </w:p>
        </w:tc>
        <w:tc>
          <w:tcPr>
            <w:tcW w:w="1020" w:type="dxa"/>
            <w:vAlign w:val="bottom"/>
            <w:gridSpan w:val="2"/>
          </w:tcPr>
          <w:p>
            <w:pPr>
              <w:jc w:val="right"/>
              <w:spacing w:after="0"/>
              <w:rPr>
                <w:rFonts w:ascii="Arial" w:cs="Arial" w:eastAsia="Arial" w:hAnsi="Arial"/>
                <w:sz w:val="18"/>
                <w:szCs w:val="18"/>
                <w:color w:val="0000EE"/>
              </w:rPr>
            </w:pPr>
            <w:hyperlink r:id="rId153">
              <w:r>
                <w:rPr>
                  <w:rFonts w:ascii="Arial" w:cs="Arial" w:eastAsia="Arial" w:hAnsi="Arial"/>
                  <w:sz w:val="18"/>
                  <w:szCs w:val="18"/>
                  <w:color w:val="0000EE"/>
                </w:rPr>
                <w:t>000-18183</w:t>
              </w:r>
            </w:hyperlink>
          </w:p>
        </w:tc>
        <w:tc>
          <w:tcPr>
            <w:tcW w:w="1060" w:type="dxa"/>
            <w:vAlign w:val="bottom"/>
            <w:gridSpan w:val="4"/>
          </w:tcPr>
          <w:p>
            <w:pPr>
              <w:jc w:val="center"/>
              <w:ind w:left="150"/>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3/15/2013</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520"/>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4"/>
          </w:tcPr>
          <w:p>
            <w:pPr>
              <w:jc w:val="center"/>
              <w:ind w:right="200"/>
              <w:spacing w:after="0"/>
              <w:rPr>
                <w:rFonts w:ascii="Arial" w:cs="Arial" w:eastAsia="Arial" w:hAnsi="Arial"/>
                <w:sz w:val="18"/>
                <w:szCs w:val="18"/>
                <w:color w:val="0000EE"/>
                <w:w w:val="84"/>
              </w:rPr>
            </w:pPr>
            <w:hyperlink r:id="rId154">
              <w:r>
                <w:rPr>
                  <w:rFonts w:ascii="Arial" w:cs="Arial" w:eastAsia="Arial" w:hAnsi="Arial"/>
                  <w:sz w:val="18"/>
                  <w:szCs w:val="18"/>
                  <w:color w:val="0000EE"/>
                  <w:w w:val="84"/>
                </w:rPr>
                <w:t>10-K</w:t>
              </w:r>
            </w:hyperlink>
          </w:p>
        </w:tc>
        <w:tc>
          <w:tcPr>
            <w:tcW w:w="1020" w:type="dxa"/>
            <w:vAlign w:val="bottom"/>
            <w:gridSpan w:val="2"/>
          </w:tcPr>
          <w:p>
            <w:pPr>
              <w:jc w:val="right"/>
              <w:spacing w:after="0"/>
              <w:rPr>
                <w:rFonts w:ascii="Arial" w:cs="Arial" w:eastAsia="Arial" w:hAnsi="Arial"/>
                <w:sz w:val="18"/>
                <w:szCs w:val="18"/>
                <w:color w:val="0000EE"/>
              </w:rPr>
            </w:pPr>
            <w:hyperlink r:id="rId154">
              <w:r>
                <w:rPr>
                  <w:rFonts w:ascii="Arial" w:cs="Arial" w:eastAsia="Arial" w:hAnsi="Arial"/>
                  <w:sz w:val="18"/>
                  <w:szCs w:val="18"/>
                  <w:color w:val="0000EE"/>
                </w:rPr>
                <w:t>000-18183</w:t>
              </w:r>
            </w:hyperlink>
          </w:p>
        </w:tc>
        <w:tc>
          <w:tcPr>
            <w:tcW w:w="1060" w:type="dxa"/>
            <w:vAlign w:val="bottom"/>
            <w:gridSpan w:val="4"/>
          </w:tcPr>
          <w:p>
            <w:pPr>
              <w:jc w:val="center"/>
              <w:ind w:left="150"/>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4/16/2009</w:t>
              </w:r>
            </w:hyperlink>
          </w:p>
        </w:tc>
      </w:tr>
      <w:tr>
        <w:trPr>
          <w:trHeight w:val="20"/>
        </w:trPr>
        <w:tc>
          <w:tcPr>
            <w:tcW w:w="220" w:type="dxa"/>
            <w:vAlign w:val="bottom"/>
            <w:tcBorders>
              <w:right w:val="single" w:sz="8" w:color="0000EE"/>
            </w:tcBorders>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gridSpan w:val="6"/>
          </w:tcPr>
          <w:p>
            <w:pPr>
              <w:jc w:val="center"/>
              <w:ind w:right="140"/>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(2009)</w:t>
              </w:r>
            </w:hyperlink>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3"/>
          </w:tcPr>
          <w:p>
            <w:pPr>
              <w:jc w:val="center"/>
              <w:ind w:right="100"/>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8-K</w:t>
              </w:r>
            </w:hyperlink>
          </w:p>
        </w:tc>
        <w:tc>
          <w:tcPr>
            <w:tcW w:w="140" w:type="dxa"/>
            <w:vAlign w:val="bottom"/>
          </w:tcPr>
          <w:p>
            <w:pPr>
              <w:spacing w:after="0"/>
              <w:rPr>
                <w:sz w:val="24"/>
                <w:szCs w:val="24"/>
                <w:color w:val="auto"/>
              </w:rPr>
            </w:pPr>
          </w:p>
        </w:tc>
        <w:tc>
          <w:tcPr>
            <w:tcW w:w="1020" w:type="dxa"/>
            <w:vAlign w:val="bottom"/>
            <w:gridSpan w:val="2"/>
          </w:tcPr>
          <w:p>
            <w:pPr>
              <w:jc w:val="right"/>
              <w:spacing w:after="0"/>
              <w:rPr>
                <w:rFonts w:ascii="Arial" w:cs="Arial" w:eastAsia="Arial" w:hAnsi="Arial"/>
                <w:sz w:val="18"/>
                <w:szCs w:val="18"/>
                <w:color w:val="0000EE"/>
              </w:rPr>
            </w:pPr>
            <w:hyperlink r:id="rId155">
              <w:r>
                <w:rPr>
                  <w:rFonts w:ascii="Arial" w:cs="Arial" w:eastAsia="Arial" w:hAnsi="Arial"/>
                  <w:sz w:val="18"/>
                  <w:szCs w:val="18"/>
                  <w:color w:val="0000EE"/>
                </w:rPr>
                <w:t>000-18183</w:t>
              </w:r>
            </w:hyperlink>
          </w:p>
        </w:tc>
        <w:tc>
          <w:tcPr>
            <w:tcW w:w="1060" w:type="dxa"/>
            <w:vAlign w:val="bottom"/>
            <w:gridSpan w:val="4"/>
          </w:tcPr>
          <w:p>
            <w:pPr>
              <w:jc w:val="center"/>
              <w:ind w:left="150"/>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6/15/2005</w:t>
              </w:r>
            </w:hyperlink>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2">
            <w:col w:w="6360" w:space="240"/>
            <w:col w:w="36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80" w:type="dxa"/>
            <w:vAlign w:val="bottom"/>
            <w:gridSpan w:val="7"/>
          </w:tcPr>
          <w:p>
            <w:pPr>
              <w:spacing w:after="0"/>
              <w:rPr>
                <w:sz w:val="20"/>
                <w:szCs w:val="20"/>
                <w:color w:val="auto"/>
              </w:rPr>
            </w:pPr>
            <w:r>
              <w:rPr>
                <w:rFonts w:ascii="Arial" w:cs="Arial" w:eastAsia="Arial" w:hAnsi="Arial"/>
                <w:sz w:val="14"/>
                <w:szCs w:val="14"/>
                <w:b w:val="1"/>
                <w:bCs w:val="1"/>
                <w:color w:val="auto"/>
              </w:rPr>
              <w:t>Exhibit No.</w:t>
            </w:r>
          </w:p>
        </w:tc>
        <w:tc>
          <w:tcPr>
            <w:tcW w:w="400" w:type="dxa"/>
            <w:vAlign w:val="bottom"/>
          </w:tcPr>
          <w:p>
            <w:pPr>
              <w:spacing w:after="0"/>
              <w:rPr>
                <w:sz w:val="16"/>
                <w:szCs w:val="16"/>
                <w:color w:val="auto"/>
              </w:rPr>
            </w:pPr>
          </w:p>
        </w:tc>
        <w:tc>
          <w:tcPr>
            <w:tcW w:w="3720" w:type="dxa"/>
            <w:vAlign w:val="bottom"/>
            <w:gridSpan w:val="25"/>
          </w:tcPr>
          <w:p>
            <w:pPr>
              <w:ind w:left="1340"/>
              <w:spacing w:after="0"/>
              <w:rPr>
                <w:sz w:val="20"/>
                <w:szCs w:val="20"/>
                <w:color w:val="auto"/>
              </w:rPr>
            </w:pPr>
            <w:r>
              <w:rPr>
                <w:rFonts w:ascii="Arial" w:cs="Arial" w:eastAsia="Arial" w:hAnsi="Arial"/>
                <w:sz w:val="14"/>
                <w:szCs w:val="14"/>
                <w:b w:val="1"/>
                <w:bCs w:val="1"/>
                <w:color w:val="auto"/>
              </w:rPr>
              <w:t>Document</w:t>
            </w:r>
          </w:p>
        </w:tc>
      </w:tr>
      <w:tr>
        <w:trPr>
          <w:trHeight w:val="66"/>
        </w:trPr>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237"/>
        </w:trPr>
        <w:tc>
          <w:tcPr>
            <w:tcW w:w="980" w:type="dxa"/>
            <w:vAlign w:val="bottom"/>
            <w:gridSpan w:val="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10.</w:t>
              </w:r>
              <w:r>
                <w:rPr>
                  <w:rFonts w:ascii="Arial" w:cs="Arial" w:eastAsia="Arial" w:hAnsi="Arial"/>
                  <w:sz w:val="18"/>
                  <w:szCs w:val="18"/>
                  <w:u w:val="single" w:color="auto"/>
                  <w:color w:val="0000EE"/>
                </w:rPr>
                <w:t>7(c)</w:t>
              </w:r>
            </w:hyperlink>
          </w:p>
        </w:tc>
        <w:tc>
          <w:tcPr>
            <w:tcW w:w="4120" w:type="dxa"/>
            <w:vAlign w:val="bottom"/>
            <w:gridSpan w:val="26"/>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Form of Deferred Stock Award Agreement for restricted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Borders>
              <w:top w:val="single" w:sz="8" w:color="0000EE"/>
            </w:tcBorders>
            <w:gridSpan w:val="25"/>
          </w:tcPr>
          <w:p>
            <w:pPr>
              <w:spacing w:after="0" w:line="196"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stock unit awards made pursuant to the 2005 Plan.</w:t>
              </w:r>
            </w:hyperlink>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540" w:type="dxa"/>
            <w:vAlign w:val="bottom"/>
            <w:tcBorders>
              <w:bottom w:val="single" w:sz="8" w:color="0000EE"/>
            </w:tcBorders>
            <w:gridSpan w:val="4"/>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7(d)</w:t>
              </w:r>
            </w:hyperlink>
          </w:p>
        </w:tc>
        <w:tc>
          <w:tcPr>
            <w:tcW w:w="440" w:type="dxa"/>
            <w:vAlign w:val="bottom"/>
            <w:gridSpan w:val="3"/>
          </w:tcPr>
          <w:p>
            <w:pPr>
              <w:spacing w:after="0"/>
              <w:rPr>
                <w:sz w:val="24"/>
                <w:szCs w:val="24"/>
                <w:color w:val="auto"/>
              </w:rPr>
            </w:pPr>
          </w:p>
        </w:tc>
        <w:tc>
          <w:tcPr>
            <w:tcW w:w="4040" w:type="dxa"/>
            <w:vAlign w:val="bottom"/>
            <w:tcBorders>
              <w:bottom w:val="single" w:sz="8" w:color="0000EE"/>
            </w:tcBorders>
            <w:gridSpan w:val="24"/>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Form of Deferred Stock Award Agreement for April 15,</w:t>
              </w:r>
            </w:hyperlink>
          </w:p>
        </w:tc>
        <w:tc>
          <w:tcPr>
            <w:tcW w:w="8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2009 restricted stock unit grants.</w:t>
              </w:r>
            </w:hyperlink>
          </w:p>
        </w:tc>
        <w:tc>
          <w:tcPr>
            <w:tcW w:w="1760" w:type="dxa"/>
            <w:vAlign w:val="bottom"/>
            <w:gridSpan w:val="22"/>
          </w:tcPr>
          <w:p>
            <w:pPr>
              <w:spacing w:after="0"/>
              <w:rPr>
                <w:sz w:val="17"/>
                <w:szCs w:val="17"/>
                <w:color w:val="auto"/>
              </w:rPr>
            </w:pPr>
          </w:p>
        </w:tc>
      </w:tr>
      <w:tr>
        <w:trPr>
          <w:trHeight w:val="331"/>
        </w:trPr>
        <w:tc>
          <w:tcPr>
            <w:tcW w:w="980" w:type="dxa"/>
            <w:vAlign w:val="bottom"/>
            <w:gridSpan w:val="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7(e)</w:t>
              </w:r>
            </w:hyperlink>
          </w:p>
        </w:tc>
        <w:tc>
          <w:tcPr>
            <w:tcW w:w="4120" w:type="dxa"/>
            <w:vAlign w:val="bottom"/>
            <w:gridSpan w:val="26"/>
          </w:tcPr>
          <w:p>
            <w:pPr>
              <w:spacing w:after="0"/>
              <w:rPr>
                <w:rFonts w:ascii="Arial" w:cs="Arial" w:eastAsia="Arial" w:hAnsi="Arial"/>
                <w:sz w:val="18"/>
                <w:szCs w:val="18"/>
                <w:color w:val="0000EE"/>
              </w:rPr>
            </w:pPr>
            <w:hyperlink r:id="rId161">
              <w:r>
                <w:rPr>
                  <w:rFonts w:ascii="Arial" w:cs="Arial" w:eastAsia="Arial" w:hAnsi="Arial"/>
                  <w:sz w:val="18"/>
                  <w:szCs w:val="18"/>
                  <w:color w:val="0000EE"/>
                </w:rPr>
                <w:t>Form of Deferred Stock Award Agreement for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top w:val="single" w:sz="8" w:color="0000EE"/>
            </w:tcBorders>
            <w:gridSpan w:val="12"/>
          </w:tcPr>
          <w:p>
            <w:pPr>
              <w:spacing w:after="0" w:line="196" w:lineRule="exact"/>
              <w:rPr>
                <w:rFonts w:ascii="Arial" w:cs="Arial" w:eastAsia="Arial" w:hAnsi="Arial"/>
                <w:sz w:val="18"/>
                <w:szCs w:val="18"/>
                <w:color w:val="0000EE"/>
                <w:w w:val="96"/>
              </w:rPr>
            </w:pPr>
            <w:hyperlink r:id="rId161">
              <w:r>
                <w:rPr>
                  <w:rFonts w:ascii="Arial" w:cs="Arial" w:eastAsia="Arial" w:hAnsi="Arial"/>
                  <w:sz w:val="18"/>
                  <w:szCs w:val="18"/>
                  <w:color w:val="0000EE"/>
                  <w:w w:val="96"/>
                </w:rPr>
                <w:t>March 17, 2010 restricted stock unit grants.</w:t>
              </w:r>
            </w:hyperlink>
          </w:p>
        </w:tc>
        <w:tc>
          <w:tcPr>
            <w:tcW w:w="780" w:type="dxa"/>
            <w:vAlign w:val="bottom"/>
            <w:gridSpan w:val="14"/>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980" w:type="dxa"/>
            <w:vAlign w:val="bottom"/>
            <w:gridSpan w:val="7"/>
          </w:tcPr>
          <w:p>
            <w:pPr>
              <w:spacing w:after="0"/>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7(f)</w:t>
              </w:r>
            </w:hyperlink>
          </w:p>
        </w:tc>
        <w:tc>
          <w:tcPr>
            <w:tcW w:w="4120" w:type="dxa"/>
            <w:vAlign w:val="bottom"/>
            <w:gridSpan w:val="26"/>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Form of Deferred Stock Award Agreement for June 29,</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2011 restricted stock unit grants.</w:t>
              </w:r>
            </w:hyperlink>
          </w:p>
        </w:tc>
        <w:tc>
          <w:tcPr>
            <w:tcW w:w="14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540" w:type="dxa"/>
            <w:vAlign w:val="bottom"/>
            <w:gridSpan w:val="4"/>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7(g)</w:t>
              </w:r>
            </w:hyperlink>
          </w:p>
        </w:tc>
        <w:tc>
          <w:tcPr>
            <w:tcW w:w="440" w:type="dxa"/>
            <w:vAlign w:val="bottom"/>
            <w:gridSpan w:val="3"/>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Form of Deferred Stock Award Agreement for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October 5, 2012 restricted stock unit grants.</w:t>
              </w:r>
            </w:hyperlink>
          </w:p>
        </w:tc>
        <w:tc>
          <w:tcPr>
            <w:tcW w:w="180" w:type="dxa"/>
            <w:vAlign w:val="bottom"/>
            <w:tcBorders>
              <w:top w:val="single" w:sz="8" w:color="0000EE"/>
            </w:tcBorders>
            <w:gridSpan w:val="4"/>
          </w:tcPr>
          <w:p>
            <w:pPr>
              <w:spacing w:after="0"/>
              <w:rPr>
                <w:sz w:val="17"/>
                <w:szCs w:val="17"/>
                <w:color w:val="auto"/>
              </w:rPr>
            </w:pPr>
          </w:p>
        </w:tc>
        <w:tc>
          <w:tcPr>
            <w:tcW w:w="780" w:type="dxa"/>
            <w:vAlign w:val="bottom"/>
            <w:gridSpan w:val="14"/>
          </w:tcPr>
          <w:p>
            <w:pPr>
              <w:spacing w:after="0"/>
              <w:rPr>
                <w:sz w:val="17"/>
                <w:szCs w:val="17"/>
                <w:color w:val="auto"/>
              </w:rPr>
            </w:pPr>
          </w:p>
        </w:tc>
      </w:tr>
      <w:tr>
        <w:trPr>
          <w:trHeight w:val="331"/>
        </w:trPr>
        <w:tc>
          <w:tcPr>
            <w:tcW w:w="540" w:type="dxa"/>
            <w:vAlign w:val="bottom"/>
            <w:gridSpan w:val="4"/>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7(h)</w:t>
              </w:r>
            </w:hyperlink>
          </w:p>
        </w:tc>
        <w:tc>
          <w:tcPr>
            <w:tcW w:w="440" w:type="dxa"/>
            <w:vAlign w:val="bottom"/>
            <w:gridSpan w:val="3"/>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Deferred Stock Award Agreement for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October 4, 2013 restricted stock unit grants.</w:t>
              </w:r>
            </w:hyperlink>
          </w:p>
        </w:tc>
        <w:tc>
          <w:tcPr>
            <w:tcW w:w="180" w:type="dxa"/>
            <w:vAlign w:val="bottom"/>
            <w:tcBorders>
              <w:top w:val="single" w:sz="8" w:color="0000EE"/>
            </w:tcBorders>
            <w:gridSpan w:val="4"/>
          </w:tcPr>
          <w:p>
            <w:pPr>
              <w:spacing w:after="0"/>
              <w:rPr>
                <w:sz w:val="17"/>
                <w:szCs w:val="17"/>
                <w:color w:val="auto"/>
              </w:rPr>
            </w:pPr>
          </w:p>
        </w:tc>
        <w:tc>
          <w:tcPr>
            <w:tcW w:w="780" w:type="dxa"/>
            <w:vAlign w:val="bottom"/>
            <w:gridSpan w:val="14"/>
          </w:tcPr>
          <w:p>
            <w:pPr>
              <w:spacing w:after="0"/>
              <w:rPr>
                <w:sz w:val="17"/>
                <w:szCs w:val="17"/>
                <w:color w:val="auto"/>
              </w:rPr>
            </w:pPr>
          </w:p>
        </w:tc>
      </w:tr>
      <w:tr>
        <w:trPr>
          <w:trHeight w:val="331"/>
        </w:trPr>
        <w:tc>
          <w:tcPr>
            <w:tcW w:w="520" w:type="dxa"/>
            <w:vAlign w:val="bottom"/>
            <w:gridSpan w:val="3"/>
          </w:tcPr>
          <w:p>
            <w:pPr>
              <w:spacing w:after="0"/>
              <w:rPr>
                <w:rFonts w:ascii="Arial" w:cs="Arial" w:eastAsia="Arial" w:hAnsi="Arial"/>
                <w:sz w:val="18"/>
                <w:szCs w:val="18"/>
                <w:color w:val="0000EE"/>
                <w:w w:val="93"/>
              </w:rPr>
            </w:pPr>
            <w:hyperlink r:id="rId16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7(i)</w:t>
              </w:r>
            </w:hyperlink>
          </w:p>
        </w:tc>
        <w:tc>
          <w:tcPr>
            <w:tcW w:w="460" w:type="dxa"/>
            <w:vAlign w:val="bottom"/>
            <w:gridSpan w:val="4"/>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Deferred Stock Award Agreement for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October 23, 2014 restricted stock unit grant.</w:t>
              </w:r>
            </w:hyperlink>
          </w:p>
        </w:tc>
        <w:tc>
          <w:tcPr>
            <w:tcW w:w="160" w:type="dxa"/>
            <w:vAlign w:val="bottom"/>
            <w:tcBorders>
              <w:top w:val="single" w:sz="8" w:color="0000EE"/>
            </w:tcBorders>
            <w:gridSpan w:val="3"/>
          </w:tcPr>
          <w:p>
            <w:pPr>
              <w:spacing w:after="0"/>
              <w:rPr>
                <w:sz w:val="17"/>
                <w:szCs w:val="17"/>
                <w:color w:val="auto"/>
              </w:rPr>
            </w:pPr>
          </w:p>
        </w:tc>
        <w:tc>
          <w:tcPr>
            <w:tcW w:w="780" w:type="dxa"/>
            <w:vAlign w:val="bottom"/>
            <w:gridSpan w:val="14"/>
          </w:tcPr>
          <w:p>
            <w:pPr>
              <w:spacing w:after="0"/>
              <w:rPr>
                <w:sz w:val="17"/>
                <w:szCs w:val="17"/>
                <w:color w:val="auto"/>
              </w:rPr>
            </w:pPr>
          </w:p>
        </w:tc>
      </w:tr>
      <w:tr>
        <w:trPr>
          <w:trHeight w:val="331"/>
        </w:trPr>
        <w:tc>
          <w:tcPr>
            <w:tcW w:w="520" w:type="dxa"/>
            <w:vAlign w:val="bottom"/>
            <w:gridSpan w:val="3"/>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7(j)</w:t>
              </w:r>
            </w:hyperlink>
          </w:p>
        </w:tc>
        <w:tc>
          <w:tcPr>
            <w:tcW w:w="460" w:type="dxa"/>
            <w:vAlign w:val="bottom"/>
            <w:gridSpan w:val="4"/>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5"/>
              </w:rPr>
            </w:pPr>
            <w:hyperlink r:id="rId166">
              <w:r>
                <w:rPr>
                  <w:rFonts w:ascii="Arial" w:cs="Arial" w:eastAsia="Arial" w:hAnsi="Arial"/>
                  <w:sz w:val="18"/>
                  <w:szCs w:val="18"/>
                  <w:color w:val="0000EE"/>
                  <w:w w:val="95"/>
                </w:rPr>
                <w:t>Form of Deferred Stock Award Agreement for May 12,</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top w:val="single" w:sz="8" w:color="0000EE"/>
            </w:tcBorders>
            <w:gridSpan w:val="23"/>
          </w:tcPr>
          <w:p>
            <w:pPr>
              <w:spacing w:after="0" w:line="196" w:lineRule="exact"/>
              <w:rPr>
                <w:rFonts w:ascii="Arial" w:cs="Arial" w:eastAsia="Arial" w:hAnsi="Arial"/>
                <w:sz w:val="18"/>
                <w:szCs w:val="18"/>
                <w:color w:val="0000EE"/>
                <w:w w:val="97"/>
              </w:rPr>
            </w:pPr>
            <w:hyperlink r:id="rId166">
              <w:r>
                <w:rPr>
                  <w:rFonts w:ascii="Arial" w:cs="Arial" w:eastAsia="Arial" w:hAnsi="Arial"/>
                  <w:sz w:val="18"/>
                  <w:szCs w:val="18"/>
                  <w:color w:val="0000EE"/>
                  <w:w w:val="97"/>
                </w:rPr>
                <w:t>2015 restricted stock unit grant vesting on April 12,</w:t>
              </w:r>
            </w:hyperlink>
          </w:p>
        </w:tc>
        <w:tc>
          <w:tcPr>
            <w:tcW w:w="14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2019.</w:t>
              </w:r>
            </w:hyperlink>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540" w:type="dxa"/>
            <w:vAlign w:val="bottom"/>
            <w:gridSpan w:val="4"/>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7(k)</w:t>
              </w:r>
            </w:hyperlink>
          </w:p>
        </w:tc>
        <w:tc>
          <w:tcPr>
            <w:tcW w:w="440" w:type="dxa"/>
            <w:vAlign w:val="bottom"/>
            <w:gridSpan w:val="3"/>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Form of Deferred Stock Award Agreement for May 12,</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top w:val="single" w:sz="8" w:color="0000EE"/>
            </w:tcBorders>
            <w:gridSpan w:val="23"/>
          </w:tcPr>
          <w:p>
            <w:pPr>
              <w:spacing w:after="0" w:line="196" w:lineRule="exact"/>
              <w:rPr>
                <w:rFonts w:ascii="Arial" w:cs="Arial" w:eastAsia="Arial" w:hAnsi="Arial"/>
                <w:sz w:val="18"/>
                <w:szCs w:val="18"/>
                <w:color w:val="0000EE"/>
                <w:w w:val="97"/>
              </w:rPr>
            </w:pPr>
            <w:hyperlink r:id="rId167">
              <w:r>
                <w:rPr>
                  <w:rFonts w:ascii="Arial" w:cs="Arial" w:eastAsia="Arial" w:hAnsi="Arial"/>
                  <w:sz w:val="18"/>
                  <w:szCs w:val="18"/>
                  <w:color w:val="0000EE"/>
                  <w:w w:val="97"/>
                </w:rPr>
                <w:t>2015 restricted stock unit grant vesting on June 12,</w:t>
              </w:r>
            </w:hyperlink>
          </w:p>
        </w:tc>
        <w:tc>
          <w:tcPr>
            <w:tcW w:w="14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2020.</w:t>
              </w:r>
            </w:hyperlink>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6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G-III 2015 Long-Term Incentive Plan, as amended.</w:t>
              </w:r>
            </w:hyperlink>
          </w:p>
        </w:tc>
        <w:tc>
          <w:tcPr>
            <w:tcW w:w="420" w:type="dxa"/>
            <w:vAlign w:val="bottom"/>
            <w:gridSpan w:val="10"/>
          </w:tcPr>
          <w:p>
            <w:pPr>
              <w:spacing w:after="0"/>
              <w:rPr>
                <w:sz w:val="24"/>
                <w:szCs w:val="24"/>
                <w:color w:val="auto"/>
              </w:rPr>
            </w:pPr>
          </w:p>
        </w:tc>
      </w:tr>
      <w:tr>
        <w:trPr>
          <w:trHeight w:val="331"/>
        </w:trPr>
        <w:tc>
          <w:tcPr>
            <w:tcW w:w="980" w:type="dxa"/>
            <w:vAlign w:val="bottom"/>
            <w:gridSpan w:val="7"/>
          </w:tcPr>
          <w:p>
            <w:pPr>
              <w:spacing w:after="0"/>
              <w:rPr>
                <w:rFonts w:ascii="Arial" w:cs="Arial" w:eastAsia="Arial" w:hAnsi="Arial"/>
                <w:sz w:val="18"/>
                <w:szCs w:val="18"/>
                <w:color w:val="0000EE"/>
              </w:rPr>
            </w:pPr>
            <w:hyperlink r:id="rId169">
              <w:r>
                <w:rPr>
                  <w:rFonts w:ascii="Arial" w:cs="Arial" w:eastAsia="Arial" w:hAnsi="Arial"/>
                  <w:sz w:val="18"/>
                  <w:szCs w:val="18"/>
                  <w:color w:val="0000EE"/>
                </w:rPr>
                <w:t>10.</w:t>
              </w:r>
              <w:r>
                <w:rPr>
                  <w:rFonts w:ascii="Arial" w:cs="Arial" w:eastAsia="Arial" w:hAnsi="Arial"/>
                  <w:sz w:val="18"/>
                  <w:szCs w:val="18"/>
                  <w:u w:val="single" w:color="auto"/>
                  <w:color w:val="0000EE"/>
                </w:rPr>
                <w:t>8(a)</w:t>
              </w:r>
            </w:hyperlink>
          </w:p>
        </w:tc>
        <w:tc>
          <w:tcPr>
            <w:tcW w:w="4120" w:type="dxa"/>
            <w:vAlign w:val="bottom"/>
            <w:gridSpan w:val="26"/>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Restricted Stock Unit Agreement for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December 10, 2015 restricted stock unit grants.</w:t>
              </w:r>
            </w:hyperlink>
          </w:p>
        </w:tc>
      </w:tr>
      <w:tr>
        <w:trPr>
          <w:trHeight w:val="345"/>
        </w:trPr>
        <w:tc>
          <w:tcPr>
            <w:tcW w:w="540" w:type="dxa"/>
            <w:vAlign w:val="bottom"/>
            <w:gridSpan w:val="4"/>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8(b)</w:t>
              </w:r>
            </w:hyperlink>
          </w:p>
        </w:tc>
        <w:tc>
          <w:tcPr>
            <w:tcW w:w="440" w:type="dxa"/>
            <w:vAlign w:val="bottom"/>
            <w:gridSpan w:val="3"/>
          </w:tcPr>
          <w:p>
            <w:pPr>
              <w:spacing w:after="0"/>
              <w:rPr>
                <w:sz w:val="24"/>
                <w:szCs w:val="24"/>
                <w:color w:val="auto"/>
              </w:rPr>
            </w:pPr>
          </w:p>
        </w:tc>
        <w:tc>
          <w:tcPr>
            <w:tcW w:w="3400" w:type="dxa"/>
            <w:vAlign w:val="bottom"/>
            <w:tcBorders>
              <w:top w:val="single" w:sz="8" w:color="0000EE"/>
            </w:tcBorders>
            <w:gridSpan w:val="13"/>
          </w:tcPr>
          <w:p>
            <w:pPr>
              <w:spacing w:after="0"/>
              <w:rPr>
                <w:rFonts w:ascii="Arial" w:cs="Arial" w:eastAsia="Arial" w:hAnsi="Arial"/>
                <w:sz w:val="18"/>
                <w:szCs w:val="18"/>
                <w:color w:val="0000EE"/>
                <w:w w:val="95"/>
              </w:rPr>
            </w:pPr>
            <w:hyperlink r:id="rId170">
              <w:r>
                <w:rPr>
                  <w:rFonts w:ascii="Arial" w:cs="Arial" w:eastAsia="Arial" w:hAnsi="Arial"/>
                  <w:sz w:val="18"/>
                  <w:szCs w:val="18"/>
                  <w:color w:val="0000EE"/>
                  <w:w w:val="95"/>
                </w:rPr>
                <w:t>Form of Restricted Stock Unit Agreement for</w:t>
              </w:r>
            </w:hyperlink>
          </w:p>
        </w:tc>
        <w:tc>
          <w:tcPr>
            <w:tcW w:w="720" w:type="dxa"/>
            <w:vAlign w:val="bottom"/>
            <w:gridSpan w:val="13"/>
          </w:tcPr>
          <w:p>
            <w:pPr>
              <w:spacing w:after="0"/>
              <w:rPr>
                <w:sz w:val="24"/>
                <w:szCs w:val="24"/>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January 27, 2017 restricted stock unit grants.</w:t>
              </w:r>
            </w:hyperlink>
          </w:p>
        </w:tc>
        <w:tc>
          <w:tcPr>
            <w:tcW w:w="20" w:type="dxa"/>
            <w:vAlign w:val="bottom"/>
            <w:tcBorders>
              <w:top w:val="single" w:sz="8" w:color="0000EE"/>
            </w:tcBorders>
          </w:tcPr>
          <w:p>
            <w:pPr>
              <w:spacing w:after="0"/>
              <w:rPr>
                <w:sz w:val="17"/>
                <w:szCs w:val="17"/>
                <w:color w:val="auto"/>
              </w:rPr>
            </w:pPr>
          </w:p>
        </w:tc>
        <w:tc>
          <w:tcPr>
            <w:tcW w:w="860" w:type="dxa"/>
            <w:vAlign w:val="bottom"/>
            <w:gridSpan w:val="15"/>
          </w:tcPr>
          <w:p>
            <w:pPr>
              <w:spacing w:after="0"/>
              <w:rPr>
                <w:sz w:val="17"/>
                <w:szCs w:val="17"/>
                <w:color w:val="auto"/>
              </w:rPr>
            </w:pPr>
          </w:p>
        </w:tc>
      </w:tr>
      <w:tr>
        <w:trPr>
          <w:trHeight w:val="345"/>
        </w:trPr>
        <w:tc>
          <w:tcPr>
            <w:tcW w:w="980" w:type="dxa"/>
            <w:vAlign w:val="bottom"/>
            <w:gridSpan w:val="7"/>
          </w:tcPr>
          <w:p>
            <w:pPr>
              <w:spacing w:after="0"/>
              <w:rPr>
                <w:rFonts w:ascii="Arial" w:cs="Arial" w:eastAsia="Arial" w:hAnsi="Arial"/>
                <w:sz w:val="18"/>
                <w:szCs w:val="18"/>
                <w:color w:val="0000EE"/>
              </w:rPr>
            </w:pPr>
            <w:hyperlink r:id="rId171">
              <w:r>
                <w:rPr>
                  <w:rFonts w:ascii="Arial" w:cs="Arial" w:eastAsia="Arial" w:hAnsi="Arial"/>
                  <w:sz w:val="18"/>
                  <w:szCs w:val="18"/>
                  <w:color w:val="0000EE"/>
                </w:rPr>
                <w:t>10.</w:t>
              </w:r>
              <w:r>
                <w:rPr>
                  <w:rFonts w:ascii="Arial" w:cs="Arial" w:eastAsia="Arial" w:hAnsi="Arial"/>
                  <w:sz w:val="18"/>
                  <w:szCs w:val="18"/>
                  <w:u w:val="single" w:color="auto"/>
                  <w:color w:val="0000EE"/>
                </w:rPr>
                <w:t>8(c)</w:t>
              </w:r>
            </w:hyperlink>
          </w:p>
        </w:tc>
        <w:tc>
          <w:tcPr>
            <w:tcW w:w="4120" w:type="dxa"/>
            <w:vAlign w:val="bottom"/>
            <w:gridSpan w:val="26"/>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Form of Restricted Stock Unit Agreement for March 28,</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2017 restricted stock unit grants.</w:t>
              </w:r>
            </w:hyperlink>
          </w:p>
        </w:tc>
        <w:tc>
          <w:tcPr>
            <w:tcW w:w="170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17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Borders>
              <w:bottom w:val="single" w:sz="8" w:color="0000EE"/>
            </w:tcBorders>
            <w:gridSpan w:val="22"/>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Form of Executive Transition Agreement, as amended.</w:t>
              </w:r>
            </w:hyperlink>
          </w:p>
        </w:tc>
        <w:tc>
          <w:tcPr>
            <w:tcW w:w="160" w:type="dxa"/>
            <w:vAlign w:val="bottom"/>
            <w:gridSpan w:val="4"/>
          </w:tcPr>
          <w:p>
            <w:pPr>
              <w:spacing w:after="0"/>
              <w:rPr>
                <w:sz w:val="24"/>
                <w:szCs w:val="24"/>
                <w:color w:val="auto"/>
              </w:rPr>
            </w:pPr>
          </w:p>
        </w:tc>
      </w:tr>
      <w:tr>
        <w:trPr>
          <w:trHeight w:val="345"/>
        </w:trPr>
        <w:tc>
          <w:tcPr>
            <w:tcW w:w="420" w:type="dxa"/>
            <w:vAlign w:val="bottom"/>
            <w:gridSpan w:val="2"/>
          </w:tcPr>
          <w:p>
            <w:pPr>
              <w:spacing w:after="0"/>
              <w:rPr>
                <w:rFonts w:ascii="Arial" w:cs="Arial" w:eastAsia="Arial" w:hAnsi="Arial"/>
                <w:sz w:val="18"/>
                <w:szCs w:val="18"/>
                <w:color w:val="0000EE"/>
                <w:w w:val="88"/>
              </w:rPr>
            </w:pPr>
            <w:hyperlink r:id="rId17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4"/>
              </w:rPr>
            </w:pPr>
            <w:hyperlink r:id="rId173">
              <w:r>
                <w:rPr>
                  <w:rFonts w:ascii="Arial" w:cs="Arial" w:eastAsia="Arial" w:hAnsi="Arial"/>
                  <w:sz w:val="18"/>
                  <w:szCs w:val="18"/>
                  <w:color w:val="0000EE"/>
                  <w:w w:val="94"/>
                </w:rPr>
                <w:t>Employment Agreement, dated as of July 11, 2005,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and between Sammy Aaron and G-III.</w:t>
              </w:r>
            </w:hyperlink>
          </w:p>
        </w:tc>
        <w:tc>
          <w:tcPr>
            <w:tcW w:w="1140" w:type="dxa"/>
            <w:vAlign w:val="bottom"/>
            <w:tcBorders>
              <w:top w:val="single" w:sz="8" w:color="0000EE"/>
            </w:tcBorders>
            <w:gridSpan w:val="15"/>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45"/>
        </w:trPr>
        <w:tc>
          <w:tcPr>
            <w:tcW w:w="620" w:type="dxa"/>
            <w:vAlign w:val="bottom"/>
            <w:gridSpan w:val="5"/>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10(a)</w:t>
              </w:r>
            </w:hyperlink>
          </w:p>
        </w:tc>
        <w:tc>
          <w:tcPr>
            <w:tcW w:w="360" w:type="dxa"/>
            <w:vAlign w:val="bottom"/>
            <w:gridSpan w:val="2"/>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8"/>
              </w:rPr>
            </w:pPr>
            <w:hyperlink r:id="rId174">
              <w:r>
                <w:rPr>
                  <w:rFonts w:ascii="Arial" w:cs="Arial" w:eastAsia="Arial" w:hAnsi="Arial"/>
                  <w:sz w:val="18"/>
                  <w:szCs w:val="18"/>
                  <w:color w:val="0000EE"/>
                  <w:w w:val="98"/>
                </w:rPr>
                <w:t>Amendment, dated October 3, 2008, to Employment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52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Agreement, dated as of July 11, 2005, by and between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Sammy Aaron and G-III.</w:t>
              </w:r>
            </w:hyperlink>
          </w:p>
        </w:tc>
        <w:tc>
          <w:tcPr>
            <w:tcW w:w="2080" w:type="dxa"/>
            <w:vAlign w:val="bottom"/>
            <w:tcBorders>
              <w:top w:val="single" w:sz="8" w:color="0000EE"/>
            </w:tcBorders>
            <w:gridSpan w:val="1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45"/>
        </w:trPr>
        <w:tc>
          <w:tcPr>
            <w:tcW w:w="980" w:type="dxa"/>
            <w:vAlign w:val="bottom"/>
            <w:gridSpan w:val="7"/>
          </w:tcPr>
          <w:p>
            <w:pPr>
              <w:spacing w:after="0"/>
              <w:rPr>
                <w:rFonts w:ascii="Arial" w:cs="Arial" w:eastAsia="Arial" w:hAnsi="Arial"/>
                <w:sz w:val="18"/>
                <w:szCs w:val="18"/>
                <w:color w:val="0000EE"/>
              </w:rPr>
            </w:pPr>
            <w:hyperlink r:id="rId175">
              <w:r>
                <w:rPr>
                  <w:rFonts w:ascii="Arial" w:cs="Arial" w:eastAsia="Arial" w:hAnsi="Arial"/>
                  <w:sz w:val="18"/>
                  <w:szCs w:val="18"/>
                  <w:color w:val="0000EE"/>
                </w:rPr>
                <w:t>10.</w:t>
              </w:r>
              <w:r>
                <w:rPr>
                  <w:rFonts w:ascii="Arial" w:cs="Arial" w:eastAsia="Arial" w:hAnsi="Arial"/>
                  <w:sz w:val="18"/>
                  <w:szCs w:val="18"/>
                  <w:u w:val="single" w:color="auto"/>
                  <w:color w:val="0000EE"/>
                </w:rPr>
                <w:t>10(b)</w:t>
              </w:r>
            </w:hyperlink>
          </w:p>
        </w:tc>
        <w:tc>
          <w:tcPr>
            <w:tcW w:w="4120" w:type="dxa"/>
            <w:vAlign w:val="bottom"/>
            <w:gridSpan w:val="26"/>
          </w:tcPr>
          <w:p>
            <w:pPr>
              <w:spacing w:after="0"/>
              <w:rPr>
                <w:rFonts w:ascii="Arial" w:cs="Arial" w:eastAsia="Arial" w:hAnsi="Arial"/>
                <w:sz w:val="18"/>
                <w:szCs w:val="18"/>
                <w:color w:val="0000EE"/>
                <w:w w:val="96"/>
              </w:rPr>
            </w:pPr>
            <w:hyperlink r:id="rId175">
              <w:r>
                <w:rPr>
                  <w:rFonts w:ascii="Arial" w:cs="Arial" w:eastAsia="Arial" w:hAnsi="Arial"/>
                  <w:sz w:val="18"/>
                  <w:szCs w:val="18"/>
                  <w:color w:val="0000EE"/>
                  <w:w w:val="96"/>
                </w:rPr>
                <w:t>Amendment, dated January 28, 2009, to Employment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0" w:type="dxa"/>
            <w:vAlign w:val="bottom"/>
            <w:tcBorders>
              <w:left w:val="single" w:sz="8" w:color="0000EE"/>
            </w:tcBorders>
            <w:gridSpan w:val="8"/>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Agreement, dated as of July 11, 2005, by and between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Sammy Aaron and G-III.</w:t>
              </w:r>
            </w:hyperlink>
          </w:p>
        </w:tc>
        <w:tc>
          <w:tcPr>
            <w:tcW w:w="2080" w:type="dxa"/>
            <w:vAlign w:val="bottom"/>
            <w:tcBorders>
              <w:top w:val="single" w:sz="8" w:color="0000EE"/>
            </w:tcBorders>
            <w:gridSpan w:val="18"/>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45"/>
        </w:trPr>
        <w:tc>
          <w:tcPr>
            <w:tcW w:w="620" w:type="dxa"/>
            <w:vAlign w:val="bottom"/>
            <w:gridSpan w:val="5"/>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10(c)</w:t>
              </w:r>
            </w:hyperlink>
          </w:p>
        </w:tc>
        <w:tc>
          <w:tcPr>
            <w:tcW w:w="360" w:type="dxa"/>
            <w:vAlign w:val="bottom"/>
            <w:gridSpan w:val="2"/>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rPr>
            </w:pPr>
            <w:hyperlink r:id="rId176">
              <w:r>
                <w:rPr>
                  <w:rFonts w:ascii="Arial" w:cs="Arial" w:eastAsia="Arial" w:hAnsi="Arial"/>
                  <w:sz w:val="18"/>
                  <w:szCs w:val="18"/>
                  <w:color w:val="0000EE"/>
                </w:rPr>
                <w:t>Letter Amendment, dated March 13, 2013, to</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60" w:type="dxa"/>
            <w:vAlign w:val="bottom"/>
            <w:gridSpan w:val="15"/>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w w:val="94"/>
              </w:rPr>
            </w:pPr>
            <w:hyperlink r:id="rId176">
              <w:r>
                <w:rPr>
                  <w:rFonts w:ascii="Arial" w:cs="Arial" w:eastAsia="Arial" w:hAnsi="Arial"/>
                  <w:sz w:val="18"/>
                  <w:szCs w:val="18"/>
                  <w:color w:val="0000EE"/>
                  <w:w w:val="94"/>
                </w:rPr>
                <w:t>Employment Agreement, dated as of July 11, 2005, by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and between Sammy Aaron and G-III.</w:t>
              </w:r>
            </w:hyperlink>
          </w:p>
        </w:tc>
        <w:tc>
          <w:tcPr>
            <w:tcW w:w="1160" w:type="dxa"/>
            <w:vAlign w:val="bottom"/>
            <w:tcBorders>
              <w:top w:val="single" w:sz="8" w:color="0000EE"/>
            </w:tcBorders>
            <w:gridSpan w:val="16"/>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601"/>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10"/>
          </w:tcPr>
          <w:p>
            <w:pPr>
              <w:ind w:left="304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18351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File No.</w:t>
            </w:r>
          </w:p>
        </w:tc>
        <w:tc>
          <w:tcPr>
            <w:tcW w:w="16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Date Filed</w:t>
            </w:r>
          </w:p>
        </w:tc>
      </w:tr>
      <w:tr>
        <w:trPr>
          <w:trHeight w:val="66"/>
        </w:trPr>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237"/>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000-18183</w:t>
              </w:r>
            </w:hyperlink>
          </w:p>
        </w:tc>
        <w:tc>
          <w:tcPr>
            <w:tcW w:w="220" w:type="dxa"/>
            <w:vAlign w:val="bottom"/>
          </w:tcPr>
          <w:p>
            <w:pPr>
              <w:spacing w:after="0"/>
              <w:rPr>
                <w:sz w:val="20"/>
                <w:szCs w:val="20"/>
                <w:color w:val="auto"/>
              </w:rPr>
            </w:pPr>
          </w:p>
        </w:tc>
        <w:tc>
          <w:tcPr>
            <w:tcW w:w="800" w:type="dxa"/>
            <w:vAlign w:val="bottom"/>
            <w:gridSpan w:val="4"/>
          </w:tcPr>
          <w:p>
            <w:pPr>
              <w:jc w:val="cente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7/2/2008</w:t>
              </w:r>
            </w:hyperlink>
          </w:p>
        </w:tc>
        <w:tc>
          <w:tcPr>
            <w:tcW w:w="6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0">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4/21/2009</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3/23/2010</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80" w:type="dxa"/>
            <w:vAlign w:val="bottom"/>
            <w:gridSpan w:val="3"/>
          </w:tcPr>
          <w:p>
            <w:pPr>
              <w:jc w:val="center"/>
              <w:ind w:left="10"/>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7/1/2011</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10/11/2012</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10/8/2013</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5"/>
          </w:tcPr>
          <w:p>
            <w:pPr>
              <w:jc w:val="cente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10/28/2014</w:t>
              </w:r>
            </w:hyperlink>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6">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66">
              <w:r>
                <w:rPr>
                  <w:rFonts w:ascii="Arial" w:cs="Arial" w:eastAsia="Arial" w:hAnsi="Arial"/>
                  <w:sz w:val="18"/>
                  <w:szCs w:val="18"/>
                  <w:color w:val="0000EE"/>
                  <w:w w:val="92"/>
                </w:rPr>
                <w:t>5/14/2015</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6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7">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5/14/2015</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7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5"/>
          </w:tcPr>
          <w:p>
            <w:pPr>
              <w:jc w:val="cente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12/14/2016</w:t>
              </w:r>
            </w:hyperlink>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69">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5"/>
          </w:tcPr>
          <w:p>
            <w:pPr>
              <w:jc w:val="cente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12/14/2015</w:t>
              </w:r>
            </w:hyperlink>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1/31/2017</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00" w:type="dxa"/>
            <w:vAlign w:val="bottom"/>
            <w:gridSpan w:val="2"/>
          </w:tcPr>
          <w:p>
            <w:pPr>
              <w:jc w:val="center"/>
              <w:ind w:left="70"/>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3/17/17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2/16/2011</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3"/>
          </w:tcPr>
          <w:p>
            <w:pPr>
              <w:jc w:val="center"/>
              <w:ind w:right="40"/>
              <w:spacing w:after="0"/>
              <w:rPr>
                <w:rFonts w:ascii="Arial" w:cs="Arial" w:eastAsia="Arial" w:hAnsi="Arial"/>
                <w:sz w:val="18"/>
                <w:szCs w:val="18"/>
                <w:color w:val="0000EE"/>
                <w:w w:val="89"/>
              </w:rPr>
            </w:pPr>
            <w:hyperlink r:id="rId173">
              <w:r>
                <w:rPr>
                  <w:rFonts w:ascii="Arial" w:cs="Arial" w:eastAsia="Arial" w:hAnsi="Arial"/>
                  <w:sz w:val="18"/>
                  <w:szCs w:val="18"/>
                  <w:color w:val="0000EE"/>
                  <w:w w:val="89"/>
                </w:rPr>
                <w:t>10-Q</w:t>
              </w:r>
            </w:hyperlink>
          </w:p>
        </w:tc>
        <w:tc>
          <w:tcPr>
            <w:tcW w:w="420" w:type="dxa"/>
            <w:vAlign w:val="bottom"/>
            <w:gridSpan w:val="3"/>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4"/>
          </w:tcPr>
          <w:p>
            <w:pPr>
              <w:jc w:val="center"/>
              <w:ind w:right="20"/>
              <w:spacing w:after="0"/>
              <w:rPr>
                <w:rFonts w:ascii="Arial" w:cs="Arial" w:eastAsia="Arial" w:hAnsi="Arial"/>
                <w:sz w:val="18"/>
                <w:szCs w:val="18"/>
                <w:color w:val="0000EE"/>
                <w:w w:val="75"/>
              </w:rPr>
            </w:pPr>
            <w:hyperlink r:id="rId173">
              <w:r>
                <w:rPr>
                  <w:rFonts w:ascii="Arial" w:cs="Arial" w:eastAsia="Arial" w:hAnsi="Arial"/>
                  <w:sz w:val="18"/>
                  <w:szCs w:val="18"/>
                  <w:color w:val="0000EE"/>
                  <w:w w:val="75"/>
                </w:rPr>
                <w:t>12/10/2010</w:t>
              </w:r>
            </w:hyperlink>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1020" w:type="dxa"/>
            <w:vAlign w:val="bottom"/>
            <w:gridSpan w:val="8"/>
          </w:tcPr>
          <w:p>
            <w:pPr>
              <w:jc w:val="center"/>
              <w:ind w:right="200"/>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(Q3 2011)</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3"/>
          </w:tcPr>
          <w:p>
            <w:pPr>
              <w:jc w:val="center"/>
              <w:ind w:right="240"/>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8-K</w:t>
              </w:r>
            </w:hyperlink>
          </w:p>
        </w:tc>
        <w:tc>
          <w:tcPr>
            <w:tcW w:w="240" w:type="dxa"/>
            <w:vAlign w:val="bottom"/>
            <w:gridSpan w:val="2"/>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10/6/2008</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7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2/3/2009</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77"/>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5"/>
          </w:tcPr>
          <w:p>
            <w:pPr>
              <w:jc w:val="center"/>
              <w:ind w:right="480"/>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8-K</w:t>
              </w:r>
            </w:hyperlink>
          </w:p>
        </w:tc>
        <w:tc>
          <w:tcPr>
            <w:tcW w:w="780" w:type="dxa"/>
            <w:vAlign w:val="bottom"/>
          </w:tcPr>
          <w:p>
            <w:pPr>
              <w:jc w:val="cente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00" w:type="dxa"/>
            <w:vAlign w:val="bottom"/>
            <w:gridSpan w:val="4"/>
          </w:tcPr>
          <w:p>
            <w:pPr>
              <w:jc w:val="cente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3/15/2013</w:t>
              </w:r>
            </w:hyperlink>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360" w:space="220"/>
            <w:col w:w="363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80" w:type="dxa"/>
            <w:vAlign w:val="bottom"/>
            <w:gridSpan w:val="24"/>
          </w:tcPr>
          <w:p>
            <w:pPr>
              <w:ind w:left="200"/>
              <w:spacing w:after="0"/>
              <w:rPr>
                <w:sz w:val="20"/>
                <w:szCs w:val="20"/>
                <w:color w:val="auto"/>
              </w:rPr>
            </w:pPr>
            <w:r>
              <w:rPr>
                <w:rFonts w:ascii="Arial" w:cs="Arial" w:eastAsia="Arial" w:hAnsi="Arial"/>
                <w:sz w:val="14"/>
                <w:szCs w:val="14"/>
                <w:b w:val="1"/>
                <w:bCs w:val="1"/>
                <w:color w:val="auto"/>
              </w:rPr>
              <w:t>Document</w:t>
            </w:r>
          </w:p>
        </w:tc>
      </w:tr>
      <w:tr>
        <w:trPr>
          <w:trHeight w:val="66"/>
        </w:trPr>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7"/>
        </w:trPr>
        <w:tc>
          <w:tcPr>
            <w:tcW w:w="980" w:type="dxa"/>
            <w:vAlign w:val="bottom"/>
            <w:gridSpan w:val="5"/>
          </w:tcPr>
          <w:p>
            <w:pPr>
              <w:spacing w:after="0"/>
              <w:rPr>
                <w:rFonts w:ascii="Arial" w:cs="Arial" w:eastAsia="Arial" w:hAnsi="Arial"/>
                <w:sz w:val="18"/>
                <w:szCs w:val="18"/>
                <w:color w:val="0000EE"/>
              </w:rPr>
            </w:pPr>
            <w:hyperlink r:id="rId179">
              <w:r>
                <w:rPr>
                  <w:rFonts w:ascii="Arial" w:cs="Arial" w:eastAsia="Arial" w:hAnsi="Arial"/>
                  <w:sz w:val="18"/>
                  <w:szCs w:val="18"/>
                  <w:color w:val="0000EE"/>
                </w:rPr>
                <w:t>10.</w:t>
              </w:r>
              <w:r>
                <w:rPr>
                  <w:rFonts w:ascii="Arial" w:cs="Arial" w:eastAsia="Arial" w:hAnsi="Arial"/>
                  <w:sz w:val="18"/>
                  <w:szCs w:val="18"/>
                  <w:u w:val="single" w:color="auto"/>
                  <w:color w:val="0000EE"/>
                </w:rPr>
                <w:t>10(d)</w:t>
              </w:r>
            </w:hyperlink>
          </w:p>
        </w:tc>
        <w:tc>
          <w:tcPr>
            <w:tcW w:w="4120" w:type="dxa"/>
            <w:vAlign w:val="bottom"/>
            <w:gridSpan w:val="26"/>
          </w:tcPr>
          <w:p>
            <w:pPr>
              <w:spacing w:after="0"/>
              <w:rPr>
                <w:rFonts w:ascii="Arial" w:cs="Arial" w:eastAsia="Arial" w:hAnsi="Arial"/>
                <w:sz w:val="18"/>
                <w:szCs w:val="18"/>
                <w:color w:val="0000EE"/>
              </w:rPr>
            </w:pPr>
            <w:hyperlink r:id="rId179">
              <w:r>
                <w:rPr>
                  <w:rFonts w:ascii="Arial" w:cs="Arial" w:eastAsia="Arial" w:hAnsi="Arial"/>
                  <w:sz w:val="18"/>
                  <w:szCs w:val="18"/>
                  <w:color w:val="0000EE"/>
                </w:rPr>
                <w:t>Letter Amendment, dated April 28, 2014, to</w:t>
              </w:r>
            </w:hyperlink>
          </w:p>
        </w:tc>
      </w:tr>
      <w:tr>
        <w:trPr>
          <w:trHeight w:val="20"/>
        </w:trPr>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Employment Agreement, dated as of July 11, 2005, by</w:t>
              </w:r>
            </w:hyperlink>
          </w:p>
        </w:tc>
        <w:tc>
          <w:tcPr>
            <w:tcW w:w="160" w:type="dxa"/>
            <w:vAlign w:val="bottom"/>
            <w:gridSpan w:val="5"/>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and between Sammy Aaron and G-III.</w:t>
              </w:r>
            </w:hyperlink>
          </w:p>
        </w:tc>
        <w:tc>
          <w:tcPr>
            <w:tcW w:w="1360" w:type="dxa"/>
            <w:vAlign w:val="bottom"/>
            <w:gridSpan w:val="19"/>
          </w:tcPr>
          <w:p>
            <w:pPr>
              <w:spacing w:after="0"/>
              <w:rPr>
                <w:sz w:val="17"/>
                <w:szCs w:val="17"/>
                <w:color w:val="auto"/>
              </w:rPr>
            </w:pPr>
          </w:p>
        </w:tc>
      </w:tr>
      <w:tr>
        <w:trPr>
          <w:trHeight w:val="304"/>
        </w:trPr>
        <w:tc>
          <w:tcPr>
            <w:tcW w:w="420" w:type="dxa"/>
            <w:vAlign w:val="bottom"/>
            <w:gridSpan w:val="2"/>
          </w:tcPr>
          <w:p>
            <w:pPr>
              <w:spacing w:after="0"/>
              <w:rPr>
                <w:rFonts w:ascii="Arial" w:cs="Arial" w:eastAsia="Arial" w:hAnsi="Arial"/>
                <w:sz w:val="18"/>
                <w:szCs w:val="18"/>
                <w:color w:val="0000EE"/>
                <w:w w:val="84"/>
              </w:rPr>
            </w:pPr>
            <w:hyperlink r:id="rId18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8"/>
              </w:rPr>
            </w:pPr>
            <w:hyperlink r:id="rId180">
              <w:r>
                <w:rPr>
                  <w:rFonts w:ascii="Arial" w:cs="Arial" w:eastAsia="Arial" w:hAnsi="Arial"/>
                  <w:sz w:val="18"/>
                  <w:szCs w:val="18"/>
                  <w:color w:val="0000EE"/>
                  <w:w w:val="98"/>
                </w:rPr>
                <w:t>Lease agreement dated June 29, 2006 between The</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Realty Associates Fund VI, LP and G-III.</w:t>
              </w:r>
            </w:hyperlink>
          </w:p>
        </w:tc>
        <w:tc>
          <w:tcPr>
            <w:tcW w:w="660" w:type="dxa"/>
            <w:vAlign w:val="bottom"/>
            <w:tcBorders>
              <w:top w:val="single" w:sz="8" w:color="0000EE"/>
            </w:tcBorders>
            <w:gridSpan w:val="6"/>
          </w:tcPr>
          <w:p>
            <w:pPr>
              <w:spacing w:after="0"/>
              <w:rPr>
                <w:sz w:val="17"/>
                <w:szCs w:val="17"/>
                <w:color w:val="auto"/>
              </w:rPr>
            </w:pPr>
          </w:p>
        </w:tc>
        <w:tc>
          <w:tcPr>
            <w:tcW w:w="460" w:type="dxa"/>
            <w:vAlign w:val="bottom"/>
            <w:gridSpan w:val="11"/>
          </w:tcPr>
          <w:p>
            <w:pPr>
              <w:spacing w:after="0"/>
              <w:rPr>
                <w:sz w:val="17"/>
                <w:szCs w:val="17"/>
                <w:color w:val="auto"/>
              </w:rPr>
            </w:pPr>
          </w:p>
        </w:tc>
      </w:tr>
      <w:tr>
        <w:trPr>
          <w:trHeight w:val="304"/>
        </w:trPr>
        <w:tc>
          <w:tcPr>
            <w:tcW w:w="420" w:type="dxa"/>
            <w:vAlign w:val="bottom"/>
            <w:gridSpan w:val="2"/>
          </w:tcPr>
          <w:p>
            <w:pPr>
              <w:spacing w:after="0"/>
              <w:rPr>
                <w:rFonts w:ascii="Arial" w:cs="Arial" w:eastAsia="Arial" w:hAnsi="Arial"/>
                <w:sz w:val="18"/>
                <w:szCs w:val="18"/>
                <w:color w:val="0000EE"/>
                <w:w w:val="84"/>
              </w:rPr>
            </w:pPr>
            <w:hyperlink r:id="rId18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rPr>
            </w:pPr>
            <w:hyperlink r:id="rId181">
              <w:r>
                <w:rPr>
                  <w:rFonts w:ascii="Arial" w:cs="Arial" w:eastAsia="Arial" w:hAnsi="Arial"/>
                  <w:sz w:val="18"/>
                  <w:szCs w:val="18"/>
                  <w:color w:val="0000EE"/>
                </w:rPr>
                <w:t>Lease Agreement, dated December 21, 2009 and</w:t>
              </w:r>
            </w:hyperlink>
          </w:p>
        </w:tc>
      </w:tr>
      <w:tr>
        <w:trPr>
          <w:trHeight w:val="20"/>
        </w:trPr>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effective December 28, 2009, by and between G-III, as</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Tenant, and Granite South Brunswick LLC, as Landlord.</w:t>
              </w:r>
            </w:hyperlink>
          </w:p>
        </w:tc>
      </w:tr>
      <w:tr>
        <w:trPr>
          <w:trHeight w:val="304"/>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8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13</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Form of Indemnification Agreement.</w:t>
              </w:r>
            </w:hyperlink>
          </w:p>
        </w:tc>
        <w:tc>
          <w:tcPr>
            <w:tcW w:w="1400" w:type="dxa"/>
            <w:vAlign w:val="bottom"/>
            <w:tcBorders>
              <w:top w:val="single" w:sz="8" w:color="0000EE"/>
            </w:tcBorders>
            <w:gridSpan w:val="18"/>
          </w:tcPr>
          <w:p>
            <w:pPr>
              <w:spacing w:after="0"/>
              <w:rPr>
                <w:sz w:val="24"/>
                <w:szCs w:val="24"/>
                <w:color w:val="auto"/>
              </w:rPr>
            </w:pPr>
          </w:p>
        </w:tc>
        <w:tc>
          <w:tcPr>
            <w:tcW w:w="40" w:type="dxa"/>
            <w:vAlign w:val="bottom"/>
            <w:gridSpan w:val="2"/>
          </w:tcPr>
          <w:p>
            <w:pPr>
              <w:spacing w:after="0"/>
              <w:rPr>
                <w:sz w:val="24"/>
                <w:szCs w:val="24"/>
                <w:color w:val="auto"/>
              </w:rPr>
            </w:pPr>
          </w:p>
        </w:tc>
      </w:tr>
      <w:tr>
        <w:trPr>
          <w:trHeight w:val="520"/>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8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Borders>
              <w:bottom w:val="single" w:sz="8" w:color="0000EE"/>
            </w:tcBorders>
            <w:gridSpan w:val="19"/>
          </w:tcPr>
          <w:p>
            <w:pPr>
              <w:spacing w:after="0"/>
              <w:rPr>
                <w:rFonts w:ascii="Arial" w:cs="Arial" w:eastAsia="Arial" w:hAnsi="Arial"/>
                <w:sz w:val="18"/>
                <w:szCs w:val="18"/>
                <w:color w:val="0000EE"/>
                <w:w w:val="89"/>
              </w:rPr>
            </w:pPr>
            <w:hyperlink r:id="rId183">
              <w:r>
                <w:rPr>
                  <w:rFonts w:ascii="Arial" w:cs="Arial" w:eastAsia="Arial" w:hAnsi="Arial"/>
                  <w:sz w:val="18"/>
                  <w:szCs w:val="18"/>
                  <w:color w:val="0000EE"/>
                  <w:w w:val="89"/>
                </w:rPr>
                <w:t>Employment Agreement, made as of January 9, 2013,</w:t>
              </w:r>
            </w:hyperlink>
          </w:p>
        </w:tc>
        <w:tc>
          <w:tcPr>
            <w:tcW w:w="240" w:type="dxa"/>
            <w:vAlign w:val="bottom"/>
            <w:gridSpan w:val="7"/>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between G-III and Wayne S. Miller.</w:t>
              </w:r>
            </w:hyperlink>
          </w:p>
        </w:tc>
      </w:tr>
      <w:tr>
        <w:trPr>
          <w:trHeight w:val="20"/>
        </w:trPr>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20" w:type="dxa"/>
            <w:vAlign w:val="bottom"/>
            <w:gridSpan w:val="3"/>
          </w:tcPr>
          <w:p>
            <w:pPr>
              <w:spacing w:after="0"/>
              <w:rPr>
                <w:rFonts w:ascii="Arial" w:cs="Arial" w:eastAsia="Arial" w:hAnsi="Arial"/>
                <w:sz w:val="18"/>
                <w:szCs w:val="18"/>
                <w:color w:val="0000EE"/>
                <w:w w:val="89"/>
              </w:rPr>
            </w:pPr>
            <w:hyperlink r:id="rId18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14(a)</w:t>
              </w:r>
            </w:hyperlink>
          </w:p>
        </w:tc>
        <w:tc>
          <w:tcPr>
            <w:tcW w:w="360" w:type="dxa"/>
            <w:vAlign w:val="bottom"/>
            <w:gridSpan w:val="2"/>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Amendment to Employment Agreement and Executive</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Transition Agreement, dated as of December 9, 2016,</w:t>
              </w:r>
            </w:hyperlink>
          </w:p>
        </w:tc>
        <w:tc>
          <w:tcPr>
            <w:tcW w:w="160" w:type="dxa"/>
            <w:vAlign w:val="bottom"/>
            <w:gridSpan w:val="5"/>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between G-III and Wayne S. Miller.</w:t>
              </w:r>
            </w:hyperlink>
          </w:p>
        </w:tc>
        <w:tc>
          <w:tcPr>
            <w:tcW w:w="260" w:type="dxa"/>
            <w:vAlign w:val="bottom"/>
            <w:gridSpan w:val="8"/>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8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15</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60" w:type="dxa"/>
            <w:vAlign w:val="bottom"/>
            <w:tcBorders>
              <w:bottom w:val="single" w:sz="8" w:color="0000EE"/>
            </w:tcBorders>
            <w:gridSpan w:val="23"/>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Employment Agreement, dated as of December 9, 2016,</w:t>
              </w:r>
            </w:hyperlink>
          </w:p>
        </w:tc>
        <w:tc>
          <w:tcPr>
            <w:tcW w:w="6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26"/>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between G-III and Jeffrey D. Goldfarb.</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0000EE"/>
                <w:w w:val="84"/>
              </w:rPr>
            </w:pPr>
            <w:hyperlink r:id="rId18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16</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4"/>
              </w:rPr>
            </w:pPr>
            <w:hyperlink r:id="rId186">
              <w:r>
                <w:rPr>
                  <w:rFonts w:ascii="Arial" w:cs="Arial" w:eastAsia="Arial" w:hAnsi="Arial"/>
                  <w:sz w:val="18"/>
                  <w:szCs w:val="18"/>
                  <w:color w:val="0000EE"/>
                  <w:w w:val="94"/>
                </w:rPr>
                <w:t>Amendment to Executive Transition Agreement, dated</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as of December 9, 2016, between G-III and Jeffrey D.</w:t>
              </w:r>
            </w:hyperlink>
          </w:p>
        </w:tc>
        <w:tc>
          <w:tcPr>
            <w:tcW w:w="160" w:type="dxa"/>
            <w:vAlign w:val="bottom"/>
            <w:gridSpan w:val="5"/>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Goldfarb.</w:t>
              </w:r>
            </w:hyperlink>
          </w:p>
        </w:tc>
        <w:tc>
          <w:tcPr>
            <w:tcW w:w="3180" w:type="dxa"/>
            <w:vAlign w:val="bottom"/>
            <w:tcBorders>
              <w:top w:val="single" w:sz="8" w:color="0000EE"/>
            </w:tcBorders>
            <w:gridSpan w:val="18"/>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420" w:type="dxa"/>
            <w:vAlign w:val="bottom"/>
            <w:gridSpan w:val="2"/>
          </w:tcPr>
          <w:p>
            <w:pPr>
              <w:spacing w:after="0"/>
              <w:rPr>
                <w:rFonts w:ascii="Arial" w:cs="Arial" w:eastAsia="Arial" w:hAnsi="Arial"/>
                <w:sz w:val="18"/>
                <w:szCs w:val="18"/>
                <w:color w:val="0000EE"/>
                <w:w w:val="84"/>
              </w:rPr>
            </w:pPr>
            <w:hyperlink r:id="rId18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3"/>
              </w:rPr>
            </w:pPr>
            <w:hyperlink r:id="rId187">
              <w:r>
                <w:rPr>
                  <w:rFonts w:ascii="Arial" w:cs="Arial" w:eastAsia="Arial" w:hAnsi="Arial"/>
                  <w:sz w:val="18"/>
                  <w:szCs w:val="18"/>
                  <w:color w:val="0000EE"/>
                  <w:w w:val="93"/>
                </w:rPr>
                <w:t>Severance Agreement, dated as of December 9, 2016,</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between G-III and Neal Nackman.</w:t>
              </w:r>
            </w:hyperlink>
          </w:p>
        </w:tc>
        <w:tc>
          <w:tcPr>
            <w:tcW w:w="260" w:type="dxa"/>
            <w:vAlign w:val="bottom"/>
            <w:gridSpan w:val="8"/>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20" w:type="dxa"/>
            <w:vAlign w:val="bottom"/>
            <w:gridSpan w:val="2"/>
          </w:tcPr>
          <w:p>
            <w:pPr>
              <w:spacing w:after="0"/>
              <w:rPr>
                <w:rFonts w:ascii="Arial" w:cs="Arial" w:eastAsia="Arial" w:hAnsi="Arial"/>
                <w:sz w:val="18"/>
                <w:szCs w:val="18"/>
                <w:color w:val="0000EE"/>
                <w:w w:val="84"/>
              </w:rPr>
            </w:pPr>
            <w:hyperlink r:id="rId18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5"/>
              </w:rPr>
            </w:pPr>
            <w:hyperlink r:id="rId188">
              <w:r>
                <w:rPr>
                  <w:rFonts w:ascii="Arial" w:cs="Arial" w:eastAsia="Arial" w:hAnsi="Arial"/>
                  <w:sz w:val="18"/>
                  <w:szCs w:val="18"/>
                  <w:color w:val="0000EE"/>
                  <w:w w:val="95"/>
                </w:rPr>
                <w:t>Lease, dated August 1, 2006, between 240 West 40th</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LLC. and The Donna Karan Company LLC.</w:t>
              </w:r>
            </w:hyperlink>
          </w:p>
        </w:tc>
        <w:tc>
          <w:tcPr>
            <w:tcW w:w="620" w:type="dxa"/>
            <w:vAlign w:val="bottom"/>
            <w:tcBorders>
              <w:top w:val="single" w:sz="8" w:color="0000EE"/>
            </w:tcBorders>
            <w:gridSpan w:val="5"/>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304"/>
        </w:trPr>
        <w:tc>
          <w:tcPr>
            <w:tcW w:w="420" w:type="dxa"/>
            <w:vAlign w:val="bottom"/>
            <w:gridSpan w:val="2"/>
          </w:tcPr>
          <w:p>
            <w:pPr>
              <w:spacing w:after="0"/>
              <w:rPr>
                <w:rFonts w:ascii="Arial" w:cs="Arial" w:eastAsia="Arial" w:hAnsi="Arial"/>
                <w:sz w:val="18"/>
                <w:szCs w:val="18"/>
                <w:color w:val="0000EE"/>
                <w:w w:val="84"/>
              </w:rPr>
            </w:pPr>
            <w:hyperlink r:id="rId18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88"/>
              </w:rPr>
            </w:pPr>
            <w:hyperlink r:id="rId189">
              <w:r>
                <w:rPr>
                  <w:rFonts w:ascii="Arial" w:cs="Arial" w:eastAsia="Arial" w:hAnsi="Arial"/>
                  <w:sz w:val="18"/>
                  <w:szCs w:val="18"/>
                  <w:color w:val="0000EE"/>
                  <w:w w:val="88"/>
                </w:rPr>
                <w:t>Lease, dated December 7, 2011, between 400 Commerce</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Boulevard LLC. and The Donna Karan Company LLC.</w:t>
              </w:r>
            </w:hyperlink>
          </w:p>
        </w:tc>
        <w:tc>
          <w:tcPr>
            <w:tcW w:w="1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125">
              <w:r>
                <w:rPr>
                  <w:rFonts w:ascii="Arial" w:cs="Arial" w:eastAsia="Arial" w:hAnsi="Arial"/>
                  <w:sz w:val="18"/>
                  <w:szCs w:val="18"/>
                  <w:color w:val="0000EE"/>
                  <w:w w:val="96"/>
                </w:rPr>
                <w:t>21*</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Subsidiaries of G-III.</w:t>
              </w:r>
            </w:hyperlink>
          </w:p>
        </w:tc>
        <w:tc>
          <w:tcPr>
            <w:tcW w:w="2580" w:type="dxa"/>
            <w:vAlign w:val="bottom"/>
            <w:gridSpan w:val="24"/>
          </w:tcPr>
          <w:p>
            <w:pPr>
              <w:spacing w:after="0"/>
              <w:rPr>
                <w:sz w:val="24"/>
                <w:szCs w:val="24"/>
                <w:color w:val="auto"/>
              </w:rPr>
            </w:pPr>
          </w:p>
        </w:tc>
      </w:tr>
      <w:tr>
        <w:trPr>
          <w:trHeight w:val="291"/>
        </w:trPr>
        <w:tc>
          <w:tcPr>
            <w:tcW w:w="420" w:type="dxa"/>
            <w:vAlign w:val="bottom"/>
            <w:gridSpan w:val="2"/>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gridSpan w:val="26"/>
          </w:tcPr>
          <w:p>
            <w:pPr>
              <w:spacing w:after="0"/>
              <w:rPr>
                <w:rFonts w:ascii="Arial" w:cs="Arial" w:eastAsia="Arial" w:hAnsi="Arial"/>
                <w:sz w:val="18"/>
                <w:szCs w:val="18"/>
                <w:color w:val="0000EE"/>
                <w:w w:val="94"/>
              </w:rPr>
            </w:pPr>
            <w:hyperlink w:anchor="page127">
              <w:r>
                <w:rPr>
                  <w:rFonts w:ascii="Arial" w:cs="Arial" w:eastAsia="Arial" w:hAnsi="Arial"/>
                  <w:sz w:val="18"/>
                  <w:szCs w:val="18"/>
                  <w:color w:val="0000EE"/>
                  <w:w w:val="94"/>
                </w:rPr>
                <w:t>Consent of Independent Registered Public Accounting</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Firm, Ernst &amp; Young LLP.</w:t>
              </w:r>
            </w:hyperlink>
          </w:p>
        </w:tc>
        <w:tc>
          <w:tcPr>
            <w:tcW w:w="2000" w:type="dxa"/>
            <w:vAlign w:val="bottom"/>
            <w:tcBorders>
              <w:top w:val="single" w:sz="8" w:color="0000EE"/>
            </w:tcBorders>
            <w:gridSpan w:val="17"/>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304"/>
        </w:trPr>
        <w:tc>
          <w:tcPr>
            <w:tcW w:w="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28">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by Morris Goldfarb, Chief Executive</w:t>
              </w:r>
            </w:hyperlink>
          </w:p>
        </w:tc>
        <w:tc>
          <w:tcPr>
            <w:tcW w:w="500" w:type="dxa"/>
            <w:vAlign w:val="bottom"/>
            <w:gridSpan w:val="1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Officer of G-III Apparel Group, Ltd., pursuant to</w:t>
              </w:r>
            </w:hyperlink>
          </w:p>
        </w:tc>
        <w:tc>
          <w:tcPr>
            <w:tcW w:w="580" w:type="dxa"/>
            <w:vAlign w:val="bottom"/>
            <w:gridSpan w:val="13"/>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Rule 13a – 14(a) or Rule 15d – 14(a) of the Securities</w:t>
              </w:r>
            </w:hyperlink>
          </w:p>
        </w:tc>
        <w:tc>
          <w:tcPr>
            <w:tcW w:w="280" w:type="dxa"/>
            <w:vAlign w:val="bottom"/>
            <w:gridSpan w:val="9"/>
          </w:tcPr>
          <w:p>
            <w:pPr>
              <w:spacing w:after="0"/>
              <w:rPr>
                <w:sz w:val="17"/>
                <w:szCs w:val="17"/>
                <w:color w:val="auto"/>
              </w:rPr>
            </w:pPr>
          </w:p>
        </w:tc>
      </w:tr>
    </w:tbl>
    <w:p>
      <w:pPr>
        <w:spacing w:after="0" w:line="13" w:lineRule="exact"/>
        <w:rPr>
          <w:sz w:val="20"/>
          <w:szCs w:val="20"/>
          <w:color w:val="auto"/>
        </w:rPr>
      </w:pPr>
    </w:p>
    <w:p>
      <w:pPr>
        <w:ind w:left="2240" w:right="60"/>
        <w:spacing w:after="0" w:line="312" w:lineRule="auto"/>
        <w:rPr>
          <w:rFonts w:ascii="Arial" w:cs="Arial" w:eastAsia="Arial" w:hAnsi="Arial"/>
          <w:sz w:val="16"/>
          <w:szCs w:val="16"/>
          <w:u w:val="single" w:color="auto"/>
          <w:color w:val="0000EE"/>
        </w:rPr>
      </w:pPr>
      <w:hyperlink w:anchor="page128">
        <w:r>
          <w:rPr>
            <w:rFonts w:ascii="Arial" w:cs="Arial" w:eastAsia="Arial" w:hAnsi="Arial"/>
            <w:sz w:val="16"/>
            <w:szCs w:val="16"/>
            <w:u w:val="single" w:color="auto"/>
            <w:color w:val="0000EE"/>
          </w:rPr>
          <w:t>Exchange Act of 1934, as amended, in connection with</w:t>
        </w:r>
      </w:hyperlink>
      <w:r>
        <w:rPr>
          <w:rFonts w:ascii="Arial" w:cs="Arial" w:eastAsia="Arial" w:hAnsi="Arial"/>
          <w:sz w:val="16"/>
          <w:szCs w:val="16"/>
          <w:u w:val="single" w:color="auto"/>
          <w:color w:val="0000EE"/>
        </w:rPr>
        <w:t xml:space="preserve"> </w:t>
      </w:r>
      <w:hyperlink w:anchor="page128">
        <w:r>
          <w:rPr>
            <w:rFonts w:ascii="Arial" w:cs="Arial" w:eastAsia="Arial" w:hAnsi="Arial"/>
            <w:sz w:val="16"/>
            <w:szCs w:val="16"/>
            <w:u w:val="single" w:color="auto"/>
            <w:color w:val="0000EE"/>
          </w:rPr>
          <w:t>G-III Apparel Group, Ltd.’s Annual Report on Form 10-</w:t>
        </w:r>
      </w:hyperlink>
      <w:hyperlink w:anchor="page128">
        <w:r>
          <w:rPr>
            <w:rFonts w:ascii="Arial" w:cs="Arial" w:eastAsia="Arial" w:hAnsi="Arial"/>
            <w:sz w:val="16"/>
            <w:szCs w:val="16"/>
            <w:u w:val="single" w:color="auto"/>
            <w:color w:val="0000EE"/>
          </w:rPr>
          <w:t>K for the fiscal year ended January 31, 2018.</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10" w:lineRule="exact"/>
        <w:rPr>
          <w:rFonts w:ascii="Arial" w:cs="Arial" w:eastAsia="Arial" w:hAnsi="Arial"/>
          <w:sz w:val="16"/>
          <w:szCs w:val="16"/>
          <w:u w:val="single" w:color="auto"/>
          <w:color w:val="0000EE"/>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311" w:lineRule="exact"/>
        <w:rPr>
          <w:rFonts w:ascii="Arial" w:cs="Arial" w:eastAsia="Arial" w:hAnsi="Arial"/>
          <w:sz w:val="16"/>
          <w:szCs w:val="16"/>
          <w:u w:val="single" w:color="auto"/>
          <w:color w:val="0000EE"/>
        </w:rPr>
      </w:pPr>
    </w:p>
    <w:p>
      <w:pPr>
        <w:ind w:left="6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57785</wp:posOffset>
            </wp:positionV>
            <wp:extent cx="18351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43"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4"/>
          </w:tcPr>
          <w:p>
            <w:pPr>
              <w:ind w:left="16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6"/>
                <w:szCs w:val="16"/>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Date Filed</w:t>
            </w:r>
          </w:p>
        </w:tc>
      </w:tr>
      <w:tr>
        <w:trPr>
          <w:trHeight w:val="66"/>
        </w:trPr>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7"/>
          </w:tcPr>
          <w:p>
            <w:pPr>
              <w:jc w:val="center"/>
              <w:ind w:right="480"/>
              <w:spacing w:after="0"/>
              <w:rPr>
                <w:rFonts w:ascii="Arial" w:cs="Arial" w:eastAsia="Arial" w:hAnsi="Arial"/>
                <w:sz w:val="18"/>
                <w:szCs w:val="18"/>
                <w:color w:val="0000EE"/>
                <w:w w:val="78"/>
              </w:rPr>
            </w:pPr>
            <w:hyperlink r:id="rId179">
              <w:r>
                <w:rPr>
                  <w:rFonts w:ascii="Arial" w:cs="Arial" w:eastAsia="Arial" w:hAnsi="Arial"/>
                  <w:sz w:val="18"/>
                  <w:szCs w:val="18"/>
                  <w:color w:val="0000EE"/>
                  <w:w w:val="78"/>
                </w:rPr>
                <w:t>8-K</w:t>
              </w:r>
            </w:hyperlink>
          </w:p>
        </w:tc>
        <w:tc>
          <w:tcPr>
            <w:tcW w:w="780" w:type="dxa"/>
            <w:vAlign w:val="bottom"/>
            <w:gridSpan w:val="3"/>
          </w:tcPr>
          <w:p>
            <w:pPr>
              <w:jc w:val="cente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000-18183</w:t>
              </w:r>
            </w:hyperlink>
          </w:p>
        </w:tc>
        <w:tc>
          <w:tcPr>
            <w:tcW w:w="220" w:type="dxa"/>
            <w:vAlign w:val="bottom"/>
          </w:tcPr>
          <w:p>
            <w:pPr>
              <w:spacing w:after="0"/>
              <w:rPr>
                <w:sz w:val="20"/>
                <w:szCs w:val="20"/>
                <w:color w:val="auto"/>
              </w:rPr>
            </w:pPr>
          </w:p>
        </w:tc>
        <w:tc>
          <w:tcPr>
            <w:tcW w:w="840" w:type="dxa"/>
            <w:vAlign w:val="bottom"/>
            <w:gridSpan w:val="5"/>
          </w:tcPr>
          <w:p>
            <w:pPr>
              <w:jc w:val="center"/>
              <w:spacing w:after="0"/>
              <w:rPr>
                <w:rFonts w:ascii="Arial" w:cs="Arial" w:eastAsia="Arial" w:hAnsi="Arial"/>
                <w:sz w:val="18"/>
                <w:szCs w:val="18"/>
                <w:color w:val="0000EE"/>
                <w:w w:val="92"/>
              </w:rPr>
            </w:pPr>
            <w:hyperlink r:id="rId179">
              <w:r>
                <w:rPr>
                  <w:rFonts w:ascii="Arial" w:cs="Arial" w:eastAsia="Arial" w:hAnsi="Arial"/>
                  <w:sz w:val="18"/>
                  <w:szCs w:val="18"/>
                  <w:color w:val="0000EE"/>
                  <w:w w:val="92"/>
                </w:rPr>
                <w:t>4/30/2014</w:t>
              </w:r>
            </w:hyperlink>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0000EE"/>
            </w:tcBorders>
            <w:gridSpan w:val="3"/>
          </w:tcPr>
          <w:p>
            <w:pPr>
              <w:jc w:val="center"/>
              <w:ind w:right="20"/>
              <w:spacing w:after="0"/>
              <w:rPr>
                <w:rFonts w:ascii="Arial" w:cs="Arial" w:eastAsia="Arial" w:hAnsi="Arial"/>
                <w:sz w:val="18"/>
                <w:szCs w:val="18"/>
                <w:color w:val="0000EE"/>
                <w:w w:val="84"/>
              </w:rPr>
            </w:pPr>
            <w:hyperlink r:id="rId180">
              <w:r>
                <w:rPr>
                  <w:rFonts w:ascii="Arial" w:cs="Arial" w:eastAsia="Arial" w:hAnsi="Arial"/>
                  <w:sz w:val="18"/>
                  <w:szCs w:val="18"/>
                  <w:color w:val="0000EE"/>
                  <w:w w:val="84"/>
                </w:rPr>
                <w:t>10-Q</w:t>
              </w:r>
            </w:hyperlink>
          </w:p>
        </w:tc>
        <w:tc>
          <w:tcPr>
            <w:tcW w:w="440" w:type="dxa"/>
            <w:vAlign w:val="bottom"/>
            <w:gridSpan w:val="5"/>
          </w:tcPr>
          <w:p>
            <w:pPr>
              <w:spacing w:after="0"/>
              <w:rPr>
                <w:sz w:val="24"/>
                <w:szCs w:val="24"/>
                <w:color w:val="auto"/>
              </w:rPr>
            </w:pPr>
          </w:p>
        </w:tc>
        <w:tc>
          <w:tcPr>
            <w:tcW w:w="780" w:type="dxa"/>
            <w:vAlign w:val="bottom"/>
            <w:tcBorders>
              <w:bottom w:val="single" w:sz="8" w:color="0000EE"/>
            </w:tcBorders>
            <w:gridSpan w:val="3"/>
          </w:tcPr>
          <w:p>
            <w:pPr>
              <w:jc w:val="center"/>
              <w:spacing w:after="0"/>
              <w:rPr>
                <w:rFonts w:ascii="Arial" w:cs="Arial" w:eastAsia="Arial" w:hAnsi="Arial"/>
                <w:sz w:val="18"/>
                <w:szCs w:val="18"/>
                <w:color w:val="0000EE"/>
                <w:w w:val="90"/>
              </w:rPr>
            </w:pPr>
            <w:hyperlink r:id="rId180">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color w:val="0000EE"/>
                <w:w w:val="84"/>
              </w:rPr>
            </w:pPr>
            <w:hyperlink r:id="rId180">
              <w:r>
                <w:rPr>
                  <w:rFonts w:ascii="Arial" w:cs="Arial" w:eastAsia="Arial" w:hAnsi="Arial"/>
                  <w:sz w:val="18"/>
                  <w:szCs w:val="18"/>
                  <w:color w:val="0000EE"/>
                  <w:w w:val="84"/>
                </w:rPr>
                <w:t>9/13/2006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0000EE"/>
            </w:tcBorders>
            <w:gridSpan w:val="9"/>
          </w:tcPr>
          <w:p>
            <w:pPr>
              <w:jc w:val="center"/>
              <w:ind w:right="20"/>
              <w:spacing w:after="0" w:line="196" w:lineRule="exact"/>
              <w:rPr>
                <w:rFonts w:ascii="Arial" w:cs="Arial" w:eastAsia="Arial" w:hAnsi="Arial"/>
                <w:sz w:val="18"/>
                <w:szCs w:val="18"/>
                <w:color w:val="0000EE"/>
                <w:w w:val="93"/>
              </w:rPr>
            </w:pPr>
            <w:hyperlink r:id="rId180">
              <w:r>
                <w:rPr>
                  <w:rFonts w:ascii="Arial" w:cs="Arial" w:eastAsia="Arial" w:hAnsi="Arial"/>
                  <w:sz w:val="18"/>
                  <w:szCs w:val="18"/>
                  <w:color w:val="0000EE"/>
                  <w:w w:val="93"/>
                </w:rPr>
                <w:t>(Q2 2007)</w:t>
              </w:r>
            </w:hyperlink>
          </w:p>
        </w:tc>
        <w:tc>
          <w:tcPr>
            <w:tcW w:w="2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center"/>
              <w:ind w:right="20"/>
              <w:spacing w:after="0"/>
              <w:rPr>
                <w:rFonts w:ascii="Arial" w:cs="Arial" w:eastAsia="Arial" w:hAnsi="Arial"/>
                <w:sz w:val="18"/>
                <w:szCs w:val="18"/>
                <w:color w:val="0000EE"/>
                <w:w w:val="84"/>
              </w:rPr>
            </w:pPr>
            <w:hyperlink r:id="rId181">
              <w:r>
                <w:rPr>
                  <w:rFonts w:ascii="Arial" w:cs="Arial" w:eastAsia="Arial" w:hAnsi="Arial"/>
                  <w:sz w:val="18"/>
                  <w:szCs w:val="18"/>
                  <w:color w:val="0000EE"/>
                  <w:w w:val="84"/>
                </w:rPr>
                <w:t>10-Q</w:t>
              </w:r>
            </w:hyperlink>
          </w:p>
        </w:tc>
        <w:tc>
          <w:tcPr>
            <w:tcW w:w="440" w:type="dxa"/>
            <w:vAlign w:val="bottom"/>
            <w:gridSpan w:val="5"/>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5"/>
          </w:tcPr>
          <w:p>
            <w:pPr>
              <w:jc w:val="center"/>
              <w:ind w:right="20"/>
              <w:spacing w:after="0"/>
              <w:rPr>
                <w:rFonts w:ascii="Arial" w:cs="Arial" w:eastAsia="Arial" w:hAnsi="Arial"/>
                <w:sz w:val="18"/>
                <w:szCs w:val="18"/>
                <w:color w:val="0000EE"/>
                <w:w w:val="79"/>
              </w:rPr>
            </w:pPr>
            <w:hyperlink r:id="rId181">
              <w:r>
                <w:rPr>
                  <w:rFonts w:ascii="Arial" w:cs="Arial" w:eastAsia="Arial" w:hAnsi="Arial"/>
                  <w:sz w:val="18"/>
                  <w:szCs w:val="18"/>
                  <w:color w:val="0000EE"/>
                  <w:w w:val="79"/>
                </w:rPr>
                <w:t>12/10/2010</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gridSpan w:val="11"/>
          </w:tcPr>
          <w:p>
            <w:pPr>
              <w:jc w:val="center"/>
              <w:ind w:right="220"/>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(Q3 2011)</w:t>
              </w:r>
            </w:hyperlink>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gridSpan w:val="3"/>
          </w:tcPr>
          <w:p>
            <w:pPr>
              <w:jc w:val="center"/>
              <w:ind w:right="20"/>
              <w:spacing w:after="0"/>
              <w:rPr>
                <w:rFonts w:ascii="Arial" w:cs="Arial" w:eastAsia="Arial" w:hAnsi="Arial"/>
                <w:sz w:val="18"/>
                <w:szCs w:val="18"/>
                <w:color w:val="0000EE"/>
                <w:w w:val="84"/>
              </w:rPr>
            </w:pPr>
            <w:hyperlink r:id="rId182">
              <w:r>
                <w:rPr>
                  <w:rFonts w:ascii="Arial" w:cs="Arial" w:eastAsia="Arial" w:hAnsi="Arial"/>
                  <w:sz w:val="18"/>
                  <w:szCs w:val="18"/>
                  <w:color w:val="0000EE"/>
                  <w:w w:val="84"/>
                </w:rPr>
                <w:t>10-Q</w:t>
              </w:r>
            </w:hyperlink>
          </w:p>
        </w:tc>
        <w:tc>
          <w:tcPr>
            <w:tcW w:w="200" w:type="dxa"/>
            <w:vAlign w:val="bottom"/>
            <w:tcBorders>
              <w:top w:val="single" w:sz="8" w:color="0000EE"/>
            </w:tcBorders>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5"/>
          </w:tcPr>
          <w:p>
            <w:pPr>
              <w:jc w:val="center"/>
              <w:ind w:right="20"/>
              <w:spacing w:after="0"/>
              <w:rPr>
                <w:rFonts w:ascii="Arial" w:cs="Arial" w:eastAsia="Arial" w:hAnsi="Arial"/>
                <w:sz w:val="18"/>
                <w:szCs w:val="18"/>
                <w:color w:val="0000EE"/>
                <w:w w:val="79"/>
              </w:rPr>
            </w:pPr>
            <w:hyperlink r:id="rId182">
              <w:r>
                <w:rPr>
                  <w:rFonts w:ascii="Arial" w:cs="Arial" w:eastAsia="Arial" w:hAnsi="Arial"/>
                  <w:sz w:val="18"/>
                  <w:szCs w:val="18"/>
                  <w:color w:val="0000EE"/>
                  <w:w w:val="79"/>
                </w:rPr>
                <w:t>12/10/2010</w:t>
              </w:r>
            </w:hyperlink>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gridSpan w:val="11"/>
          </w:tcPr>
          <w:p>
            <w:pPr>
              <w:jc w:val="center"/>
              <w:ind w:right="220"/>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(Q3 2011)</w:t>
              </w:r>
            </w:hyperlink>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gridSpan w:val="4"/>
          </w:tcPr>
          <w:p>
            <w:pPr>
              <w:jc w:val="center"/>
              <w:ind w:right="240"/>
              <w:spacing w:after="0"/>
              <w:rPr>
                <w:rFonts w:ascii="Arial" w:cs="Arial" w:eastAsia="Arial" w:hAnsi="Arial"/>
                <w:sz w:val="18"/>
                <w:szCs w:val="18"/>
                <w:color w:val="0000EE"/>
                <w:w w:val="78"/>
              </w:rPr>
            </w:pPr>
            <w:hyperlink r:id="rId183">
              <w:r>
                <w:rPr>
                  <w:rFonts w:ascii="Arial" w:cs="Arial" w:eastAsia="Arial" w:hAnsi="Arial"/>
                  <w:sz w:val="18"/>
                  <w:szCs w:val="18"/>
                  <w:color w:val="0000EE"/>
                  <w:w w:val="78"/>
                </w:rPr>
                <w:t>8-K</w:t>
              </w:r>
            </w:hyperlink>
          </w:p>
        </w:tc>
        <w:tc>
          <w:tcPr>
            <w:tcW w:w="240" w:type="dxa"/>
            <w:vAlign w:val="bottom"/>
            <w:gridSpan w:val="3"/>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40" w:type="dxa"/>
            <w:vAlign w:val="bottom"/>
            <w:gridSpan w:val="5"/>
          </w:tcPr>
          <w:p>
            <w:pPr>
              <w:jc w:val="cente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1/14/2013</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7"/>
          </w:tcPr>
          <w:p>
            <w:pPr>
              <w:jc w:val="center"/>
              <w:ind w:right="480"/>
              <w:spacing w:after="0"/>
              <w:rPr>
                <w:rFonts w:ascii="Arial" w:cs="Arial" w:eastAsia="Arial" w:hAnsi="Arial"/>
                <w:sz w:val="18"/>
                <w:szCs w:val="18"/>
                <w:color w:val="0000EE"/>
                <w:w w:val="78"/>
              </w:rPr>
            </w:pPr>
            <w:hyperlink r:id="rId184">
              <w:r>
                <w:rPr>
                  <w:rFonts w:ascii="Arial" w:cs="Arial" w:eastAsia="Arial" w:hAnsi="Arial"/>
                  <w:sz w:val="18"/>
                  <w:szCs w:val="18"/>
                  <w:color w:val="0000EE"/>
                  <w:w w:val="78"/>
                </w:rPr>
                <w:t>8-K</w:t>
              </w:r>
            </w:hyperlink>
          </w:p>
        </w:tc>
        <w:tc>
          <w:tcPr>
            <w:tcW w:w="780" w:type="dxa"/>
            <w:vAlign w:val="bottom"/>
            <w:gridSpan w:val="3"/>
          </w:tcPr>
          <w:p>
            <w:pPr>
              <w:jc w:val="cente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6"/>
          </w:tcPr>
          <w:p>
            <w:pPr>
              <w:jc w:val="cente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12/14/2016</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7"/>
          </w:tcPr>
          <w:p>
            <w:pPr>
              <w:jc w:val="center"/>
              <w:ind w:right="480"/>
              <w:spacing w:after="0"/>
              <w:rPr>
                <w:rFonts w:ascii="Arial" w:cs="Arial" w:eastAsia="Arial" w:hAnsi="Arial"/>
                <w:sz w:val="18"/>
                <w:szCs w:val="18"/>
                <w:color w:val="0000EE"/>
                <w:w w:val="78"/>
              </w:rPr>
            </w:pPr>
            <w:hyperlink r:id="rId185">
              <w:r>
                <w:rPr>
                  <w:rFonts w:ascii="Arial" w:cs="Arial" w:eastAsia="Arial" w:hAnsi="Arial"/>
                  <w:sz w:val="18"/>
                  <w:szCs w:val="18"/>
                  <w:color w:val="0000EE"/>
                  <w:w w:val="78"/>
                </w:rPr>
                <w:t>8-K</w:t>
              </w:r>
            </w:hyperlink>
          </w:p>
        </w:tc>
        <w:tc>
          <w:tcPr>
            <w:tcW w:w="780" w:type="dxa"/>
            <w:vAlign w:val="bottom"/>
            <w:gridSpan w:val="3"/>
          </w:tcPr>
          <w:p>
            <w:pPr>
              <w:jc w:val="cente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6"/>
          </w:tcPr>
          <w:p>
            <w:pPr>
              <w:jc w:val="cente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12/14/2016</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7"/>
          </w:tcPr>
          <w:p>
            <w:pPr>
              <w:jc w:val="center"/>
              <w:ind w:right="480"/>
              <w:spacing w:after="0"/>
              <w:rPr>
                <w:rFonts w:ascii="Arial" w:cs="Arial" w:eastAsia="Arial" w:hAnsi="Arial"/>
                <w:sz w:val="18"/>
                <w:szCs w:val="18"/>
                <w:color w:val="0000EE"/>
                <w:w w:val="78"/>
              </w:rPr>
            </w:pPr>
            <w:hyperlink r:id="rId186">
              <w:r>
                <w:rPr>
                  <w:rFonts w:ascii="Arial" w:cs="Arial" w:eastAsia="Arial" w:hAnsi="Arial"/>
                  <w:sz w:val="18"/>
                  <w:szCs w:val="18"/>
                  <w:color w:val="0000EE"/>
                  <w:w w:val="78"/>
                </w:rPr>
                <w:t>8-K</w:t>
              </w:r>
            </w:hyperlink>
          </w:p>
        </w:tc>
        <w:tc>
          <w:tcPr>
            <w:tcW w:w="780" w:type="dxa"/>
            <w:vAlign w:val="bottom"/>
            <w:gridSpan w:val="3"/>
          </w:tcPr>
          <w:p>
            <w:pPr>
              <w:jc w:val="cente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40" w:type="dxa"/>
            <w:vAlign w:val="bottom"/>
            <w:gridSpan w:val="5"/>
          </w:tcPr>
          <w:p>
            <w:pPr>
              <w:jc w:val="center"/>
              <w:spacing w:after="0"/>
              <w:rPr>
                <w:rFonts w:ascii="Arial" w:cs="Arial" w:eastAsia="Arial" w:hAnsi="Arial"/>
                <w:sz w:val="18"/>
                <w:szCs w:val="18"/>
                <w:color w:val="0000EE"/>
                <w:w w:val="92"/>
              </w:rPr>
            </w:pPr>
            <w:hyperlink r:id="rId186">
              <w:r>
                <w:rPr>
                  <w:rFonts w:ascii="Arial" w:cs="Arial" w:eastAsia="Arial" w:hAnsi="Arial"/>
                  <w:sz w:val="18"/>
                  <w:szCs w:val="18"/>
                  <w:color w:val="0000EE"/>
                  <w:w w:val="92"/>
                </w:rPr>
                <w:t>12/6/2016</w:t>
              </w:r>
            </w:hyperlink>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7"/>
          </w:tcPr>
          <w:p>
            <w:pPr>
              <w:jc w:val="center"/>
              <w:ind w:right="480"/>
              <w:spacing w:after="0"/>
              <w:rPr>
                <w:rFonts w:ascii="Arial" w:cs="Arial" w:eastAsia="Arial" w:hAnsi="Arial"/>
                <w:sz w:val="18"/>
                <w:szCs w:val="18"/>
                <w:color w:val="0000EE"/>
                <w:w w:val="78"/>
              </w:rPr>
            </w:pPr>
            <w:hyperlink r:id="rId187">
              <w:r>
                <w:rPr>
                  <w:rFonts w:ascii="Arial" w:cs="Arial" w:eastAsia="Arial" w:hAnsi="Arial"/>
                  <w:sz w:val="18"/>
                  <w:szCs w:val="18"/>
                  <w:color w:val="0000EE"/>
                  <w:w w:val="78"/>
                </w:rPr>
                <w:t>8-K</w:t>
              </w:r>
            </w:hyperlink>
          </w:p>
        </w:tc>
        <w:tc>
          <w:tcPr>
            <w:tcW w:w="780" w:type="dxa"/>
            <w:vAlign w:val="bottom"/>
            <w:gridSpan w:val="3"/>
          </w:tcPr>
          <w:p>
            <w:pPr>
              <w:jc w:val="cente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860" w:type="dxa"/>
            <w:vAlign w:val="bottom"/>
            <w:gridSpan w:val="6"/>
          </w:tcPr>
          <w:p>
            <w:pPr>
              <w:jc w:val="cente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12/14/2016</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8"/>
          </w:tcPr>
          <w:p>
            <w:pPr>
              <w:jc w:val="center"/>
              <w:ind w:right="440"/>
              <w:spacing w:after="0"/>
              <w:rPr>
                <w:rFonts w:ascii="Arial" w:cs="Arial" w:eastAsia="Arial" w:hAnsi="Arial"/>
                <w:sz w:val="18"/>
                <w:szCs w:val="18"/>
                <w:color w:val="0000EE"/>
                <w:w w:val="94"/>
              </w:rPr>
            </w:pPr>
            <w:hyperlink r:id="rId188">
              <w:r>
                <w:rPr>
                  <w:rFonts w:ascii="Arial" w:cs="Arial" w:eastAsia="Arial" w:hAnsi="Arial"/>
                  <w:sz w:val="18"/>
                  <w:szCs w:val="18"/>
                  <w:color w:val="0000EE"/>
                  <w:w w:val="94"/>
                </w:rPr>
                <w:t>10-K</w:t>
              </w:r>
            </w:hyperlink>
          </w:p>
        </w:tc>
        <w:tc>
          <w:tcPr>
            <w:tcW w:w="780" w:type="dxa"/>
            <w:vAlign w:val="bottom"/>
            <w:gridSpan w:val="3"/>
          </w:tcPr>
          <w:p>
            <w:pPr>
              <w:jc w:val="cente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60" w:type="dxa"/>
            <w:vAlign w:val="bottom"/>
            <w:gridSpan w:val="4"/>
          </w:tcPr>
          <w:p>
            <w:pPr>
              <w:jc w:val="center"/>
              <w:ind w:left="30"/>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4/3/2017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gridSpan w:val="3"/>
          </w:tcPr>
          <w:p>
            <w:pPr>
              <w:spacing w:after="0"/>
              <w:rPr>
                <w:sz w:val="17"/>
                <w:szCs w:val="17"/>
                <w:color w:val="auto"/>
              </w:rPr>
            </w:pPr>
          </w:p>
        </w:tc>
        <w:tc>
          <w:tcPr>
            <w:tcW w:w="620" w:type="dxa"/>
            <w:vAlign w:val="bottom"/>
            <w:gridSpan w:val="6"/>
          </w:tcPr>
          <w:p>
            <w:pPr>
              <w:jc w:val="center"/>
              <w:ind w:right="140"/>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(2017)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gridSpan w:val="4"/>
          </w:tcPr>
          <w:p>
            <w:pPr>
              <w:jc w:val="center"/>
              <w:ind w:right="60"/>
              <w:spacing w:after="0"/>
              <w:rPr>
                <w:rFonts w:ascii="Arial" w:cs="Arial" w:eastAsia="Arial" w:hAnsi="Arial"/>
                <w:sz w:val="18"/>
                <w:szCs w:val="18"/>
                <w:color w:val="0000EE"/>
                <w:w w:val="94"/>
              </w:rPr>
            </w:pPr>
            <w:hyperlink r:id="rId189">
              <w:r>
                <w:rPr>
                  <w:rFonts w:ascii="Arial" w:cs="Arial" w:eastAsia="Arial" w:hAnsi="Arial"/>
                  <w:sz w:val="18"/>
                  <w:szCs w:val="18"/>
                  <w:color w:val="0000EE"/>
                  <w:w w:val="94"/>
                </w:rPr>
                <w:t>10-K</w:t>
              </w:r>
            </w:hyperlink>
          </w:p>
        </w:tc>
        <w:tc>
          <w:tcPr>
            <w:tcW w:w="380" w:type="dxa"/>
            <w:vAlign w:val="bottom"/>
            <w:gridSpan w:val="4"/>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000-18183</w:t>
              </w:r>
            </w:hyperlink>
          </w:p>
        </w:tc>
        <w:tc>
          <w:tcPr>
            <w:tcW w:w="220" w:type="dxa"/>
            <w:vAlign w:val="bottom"/>
          </w:tcPr>
          <w:p>
            <w:pPr>
              <w:spacing w:after="0"/>
              <w:rPr>
                <w:sz w:val="24"/>
                <w:szCs w:val="24"/>
                <w:color w:val="auto"/>
              </w:rPr>
            </w:pPr>
          </w:p>
        </w:tc>
        <w:tc>
          <w:tcPr>
            <w:tcW w:w="760" w:type="dxa"/>
            <w:vAlign w:val="bottom"/>
            <w:gridSpan w:val="4"/>
          </w:tcPr>
          <w:p>
            <w:pPr>
              <w:jc w:val="center"/>
              <w:ind w:left="30"/>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4/3/2017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20" w:type="dxa"/>
            <w:vAlign w:val="bottom"/>
            <w:gridSpan w:val="4"/>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gridSpan w:val="3"/>
          </w:tcPr>
          <w:p>
            <w:pPr>
              <w:spacing w:after="0"/>
              <w:rPr>
                <w:sz w:val="17"/>
                <w:szCs w:val="17"/>
                <w:color w:val="auto"/>
              </w:rPr>
            </w:pPr>
          </w:p>
        </w:tc>
        <w:tc>
          <w:tcPr>
            <w:tcW w:w="620" w:type="dxa"/>
            <w:vAlign w:val="bottom"/>
            <w:gridSpan w:val="6"/>
          </w:tcPr>
          <w:p>
            <w:pPr>
              <w:jc w:val="center"/>
              <w:ind w:right="140"/>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(2017)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w:t>
              </w:r>
            </w:hyperlink>
          </w:p>
        </w:tc>
        <w:tc>
          <w:tcPr>
            <w:tcW w:w="140" w:type="dxa"/>
            <w:vAlign w:val="bottom"/>
            <w:tcBorders>
              <w:top w:val="single" w:sz="8" w:color="0000EE"/>
            </w:tcBorders>
            <w:gridSpan w:val="2"/>
          </w:tcPr>
          <w:p>
            <w:pPr>
              <w:spacing w:after="0"/>
              <w:rPr>
                <w:sz w:val="24"/>
                <w:szCs w:val="24"/>
                <w:color w:val="auto"/>
              </w:rPr>
            </w:pPr>
          </w:p>
        </w:tc>
        <w:tc>
          <w:tcPr>
            <w:tcW w:w="38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jc w:val="center"/>
              <w:ind w:right="520"/>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w:t>
              </w:r>
            </w:hyperlink>
          </w:p>
        </w:tc>
        <w:tc>
          <w:tcPr>
            <w:tcW w:w="120" w:type="dxa"/>
            <w:vAlign w:val="bottom"/>
          </w:tcPr>
          <w:p>
            <w:pPr>
              <w:spacing w:after="0"/>
              <w:rPr>
                <w:sz w:val="24"/>
                <w:szCs w:val="24"/>
                <w:color w:val="auto"/>
              </w:rPr>
            </w:pPr>
          </w:p>
        </w:tc>
        <w:tc>
          <w:tcPr>
            <w:tcW w:w="740" w:type="dxa"/>
            <w:vAlign w:val="bottom"/>
            <w:gridSpan w:val="5"/>
          </w:tcPr>
          <w:p>
            <w:pPr>
              <w:jc w:val="center"/>
              <w:ind w:right="120"/>
              <w:spacing w:after="0"/>
              <w:rPr>
                <w:rFonts w:ascii="Arial" w:cs="Arial" w:eastAsia="Arial" w:hAnsi="Arial"/>
                <w:sz w:val="18"/>
                <w:szCs w:val="18"/>
                <w:color w:val="0000EE"/>
                <w:w w:val="99"/>
              </w:rPr>
            </w:pPr>
            <w:hyperlink w:anchor="page125">
              <w:r>
                <w:rPr>
                  <w:rFonts w:ascii="Arial" w:cs="Arial" w:eastAsia="Arial" w:hAnsi="Arial"/>
                  <w:sz w:val="18"/>
                  <w:szCs w:val="18"/>
                  <w:color w:val="0000EE"/>
                  <w:w w:val="99"/>
                </w:rPr>
                <w:t>—</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center"/>
              <w:spacing w:after="0"/>
              <w:rPr>
                <w:rFonts w:ascii="Arial" w:cs="Arial" w:eastAsia="Arial" w:hAnsi="Arial"/>
                <w:sz w:val="18"/>
                <w:szCs w:val="18"/>
                <w:color w:val="0000EE"/>
                <w:w w:val="99"/>
              </w:rPr>
            </w:pPr>
            <w:hyperlink w:anchor="page127">
              <w:r>
                <w:rPr>
                  <w:rFonts w:ascii="Arial" w:cs="Arial" w:eastAsia="Arial" w:hAnsi="Arial"/>
                  <w:sz w:val="18"/>
                  <w:szCs w:val="18"/>
                  <w:color w:val="0000EE"/>
                  <w:w w:val="99"/>
                </w:rPr>
                <w:t>—</w:t>
              </w:r>
            </w:hyperlink>
          </w:p>
        </w:tc>
        <w:tc>
          <w:tcPr>
            <w:tcW w:w="5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jc w:val="center"/>
              <w:ind w:right="520"/>
              <w:spacing w:after="0"/>
              <w:rPr>
                <w:rFonts w:ascii="Arial" w:cs="Arial" w:eastAsia="Arial" w:hAnsi="Arial"/>
                <w:sz w:val="18"/>
                <w:szCs w:val="18"/>
                <w:color w:val="0000EE"/>
                <w:w w:val="99"/>
              </w:rPr>
            </w:pPr>
            <w:hyperlink w:anchor="page127">
              <w:r>
                <w:rPr>
                  <w:rFonts w:ascii="Arial" w:cs="Arial" w:eastAsia="Arial" w:hAnsi="Arial"/>
                  <w:sz w:val="18"/>
                  <w:szCs w:val="18"/>
                  <w:color w:val="0000EE"/>
                  <w:w w:val="99"/>
                </w:rPr>
                <w:t>—</w:t>
              </w:r>
            </w:hyperlink>
          </w:p>
        </w:tc>
        <w:tc>
          <w:tcPr>
            <w:tcW w:w="120" w:type="dxa"/>
            <w:vAlign w:val="bottom"/>
          </w:tcPr>
          <w:p>
            <w:pPr>
              <w:spacing w:after="0"/>
              <w:rPr>
                <w:sz w:val="24"/>
                <w:szCs w:val="24"/>
                <w:color w:val="auto"/>
              </w:rPr>
            </w:pPr>
          </w:p>
        </w:tc>
        <w:tc>
          <w:tcPr>
            <w:tcW w:w="740" w:type="dxa"/>
            <w:vAlign w:val="bottom"/>
            <w:gridSpan w:val="5"/>
          </w:tcPr>
          <w:p>
            <w:pPr>
              <w:jc w:val="center"/>
              <w:ind w:right="120"/>
              <w:spacing w:after="0"/>
              <w:rPr>
                <w:rFonts w:ascii="Arial" w:cs="Arial" w:eastAsia="Arial" w:hAnsi="Arial"/>
                <w:sz w:val="18"/>
                <w:szCs w:val="18"/>
                <w:color w:val="0000EE"/>
                <w:w w:val="99"/>
              </w:rPr>
            </w:pPr>
            <w:hyperlink w:anchor="page127">
              <w:r>
                <w:rPr>
                  <w:rFonts w:ascii="Arial" w:cs="Arial" w:eastAsia="Arial" w:hAnsi="Arial"/>
                  <w:sz w:val="18"/>
                  <w:szCs w:val="18"/>
                  <w:color w:val="0000EE"/>
                  <w:w w:val="99"/>
                </w:rPr>
                <w:t>—</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center"/>
              <w:spacing w:after="0"/>
              <w:rPr>
                <w:rFonts w:ascii="Arial" w:cs="Arial" w:eastAsia="Arial" w:hAnsi="Arial"/>
                <w:sz w:val="18"/>
                <w:szCs w:val="18"/>
                <w:color w:val="0000EE"/>
                <w:w w:val="99"/>
              </w:rPr>
            </w:pPr>
            <w:hyperlink w:anchor="page128">
              <w:r>
                <w:rPr>
                  <w:rFonts w:ascii="Arial" w:cs="Arial" w:eastAsia="Arial" w:hAnsi="Arial"/>
                  <w:sz w:val="18"/>
                  <w:szCs w:val="18"/>
                  <w:color w:val="0000EE"/>
                  <w:w w:val="99"/>
                </w:rPr>
                <w:t>—</w:t>
              </w:r>
            </w:hyperlink>
          </w:p>
        </w:tc>
        <w:tc>
          <w:tcPr>
            <w:tcW w:w="5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jc w:val="center"/>
              <w:ind w:right="520"/>
              <w:spacing w:after="0"/>
              <w:rPr>
                <w:rFonts w:ascii="Arial" w:cs="Arial" w:eastAsia="Arial" w:hAnsi="Arial"/>
                <w:sz w:val="18"/>
                <w:szCs w:val="18"/>
                <w:color w:val="0000EE"/>
                <w:w w:val="99"/>
              </w:rPr>
            </w:pPr>
            <w:hyperlink w:anchor="page128">
              <w:r>
                <w:rPr>
                  <w:rFonts w:ascii="Arial" w:cs="Arial" w:eastAsia="Arial" w:hAnsi="Arial"/>
                  <w:sz w:val="18"/>
                  <w:szCs w:val="18"/>
                  <w:color w:val="0000EE"/>
                  <w:w w:val="99"/>
                </w:rPr>
                <w:t>—</w:t>
              </w:r>
            </w:hyperlink>
          </w:p>
        </w:tc>
        <w:tc>
          <w:tcPr>
            <w:tcW w:w="120" w:type="dxa"/>
            <w:vAlign w:val="bottom"/>
          </w:tcPr>
          <w:p>
            <w:pPr>
              <w:spacing w:after="0"/>
              <w:rPr>
                <w:sz w:val="24"/>
                <w:szCs w:val="24"/>
                <w:color w:val="auto"/>
              </w:rPr>
            </w:pPr>
          </w:p>
        </w:tc>
        <w:tc>
          <w:tcPr>
            <w:tcW w:w="740" w:type="dxa"/>
            <w:vAlign w:val="bottom"/>
            <w:gridSpan w:val="5"/>
          </w:tcPr>
          <w:p>
            <w:pPr>
              <w:jc w:val="center"/>
              <w:ind w:right="120"/>
              <w:spacing w:after="0"/>
              <w:rPr>
                <w:rFonts w:ascii="Arial" w:cs="Arial" w:eastAsia="Arial" w:hAnsi="Arial"/>
                <w:sz w:val="18"/>
                <w:szCs w:val="18"/>
                <w:color w:val="0000EE"/>
                <w:w w:val="99"/>
              </w:rPr>
            </w:pPr>
            <w:hyperlink w:anchor="page128">
              <w:r>
                <w:rPr>
                  <w:rFonts w:ascii="Arial" w:cs="Arial" w:eastAsia="Arial" w:hAnsi="Arial"/>
                  <w:sz w:val="18"/>
                  <w:szCs w:val="18"/>
                  <w:color w:val="0000EE"/>
                  <w:w w:val="99"/>
                </w:rPr>
                <w:t>—</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360" w:space="220"/>
            <w:col w:w="363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57785</wp:posOffset>
            </wp:positionV>
            <wp:extent cx="18351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43" w:lineRule="exact"/>
        <w:rPr>
          <w:sz w:val="20"/>
          <w:szCs w:val="20"/>
          <w:color w:val="auto"/>
        </w:rPr>
      </w:pPr>
    </w:p>
    <w:p>
      <w:pPr>
        <w:jc w:val="right"/>
        <w:ind w:right="859"/>
        <w:spacing w:after="0"/>
        <w:tabs>
          <w:tab w:leader="none" w:pos="5340" w:val="left"/>
          <w:tab w:leader="none" w:pos="2520" w:val="left"/>
          <w:tab w:leader="none" w:pos="1580" w:val="left"/>
          <w:tab w:leader="none" w:pos="6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3"/>
          <w:szCs w:val="13"/>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57785</wp:posOffset>
            </wp:positionV>
            <wp:extent cx="5213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5"/>
              </w:rPr>
            </w:pPr>
            <w:hyperlink w:anchor="page129">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29">
              <w:r>
                <w:rPr>
                  <w:rFonts w:ascii="Arial" w:cs="Arial" w:eastAsia="Arial" w:hAnsi="Arial"/>
                  <w:sz w:val="18"/>
                  <w:szCs w:val="18"/>
                  <w:color w:val="0000EE"/>
                  <w:w w:val="92"/>
                </w:rPr>
                <w:t>Certification by Neal S. Nackman, Chief Financial</w:t>
              </w:r>
            </w:hyperlink>
          </w:p>
        </w:tc>
        <w:tc>
          <w:tcPr>
            <w:tcW w:w="40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Officer of G-III Apparel Group, Ltd., pursuant to</w:t>
              </w:r>
            </w:hyperlink>
          </w:p>
        </w:tc>
        <w:tc>
          <w:tcPr>
            <w:tcW w:w="520" w:type="dxa"/>
            <w:vAlign w:val="bottom"/>
            <w:gridSpan w:val="7"/>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Rule 13a – 14(a) or Rule 15d – 14(a) of the Securities</w:t>
              </w:r>
            </w:hyperlink>
          </w:p>
        </w:tc>
        <w:tc>
          <w:tcPr>
            <w:tcW w:w="22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Exchange Act of 1934, as amended, in connection with</w:t>
              </w:r>
            </w:hyperlink>
          </w:p>
        </w:tc>
        <w:tc>
          <w:tcPr>
            <w:tcW w:w="8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G-III Apparel Group, Ltd.’s Annual Report on Form 10-</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K for the fiscal year ended January 31, 2018.</w:t>
              </w:r>
            </w:hyperlink>
          </w:p>
        </w:tc>
        <w:tc>
          <w:tcPr>
            <w:tcW w:w="820" w:type="dxa"/>
            <w:vAlign w:val="bottom"/>
            <w:gridSpan w:val="11"/>
          </w:tcPr>
          <w:p>
            <w:pPr>
              <w:spacing w:after="0"/>
              <w:rPr>
                <w:sz w:val="17"/>
                <w:szCs w:val="17"/>
                <w:color w:val="auto"/>
              </w:rPr>
            </w:pPr>
          </w:p>
        </w:tc>
      </w:tr>
      <w:tr>
        <w:trPr>
          <w:trHeight w:val="304"/>
        </w:trPr>
        <w:tc>
          <w:tcPr>
            <w:tcW w:w="1000" w:type="dxa"/>
            <w:vAlign w:val="bottom"/>
            <w:gridSpan w:val="3"/>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4060" w:type="dxa"/>
            <w:vAlign w:val="bottom"/>
            <w:gridSpan w:val="1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Certification by Morris Goldfarb, Chief Executive</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Officer of G-III Apparel Group, Ltd., pursuant to</w:t>
              </w:r>
            </w:hyperlink>
          </w:p>
        </w:tc>
        <w:tc>
          <w:tcPr>
            <w:tcW w:w="440" w:type="dxa"/>
            <w:vAlign w:val="bottom"/>
            <w:gridSpan w:val="6"/>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18 U.S.C. Section 1350, as adopted pursuant to</w:t>
              </w:r>
            </w:hyperlink>
          </w:p>
        </w:tc>
        <w:tc>
          <w:tcPr>
            <w:tcW w:w="120" w:type="dxa"/>
            <w:vAlign w:val="bottom"/>
            <w:tcBorders>
              <w:top w:val="single" w:sz="8" w:color="0000EE"/>
            </w:tcBorders>
          </w:tcPr>
          <w:p>
            <w:pPr>
              <w:spacing w:after="0"/>
              <w:rPr>
                <w:sz w:val="17"/>
                <w:szCs w:val="17"/>
                <w:color w:val="auto"/>
              </w:rPr>
            </w:pPr>
          </w:p>
        </w:tc>
        <w:tc>
          <w:tcPr>
            <w:tcW w:w="540" w:type="dxa"/>
            <w:vAlign w:val="bottom"/>
            <w:gridSpan w:val="8"/>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Section 906 of the Sarbanes-Oxley Act of 2002, in</w:t>
              </w:r>
            </w:hyperlink>
          </w:p>
        </w:tc>
        <w:tc>
          <w:tcPr>
            <w:tcW w:w="42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connection with G-III Apparel Group, Ltd.’s Annual</w:t>
              </w:r>
            </w:hyperlink>
          </w:p>
        </w:tc>
        <w:tc>
          <w:tcPr>
            <w:tcW w:w="280" w:type="dxa"/>
            <w:vAlign w:val="bottom"/>
            <w:gridSpan w:val="3"/>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60" w:type="dxa"/>
            <w:vAlign w:val="bottom"/>
            <w:gridSpan w:val="1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Report on Form 10-K for the fiscal year ended</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January 31, 2018.</w:t>
              </w:r>
            </w:hyperlink>
          </w:p>
        </w:tc>
        <w:tc>
          <w:tcPr>
            <w:tcW w:w="2060" w:type="dxa"/>
            <w:vAlign w:val="bottom"/>
            <w:tcBorders>
              <w:top w:val="single" w:sz="8" w:color="0000EE"/>
            </w:tcBorders>
            <w:gridSpan w:val="2"/>
          </w:tcPr>
          <w:p>
            <w:pPr>
              <w:spacing w:after="0"/>
              <w:rPr>
                <w:sz w:val="17"/>
                <w:szCs w:val="17"/>
                <w:color w:val="auto"/>
              </w:rPr>
            </w:pPr>
          </w:p>
        </w:tc>
        <w:tc>
          <w:tcPr>
            <w:tcW w:w="720" w:type="dxa"/>
            <w:vAlign w:val="bottom"/>
            <w:gridSpan w:val="10"/>
          </w:tcPr>
          <w:p>
            <w:pPr>
              <w:spacing w:after="0"/>
              <w:rPr>
                <w:sz w:val="17"/>
                <w:szCs w:val="17"/>
                <w:color w:val="auto"/>
              </w:rPr>
            </w:pPr>
          </w:p>
        </w:tc>
      </w:tr>
      <w:tr>
        <w:trPr>
          <w:trHeight w:val="304"/>
        </w:trPr>
        <w:tc>
          <w:tcPr>
            <w:tcW w:w="1000" w:type="dxa"/>
            <w:vAlign w:val="bottom"/>
            <w:gridSpan w:val="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4060" w:type="dxa"/>
            <w:vAlign w:val="bottom"/>
            <w:gridSpan w:val="1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Certification by Neal S. Nackman, Chief Financial</w:t>
              </w:r>
            </w:hyperlink>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660" w:type="dxa"/>
            <w:vAlign w:val="bottom"/>
            <w:tcBorders>
              <w:top w:val="single" w:sz="8" w:color="0000EE"/>
            </w:tcBorders>
            <w:gridSpan w:val="10"/>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Officer of G-III Apparel Group, Ltd., pursuant to</w:t>
              </w:r>
            </w:hyperlink>
          </w:p>
        </w:tc>
        <w:tc>
          <w:tcPr>
            <w:tcW w:w="40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18 U.S.C. Section 1350, as adopted pursuant to</w:t>
              </w:r>
            </w:hyperlink>
          </w:p>
        </w:tc>
        <w:tc>
          <w:tcPr>
            <w:tcW w:w="120" w:type="dxa"/>
            <w:vAlign w:val="bottom"/>
            <w:tcBorders>
              <w:top w:val="single" w:sz="8" w:color="0000EE"/>
            </w:tcBorders>
          </w:tcPr>
          <w:p>
            <w:pPr>
              <w:spacing w:after="0"/>
              <w:rPr>
                <w:sz w:val="17"/>
                <w:szCs w:val="17"/>
                <w:color w:val="auto"/>
              </w:rPr>
            </w:pPr>
          </w:p>
        </w:tc>
        <w:tc>
          <w:tcPr>
            <w:tcW w:w="540" w:type="dxa"/>
            <w:vAlign w:val="bottom"/>
            <w:gridSpan w:val="8"/>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Section 906 of the Sarbanes-Oxley Act of 2002, in</w:t>
              </w:r>
            </w:hyperlink>
          </w:p>
        </w:tc>
        <w:tc>
          <w:tcPr>
            <w:tcW w:w="420" w:type="dxa"/>
            <w:vAlign w:val="bottom"/>
            <w:gridSpan w:val="5"/>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connection with G-III Apparel Group, Ltd.’s Annual</w:t>
              </w:r>
            </w:hyperlink>
          </w:p>
        </w:tc>
        <w:tc>
          <w:tcPr>
            <w:tcW w:w="280" w:type="dxa"/>
            <w:vAlign w:val="bottom"/>
            <w:gridSpan w:val="3"/>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60" w:type="dxa"/>
            <w:vAlign w:val="bottom"/>
            <w:gridSpan w:val="14"/>
          </w:tcPr>
          <w:p>
            <w:pPr>
              <w:spacing w:after="0" w:line="196" w:lineRule="exact"/>
              <w:rPr>
                <w:rFonts w:ascii="Arial" w:cs="Arial" w:eastAsia="Arial" w:hAnsi="Arial"/>
                <w:sz w:val="18"/>
                <w:szCs w:val="18"/>
                <w:color w:val="0000EE"/>
                <w:w w:val="96"/>
              </w:rPr>
            </w:pPr>
            <w:hyperlink w:anchor="page131">
              <w:r>
                <w:rPr>
                  <w:rFonts w:ascii="Arial" w:cs="Arial" w:eastAsia="Arial" w:hAnsi="Arial"/>
                  <w:sz w:val="18"/>
                  <w:szCs w:val="18"/>
                  <w:color w:val="0000EE"/>
                  <w:w w:val="96"/>
                </w:rPr>
                <w:t>Report on Form 10-K for the year ended January 31,</w:t>
              </w:r>
            </w:hyperlink>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31">
              <w:r>
                <w:rPr>
                  <w:rFonts w:ascii="Arial" w:cs="Arial" w:eastAsia="Arial" w:hAnsi="Arial"/>
                  <w:sz w:val="18"/>
                  <w:szCs w:val="18"/>
                  <w:color w:val="0000EE"/>
                  <w:w w:val="84"/>
                </w:rPr>
                <w:t>2018.</w:t>
              </w:r>
            </w:hyperlink>
          </w:p>
        </w:tc>
        <w:tc>
          <w:tcPr>
            <w:tcW w:w="88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8"/>
        </w:trPr>
        <w:tc>
          <w:tcPr>
            <w:tcW w:w="10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06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060" w:type="dxa"/>
            <w:vAlign w:val="bottom"/>
            <w:gridSpan w:val="14"/>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060" w:type="dxa"/>
            <w:vAlign w:val="bottom"/>
            <w:gridSpan w:val="14"/>
          </w:tcPr>
          <w:p>
            <w:pPr>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060" w:type="dxa"/>
            <w:vAlign w:val="bottom"/>
            <w:gridSpan w:val="14"/>
          </w:tcPr>
          <w:p>
            <w:pPr>
              <w:spacing w:after="0"/>
              <w:rPr>
                <w:sz w:val="20"/>
                <w:szCs w:val="20"/>
                <w:color w:val="auto"/>
              </w:rPr>
            </w:pPr>
            <w:r>
              <w:rPr>
                <w:rFonts w:ascii="Arial" w:cs="Arial" w:eastAsia="Arial" w:hAnsi="Arial"/>
                <w:sz w:val="18"/>
                <w:szCs w:val="18"/>
                <w:color w:val="auto"/>
              </w:rPr>
              <w:t>XBRL Extension Definition.</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060" w:type="dxa"/>
            <w:vAlign w:val="bottom"/>
            <w:gridSpan w:val="14"/>
          </w:tcPr>
          <w:p>
            <w:pPr>
              <w:spacing w:after="0"/>
              <w:rPr>
                <w:sz w:val="20"/>
                <w:szCs w:val="20"/>
                <w:color w:val="auto"/>
              </w:rPr>
            </w:pPr>
            <w:r>
              <w:rPr>
                <w:rFonts w:ascii="Arial" w:cs="Arial" w:eastAsia="Arial" w:hAnsi="Arial"/>
                <w:sz w:val="18"/>
                <w:szCs w:val="18"/>
                <w:color w:val="auto"/>
              </w:rPr>
              <w:t>XBRL Label Linkbase Document.</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060" w:type="dxa"/>
            <w:vAlign w:val="bottom"/>
            <w:gridSpan w:val="14"/>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188595</wp:posOffset>
            </wp:positionV>
            <wp:extent cx="1235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tabs>
          <w:tab w:leader="none" w:pos="1000" w:val="left"/>
          <w:tab w:leader="none" w:pos="204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w:t>
      </w:r>
      <w:r>
        <w:rPr>
          <w:sz w:val="20"/>
          <w:szCs w:val="20"/>
          <w:color w:val="auto"/>
        </w:rPr>
        <w:tab/>
      </w:r>
      <w:r>
        <w:rPr>
          <w:rFonts w:ascii="Arial" w:cs="Arial" w:eastAsia="Arial" w:hAnsi="Arial"/>
          <w:sz w:val="18"/>
          <w:szCs w:val="18"/>
          <w:u w:val="single" w:color="auto"/>
          <w:color w:val="0000EE"/>
        </w:rPr>
        <w:t>—</w:t>
      </w:r>
      <w:r>
        <w:rPr>
          <w:sz w:val="20"/>
          <w:szCs w:val="20"/>
          <w:color w:val="auto"/>
        </w:rPr>
        <w:tab/>
      </w:r>
      <w:hyperlink w:anchor="page129">
        <w:r>
          <w:rPr>
            <w:rFonts w:ascii="Arial" w:cs="Arial" w:eastAsia="Arial" w:hAnsi="Arial"/>
            <w:sz w:val="17"/>
            <w:szCs w:val="17"/>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000" w:val="left"/>
          <w:tab w:leader="none" w:pos="204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w:t>
      </w:r>
      <w:r>
        <w:rPr>
          <w:sz w:val="20"/>
          <w:szCs w:val="20"/>
          <w:color w:val="auto"/>
        </w:rPr>
        <w:tab/>
      </w:r>
      <w:r>
        <w:rPr>
          <w:rFonts w:ascii="Arial" w:cs="Arial" w:eastAsia="Arial" w:hAnsi="Arial"/>
          <w:sz w:val="18"/>
          <w:szCs w:val="18"/>
          <w:u w:val="single" w:color="auto"/>
          <w:color w:val="0000EE"/>
        </w:rPr>
        <w:t>—</w:t>
      </w:r>
      <w:r>
        <w:rPr>
          <w:sz w:val="20"/>
          <w:szCs w:val="20"/>
          <w:color w:val="auto"/>
        </w:rPr>
        <w:tab/>
      </w:r>
      <w:hyperlink w:anchor="page130">
        <w:r>
          <w:rPr>
            <w:rFonts w:ascii="Arial" w:cs="Arial" w:eastAsia="Arial" w:hAnsi="Arial"/>
            <w:sz w:val="17"/>
            <w:szCs w:val="17"/>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00" w:val="left"/>
          <w:tab w:leader="none" w:pos="204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w:t>
      </w:r>
      <w:r>
        <w:rPr>
          <w:sz w:val="20"/>
          <w:szCs w:val="20"/>
          <w:color w:val="auto"/>
        </w:rPr>
        <w:tab/>
      </w:r>
      <w:r>
        <w:rPr>
          <w:rFonts w:ascii="Arial" w:cs="Arial" w:eastAsia="Arial" w:hAnsi="Arial"/>
          <w:sz w:val="18"/>
          <w:szCs w:val="18"/>
          <w:u w:val="single" w:color="auto"/>
          <w:color w:val="0000EE"/>
        </w:rPr>
        <w:t>—</w:t>
      </w:r>
      <w:r>
        <w:rPr>
          <w:sz w:val="20"/>
          <w:szCs w:val="20"/>
          <w:color w:val="auto"/>
        </w:rPr>
        <w:tab/>
      </w:r>
      <w:hyperlink w:anchor="page131">
        <w:r>
          <w:rPr>
            <w:rFonts w:ascii="Arial" w:cs="Arial" w:eastAsia="Arial" w:hAnsi="Arial"/>
            <w:sz w:val="17"/>
            <w:szCs w:val="17"/>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100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3" w:lineRule="exact"/>
        <w:rPr>
          <w:sz w:val="20"/>
          <w:szCs w:val="20"/>
          <w:color w:val="auto"/>
        </w:rPr>
      </w:pPr>
    </w:p>
    <w:p>
      <w:pPr>
        <w:sectPr>
          <w:pgSz w:w="11900" w:h="16838" w:orient="portrait"/>
          <w:cols w:equalWidth="0" w:num="2">
            <w:col w:w="6320" w:space="580"/>
            <w:col w:w="3319"/>
          </w:cols>
          <w:pgMar w:left="240" w:top="132" w:right="1440" w:bottom="1440" w:gutter="0" w:footer="0" w:header="0"/>
          <w:type w:val="continuous"/>
        </w:sectPr>
      </w:pPr>
    </w:p>
    <w:p>
      <w:pPr>
        <w:spacing w:after="0" w:line="312" w:lineRule="exact"/>
        <w:rPr>
          <w:sz w:val="20"/>
          <w:szCs w:val="20"/>
          <w:color w:val="auto"/>
        </w:rPr>
      </w:pPr>
    </w:p>
    <w:p>
      <w:pPr>
        <w:ind w:left="1620" w:hanging="352"/>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both"/>
        <w:ind w:left="1620" w:right="759" w:hanging="352"/>
        <w:spacing w:after="0" w:line="259"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7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1260" w:firstLine="360"/>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G-III APPAREL GROUP, LTD.</w:t>
      </w:r>
    </w:p>
    <w:p>
      <w:pPr>
        <w:spacing w:after="0" w:line="200" w:lineRule="exact"/>
        <w:rPr>
          <w:sz w:val="20"/>
          <w:szCs w:val="20"/>
          <w:color w:val="auto"/>
        </w:rPr>
      </w:pPr>
    </w:p>
    <w:p>
      <w:pPr>
        <w:spacing w:after="0" w:line="255" w:lineRule="exact"/>
        <w:rPr>
          <w:sz w:val="20"/>
          <w:szCs w:val="20"/>
          <w:color w:val="auto"/>
        </w:rPr>
      </w:pPr>
    </w:p>
    <w:p>
      <w:pPr>
        <w:ind w:left="5960"/>
        <w:spacing w:after="0"/>
        <w:tabs>
          <w:tab w:leader="none" w:pos="6440" w:val="left"/>
        </w:tabs>
        <w:rPr>
          <w:sz w:val="20"/>
          <w:szCs w:val="20"/>
          <w:color w:val="auto"/>
        </w:rPr>
      </w:pPr>
      <w:r>
        <w:rPr>
          <w:rFonts w:ascii="Arial" w:cs="Arial" w:eastAsia="Arial" w:hAnsi="Arial"/>
          <w:sz w:val="18"/>
          <w:szCs w:val="18"/>
          <w:color w:val="auto"/>
        </w:rPr>
        <w:t>By:</w:t>
        <w:tab/>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48895</wp:posOffset>
            </wp:positionV>
            <wp:extent cx="19208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4"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 2018</w:t>
      </w:r>
    </w:p>
    <w:p>
      <w:pPr>
        <w:spacing w:after="0" w:line="117" w:lineRule="exact"/>
        <w:rPr>
          <w:sz w:val="20"/>
          <w:szCs w:val="20"/>
          <w:color w:val="auto"/>
        </w:rPr>
      </w:pPr>
    </w:p>
    <w:p>
      <w:pPr>
        <w:ind w:left="1260" w:right="1260" w:firstLine="360"/>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Morris Goldfarb</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1"/>
              </w:rPr>
              <w:t>Director, Chairman of the Board and</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Chief Executive Officer (principal</w:t>
            </w: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3140" w:type="dxa"/>
            <w:vAlign w:val="bottom"/>
            <w:gridSpan w:val="3"/>
            <w:vMerge w:val="restart"/>
          </w:tcPr>
          <w:p>
            <w:pPr>
              <w:spacing w:after="0"/>
              <w:rPr>
                <w:sz w:val="20"/>
                <w:szCs w:val="20"/>
                <w:color w:val="auto"/>
              </w:rPr>
            </w:pPr>
            <w:r>
              <w:rPr>
                <w:rFonts w:ascii="Arial" w:cs="Arial" w:eastAsia="Arial" w:hAnsi="Arial"/>
                <w:sz w:val="18"/>
                <w:szCs w:val="18"/>
                <w:color w:val="auto"/>
              </w:rPr>
              <w:t>Morris Goldfarb</w:t>
            </w:r>
          </w:p>
        </w:tc>
        <w:tc>
          <w:tcPr>
            <w:tcW w:w="346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140" w:type="dxa"/>
            <w:vAlign w:val="bottom"/>
            <w:gridSpan w:val="3"/>
            <w:vMerge w:val="continue"/>
          </w:tcPr>
          <w:p>
            <w:pPr>
              <w:spacing w:after="0"/>
              <w:rPr>
                <w:sz w:val="10"/>
                <w:szCs w:val="10"/>
                <w:color w:val="auto"/>
              </w:rPr>
            </w:pPr>
          </w:p>
        </w:tc>
        <w:tc>
          <w:tcPr>
            <w:tcW w:w="3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executive officer)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6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Neal S. Nackman</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 (principal</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4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financial and accounting officer)</w:t>
            </w: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140" w:type="dxa"/>
            <w:vAlign w:val="bottom"/>
            <w:gridSpan w:val="3"/>
            <w:vMerge w:val="restart"/>
          </w:tcPr>
          <w:p>
            <w:pPr>
              <w:spacing w:after="0"/>
              <w:rPr>
                <w:sz w:val="20"/>
                <w:szCs w:val="20"/>
                <w:color w:val="auto"/>
              </w:rPr>
            </w:pPr>
            <w:r>
              <w:rPr>
                <w:rFonts w:ascii="Arial" w:cs="Arial" w:eastAsia="Arial" w:hAnsi="Arial"/>
                <w:sz w:val="18"/>
                <w:szCs w:val="18"/>
                <w:color w:val="auto"/>
              </w:rPr>
              <w:t>Neal S. Nackman</w:t>
            </w:r>
          </w:p>
        </w:tc>
        <w:tc>
          <w:tcPr>
            <w:tcW w:w="34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314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Sammy Aaron</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0"/>
              </w:rPr>
              <w:t>Director, Vice Chairman and President</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Sammy Aaron</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Thomas J. Brosig</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Thomas J. Brosig</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Alan Feller</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Alan Feller</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Jeffrey Goldfarb</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Jeffrey Goldfarb</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Jeanette Nostra</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Jeanette Nostra</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Laura Pomerantz</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Laura Pomerantz</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Allen Sirkin</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Allen Sirkin</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Willem van Bokhorst</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Willem van Bokhorst</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Cheryl Vitali</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Cheryl Vitali</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Richard White</w:t>
            </w:r>
          </w:p>
        </w:tc>
        <w:tc>
          <w:tcPr>
            <w:tcW w:w="34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80" w:type="dxa"/>
            <w:vAlign w:val="bottom"/>
            <w:gridSpan w:val="3"/>
          </w:tcPr>
          <w:p>
            <w:pPr>
              <w:jc w:val="center"/>
              <w:ind w:right="1260"/>
              <w:spacing w:after="0"/>
              <w:rPr>
                <w:sz w:val="20"/>
                <w:szCs w:val="20"/>
                <w:color w:val="auto"/>
              </w:rPr>
            </w:pPr>
            <w:r>
              <w:rPr>
                <w:rFonts w:ascii="Arial" w:cs="Arial" w:eastAsia="Arial" w:hAnsi="Arial"/>
                <w:sz w:val="18"/>
                <w:szCs w:val="18"/>
                <w:color w:val="auto"/>
                <w:w w:val="96"/>
              </w:rPr>
              <w:t>April 2, 2018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Richard White</w:t>
            </w: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71" w:name="page72"/>
    <w:bookmarkEnd w:id="7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20" w:type="dxa"/>
            <w:vAlign w:val="bottom"/>
            <w:gridSpan w:val="7"/>
          </w:tcPr>
          <w:p>
            <w:pPr>
              <w:ind w:left="12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200" w:type="dxa"/>
            <w:vAlign w:val="bottom"/>
            <w:gridSpan w:val="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10.</w:t>
              </w:r>
              <w:r>
                <w:rPr>
                  <w:rFonts w:ascii="Arial" w:cs="Arial" w:eastAsia="Arial" w:hAnsi="Arial"/>
                  <w:sz w:val="18"/>
                  <w:szCs w:val="18"/>
                  <w:u w:val="single" w:color="auto"/>
                  <w:color w:val="0000EE"/>
                </w:rPr>
                <w:t>4(g)</w:t>
              </w:r>
            </w:hyperlink>
          </w:p>
        </w:tc>
        <w:tc>
          <w:tcPr>
            <w:tcW w:w="7020" w:type="dxa"/>
            <w:vAlign w:val="bottom"/>
            <w:gridSpan w:val="11"/>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Eighth Amendment Of Lease, dated June 16, 2017, by and between G-III Leather Fashions, Inc.</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as Tenant and 500-512 Seventh Avenue Limited Partnership as Landlord (2nd Floor (including</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mezzanine), 3rd, 4th, 5th, 21st, 22nd, 23rd, 24th, 27th, 28th, 29th, 30th, 31st, 36th, 39th and 40th</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gridSpan w:val="1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Floors).</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80" w:type="dxa"/>
            <w:vAlign w:val="bottom"/>
            <w:tcBorders>
              <w:bottom w:val="single" w:sz="8" w:color="0000EE"/>
            </w:tcBorders>
          </w:tcPr>
          <w:p>
            <w:pPr>
              <w:spacing w:after="0"/>
              <w:rPr>
                <w:rFonts w:ascii="Arial" w:cs="Arial" w:eastAsia="Arial" w:hAnsi="Arial"/>
                <w:sz w:val="18"/>
                <w:szCs w:val="18"/>
                <w:color w:val="0000EE"/>
                <w:w w:val="79"/>
              </w:rPr>
            </w:pPr>
            <w:hyperlink w:anchor="page125">
              <w:r>
                <w:rPr>
                  <w:rFonts w:ascii="Arial" w:cs="Arial" w:eastAsia="Arial" w:hAnsi="Arial"/>
                  <w:sz w:val="18"/>
                  <w:szCs w:val="18"/>
                  <w:color w:val="0000EE"/>
                  <w:w w:val="79"/>
                </w:rPr>
                <w:t>21</w:t>
              </w:r>
            </w:hyperlink>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Subsidiaries of G-III.</w:t>
              </w:r>
            </w:hyperlink>
          </w:p>
        </w:tc>
        <w:tc>
          <w:tcPr>
            <w:tcW w:w="5480" w:type="dxa"/>
            <w:vAlign w:val="bottom"/>
            <w:gridSpan w:val="9"/>
          </w:tcPr>
          <w:p>
            <w:pPr>
              <w:spacing w:after="0"/>
              <w:rPr>
                <w:sz w:val="22"/>
                <w:szCs w:val="22"/>
                <w:color w:val="auto"/>
              </w:rPr>
            </w:pPr>
          </w:p>
        </w:tc>
      </w:tr>
      <w:tr>
        <w:trPr>
          <w:trHeight w:val="277"/>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2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Consent of Independent Registered Public Accounting Firm, Ernst &amp; Young LLP.</w:t>
              </w:r>
            </w:hyperlink>
          </w:p>
        </w:tc>
        <w:tc>
          <w:tcPr>
            <w:tcW w:w="1140" w:type="dxa"/>
            <w:vAlign w:val="bottom"/>
            <w:gridSpan w:val="2"/>
          </w:tcPr>
          <w:p>
            <w:pPr>
              <w:spacing w:after="0"/>
              <w:rPr>
                <w:sz w:val="24"/>
                <w:szCs w:val="24"/>
                <w:color w:val="auto"/>
              </w:rPr>
            </w:pPr>
          </w:p>
        </w:tc>
      </w:tr>
      <w:tr>
        <w:trPr>
          <w:trHeight w:val="264"/>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2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28">
              <w:r>
                <w:rPr>
                  <w:rFonts w:ascii="Arial" w:cs="Arial" w:eastAsia="Arial" w:hAnsi="Arial"/>
                  <w:sz w:val="18"/>
                  <w:szCs w:val="18"/>
                  <w:color w:val="0000EE"/>
                  <w:w w:val="94"/>
                </w:rPr>
                <w:t>Certification by Morris Goldfarb, Chief Executive Officer of G-III Apparel Group, Ltd., pursuant</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to Rule 13a – 14(a) or Rule 15d – 14(a) of the Securities Exchange Act of 1934, as amended, in</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connection with G-III Apparel Group, Ltd.’s Annual Report on Form 10-K for the fiscal year</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8">
              <w:r>
                <w:rPr>
                  <w:rFonts w:ascii="Arial" w:cs="Arial" w:eastAsia="Arial" w:hAnsi="Arial"/>
                  <w:sz w:val="18"/>
                  <w:szCs w:val="18"/>
                  <w:color w:val="0000EE"/>
                  <w:w w:val="87"/>
                </w:rPr>
                <w:t>ended January 31, 2018.</w:t>
              </w:r>
            </w:hyperlink>
          </w:p>
        </w:tc>
        <w:tc>
          <w:tcPr>
            <w:tcW w:w="5260" w:type="dxa"/>
            <w:vAlign w:val="bottom"/>
            <w:gridSpan w:val="8"/>
          </w:tcPr>
          <w:p>
            <w:pPr>
              <w:spacing w:after="0"/>
              <w:rPr>
                <w:sz w:val="17"/>
                <w:szCs w:val="17"/>
                <w:color w:val="auto"/>
              </w:rPr>
            </w:pPr>
          </w:p>
        </w:tc>
      </w:tr>
      <w:tr>
        <w:trPr>
          <w:trHeight w:val="277"/>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2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Borders>
              <w:bottom w:val="single" w:sz="8" w:color="0000EE"/>
            </w:tcBorders>
            <w:gridSpan w:val="11"/>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Certification by Neal S. Nackman, Chief Financial Officer of G-III Apparel Group, Ltd.,</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pursuant to Rule 13a – 14(a) or Rule 15d – 14(a) of the Securities Exchange Act of 1934, as</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amended, in connection with G-III Apparel Group, Ltd.’s Annual Report on Form 10-K for the</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gridSpan w:val="11"/>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fiscal year ended January 31, 2018.</w:t>
              </w:r>
            </w:hyperlink>
          </w:p>
        </w:tc>
      </w:tr>
      <w:tr>
        <w:trPr>
          <w:trHeight w:val="20"/>
        </w:trPr>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30">
              <w:r>
                <w:rPr>
                  <w:rFonts w:ascii="Arial" w:cs="Arial" w:eastAsia="Arial" w:hAnsi="Arial"/>
                  <w:sz w:val="18"/>
                  <w:szCs w:val="18"/>
                  <w:color w:val="0000EE"/>
                  <w:w w:val="94"/>
                </w:rPr>
                <w:t>Certification by Morris Goldfarb, Chief Executive Officer of G-III Apparel Group, Ltd., pursuant</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30">
              <w:r>
                <w:rPr>
                  <w:rFonts w:ascii="Arial" w:cs="Arial" w:eastAsia="Arial" w:hAnsi="Arial"/>
                  <w:sz w:val="18"/>
                  <w:szCs w:val="18"/>
                  <w:color w:val="0000EE"/>
                  <w:w w:val="94"/>
                </w:rPr>
                <w:t>to 18 U.S.C. Section 1350, as adopted pursuant to Section 906 of the Sarbanes-Oxley Act of</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2002, in connection with G-III Apparel Group, Ltd.’s Annual Report on Form 10-K for the fiscal</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gridSpan w:val="11"/>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year ended January 31, 2018.</w:t>
              </w:r>
            </w:hyperlink>
          </w:p>
        </w:tc>
      </w:tr>
      <w:tr>
        <w:trPr>
          <w:trHeight w:val="20"/>
        </w:trPr>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31">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20" w:type="dxa"/>
            <w:vAlign w:val="bottom"/>
            <w:tcBorders>
              <w:bottom w:val="single" w:sz="8" w:color="0000EE"/>
            </w:tcBorders>
            <w:gridSpan w:val="11"/>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Certification by Neal S. Nackman, Chief Financial Officer of G-III Apparel Group, Ltd.,</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gridSpan w:val="11"/>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pursuant to 18 U.S.C. Section 1350, as adopted pursuant to Section 906 of the Sarbanes-Oxley</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gridSpan w:val="7"/>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Act of 2002, in connection with G-III Apparel Group, Ltd.’s Annual Report on Form 10-K for</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20" w:type="dxa"/>
            <w:vAlign w:val="bottom"/>
            <w:gridSpan w:val="11"/>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the fiscal year ended January 31, 2018.</w:t>
              </w:r>
            </w:hyperlink>
          </w:p>
        </w:tc>
      </w:tr>
      <w:tr>
        <w:trPr>
          <w:trHeight w:val="331"/>
        </w:trPr>
        <w:tc>
          <w:tcPr>
            <w:tcW w:w="12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8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4220" w:type="dxa"/>
            <w:vAlign w:val="bottom"/>
            <w:gridSpan w:val="4"/>
          </w:tcPr>
          <w:p>
            <w:pPr>
              <w:spacing w:after="0"/>
              <w:rPr>
                <w:sz w:val="24"/>
                <w:szCs w:val="24"/>
                <w:color w:val="auto"/>
              </w:rPr>
            </w:pPr>
          </w:p>
        </w:tc>
      </w:tr>
      <w:tr>
        <w:trPr>
          <w:trHeight w:val="297"/>
        </w:trPr>
        <w:tc>
          <w:tcPr>
            <w:tcW w:w="12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7020" w:type="dxa"/>
            <w:vAlign w:val="bottom"/>
            <w:gridSpan w:val="11"/>
          </w:tcPr>
          <w:p>
            <w:pPr>
              <w:spacing w:after="0"/>
              <w:rPr>
                <w:sz w:val="20"/>
                <w:szCs w:val="20"/>
                <w:color w:val="auto"/>
              </w:rPr>
            </w:pPr>
            <w:r>
              <w:rPr>
                <w:rFonts w:ascii="Arial" w:cs="Arial" w:eastAsia="Arial" w:hAnsi="Arial"/>
                <w:sz w:val="18"/>
                <w:szCs w:val="18"/>
                <w:color w:val="auto"/>
              </w:rPr>
              <w:t>XBRL Schema Document.</w:t>
            </w:r>
          </w:p>
        </w:tc>
      </w:tr>
      <w:tr>
        <w:trPr>
          <w:trHeight w:val="311"/>
        </w:trPr>
        <w:tc>
          <w:tcPr>
            <w:tcW w:w="12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7020" w:type="dxa"/>
            <w:vAlign w:val="bottom"/>
            <w:gridSpan w:val="11"/>
          </w:tcPr>
          <w:p>
            <w:pPr>
              <w:spacing w:after="0"/>
              <w:rPr>
                <w:sz w:val="20"/>
                <w:szCs w:val="20"/>
                <w:color w:val="auto"/>
              </w:rPr>
            </w:pPr>
            <w:r>
              <w:rPr>
                <w:rFonts w:ascii="Arial" w:cs="Arial" w:eastAsia="Arial" w:hAnsi="Arial"/>
                <w:sz w:val="18"/>
                <w:szCs w:val="18"/>
                <w:color w:val="auto"/>
              </w:rPr>
              <w:t>XBRL Calculation Linkbase Document.</w:t>
            </w:r>
          </w:p>
        </w:tc>
      </w:tr>
      <w:tr>
        <w:trPr>
          <w:trHeight w:val="311"/>
        </w:trPr>
        <w:tc>
          <w:tcPr>
            <w:tcW w:w="12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7020" w:type="dxa"/>
            <w:vAlign w:val="bottom"/>
            <w:gridSpan w:val="11"/>
          </w:tcPr>
          <w:p>
            <w:pPr>
              <w:spacing w:after="0"/>
              <w:rPr>
                <w:sz w:val="20"/>
                <w:szCs w:val="20"/>
                <w:color w:val="auto"/>
              </w:rPr>
            </w:pPr>
            <w:r>
              <w:rPr>
                <w:rFonts w:ascii="Arial" w:cs="Arial" w:eastAsia="Arial" w:hAnsi="Arial"/>
                <w:sz w:val="18"/>
                <w:szCs w:val="18"/>
                <w:color w:val="auto"/>
              </w:rPr>
              <w:t>XBRL Extension Definition.</w:t>
            </w:r>
          </w:p>
        </w:tc>
      </w:tr>
      <w:tr>
        <w:trPr>
          <w:trHeight w:val="311"/>
        </w:trPr>
        <w:tc>
          <w:tcPr>
            <w:tcW w:w="12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7020" w:type="dxa"/>
            <w:vAlign w:val="bottom"/>
            <w:gridSpan w:val="11"/>
          </w:tcPr>
          <w:p>
            <w:pPr>
              <w:spacing w:after="0"/>
              <w:rPr>
                <w:sz w:val="20"/>
                <w:szCs w:val="20"/>
                <w:color w:val="auto"/>
              </w:rPr>
            </w:pPr>
            <w:r>
              <w:rPr>
                <w:rFonts w:ascii="Arial" w:cs="Arial" w:eastAsia="Arial" w:hAnsi="Arial"/>
                <w:sz w:val="18"/>
                <w:szCs w:val="18"/>
                <w:color w:val="auto"/>
              </w:rPr>
              <w:t>XBRL Label Linkbase Document.</w:t>
            </w:r>
          </w:p>
        </w:tc>
      </w:tr>
      <w:tr>
        <w:trPr>
          <w:trHeight w:val="311"/>
        </w:trPr>
        <w:tc>
          <w:tcPr>
            <w:tcW w:w="12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7020" w:type="dxa"/>
            <w:vAlign w:val="bottom"/>
            <w:gridSpan w:val="11"/>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INDEX TO CONSOLIDATED FINANCIAL STATEMENTS</w:t>
      </w:r>
    </w:p>
    <w:p>
      <w:pPr>
        <w:ind w:left="3540"/>
        <w:spacing w:after="0" w:line="221" w:lineRule="auto"/>
        <w:rPr>
          <w:sz w:val="20"/>
          <w:szCs w:val="20"/>
          <w:color w:val="auto"/>
        </w:rPr>
      </w:pPr>
      <w:r>
        <w:rPr>
          <w:rFonts w:ascii="Arial" w:cs="Arial" w:eastAsia="Arial" w:hAnsi="Arial"/>
          <w:sz w:val="18"/>
          <w:szCs w:val="18"/>
          <w:b w:val="1"/>
          <w:bCs w:val="1"/>
          <w:color w:val="auto"/>
        </w:rPr>
        <w:t>AND FINANCIAL STATEMENT SCHEDULE</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(Item 15(a)) G-III Apparel Group, Ltd. and Subsidiaries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40" w:type="dxa"/>
            <w:vAlign w:val="bottom"/>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6"/>
        </w:trPr>
        <w:tc>
          <w:tcPr>
            <w:tcW w:w="2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0"/>
        </w:trPr>
        <w:tc>
          <w:tcPr>
            <w:tcW w:w="43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Reports of Independent Registered Public Accounting Firm</w:t>
              </w:r>
            </w:hyperlink>
          </w:p>
        </w:tc>
        <w:tc>
          <w:tcPr>
            <w:tcW w:w="338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F-2</w:t>
              </w:r>
            </w:hyperlink>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768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Balance Sheets</w:t>
              </w:r>
            </w:hyperlink>
          </w:p>
        </w:tc>
        <w:tc>
          <w:tcPr>
            <w:tcW w:w="540" w:type="dxa"/>
            <w:vAlign w:val="bottom"/>
            <w:gridSpan w:val="3"/>
          </w:tcPr>
          <w:p>
            <w:pPr>
              <w:ind w:left="140"/>
              <w:spacing w:after="0"/>
              <w:rPr>
                <w:rFonts w:ascii="Arial" w:cs="Arial" w:eastAsia="Arial" w:hAnsi="Arial"/>
                <w:sz w:val="18"/>
                <w:szCs w:val="18"/>
                <w:color w:val="0000EE"/>
              </w:rPr>
            </w:pPr>
            <w:hyperlink w:anchor="page75">
              <w:r>
                <w:rPr>
                  <w:rFonts w:ascii="Arial" w:cs="Arial" w:eastAsia="Arial" w:hAnsi="Arial"/>
                  <w:sz w:val="18"/>
                  <w:szCs w:val="18"/>
                  <w:color w:val="0000EE"/>
                </w:rPr>
                <w:t>F-4</w:t>
              </w:r>
            </w:hyperlink>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64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Income and Comprehensive Income</w:t>
              </w:r>
            </w:hyperlink>
          </w:p>
        </w:tc>
        <w:tc>
          <w:tcPr>
            <w:tcW w:w="3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F-5</w:t>
              </w:r>
            </w:hyperlink>
          </w:p>
        </w:tc>
        <w:tc>
          <w:tcPr>
            <w:tcW w:w="140" w:type="dxa"/>
            <w:vAlign w:val="bottom"/>
            <w:tcBorders>
              <w:bottom w:val="single" w:sz="8" w:color="CCEEFF"/>
            </w:tcBorders>
            <w:shd w:val="clear" w:color="auto" w:fill="CCEEFF"/>
          </w:tcPr>
          <w:p>
            <w:pPr>
              <w:spacing w:after="0"/>
              <w:rPr>
                <w:sz w:val="20"/>
                <w:szCs w:val="20"/>
                <w:color w:val="auto"/>
              </w:rPr>
            </w:pPr>
          </w:p>
        </w:tc>
      </w:tr>
      <w:tr>
        <w:trPr>
          <w:trHeight w:val="230"/>
        </w:trPr>
        <w:tc>
          <w:tcPr>
            <w:tcW w:w="768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Stockholders’ Equity</w:t>
              </w:r>
            </w:hyperlink>
          </w:p>
        </w:tc>
        <w:tc>
          <w:tcPr>
            <w:tcW w:w="540" w:type="dxa"/>
            <w:vAlign w:val="bottom"/>
            <w:gridSpan w:val="3"/>
          </w:tcPr>
          <w:p>
            <w:pPr>
              <w:ind w:left="140"/>
              <w:spacing w:after="0"/>
              <w:rPr>
                <w:rFonts w:ascii="Arial" w:cs="Arial" w:eastAsia="Arial" w:hAnsi="Arial"/>
                <w:sz w:val="18"/>
                <w:szCs w:val="18"/>
                <w:color w:val="0000EE"/>
              </w:rPr>
            </w:pPr>
            <w:hyperlink w:anchor="page77">
              <w:r>
                <w:rPr>
                  <w:rFonts w:ascii="Arial" w:cs="Arial" w:eastAsia="Arial" w:hAnsi="Arial"/>
                  <w:sz w:val="18"/>
                  <w:szCs w:val="18"/>
                  <w:color w:val="0000EE"/>
                </w:rPr>
                <w:t>F-6</w:t>
              </w:r>
            </w:hyperlink>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8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w:t>
              </w:r>
            </w:hyperlink>
          </w:p>
        </w:tc>
        <w:tc>
          <w:tcPr>
            <w:tcW w:w="4800" w:type="dxa"/>
            <w:vAlign w:val="bottom"/>
            <w:tcBorders>
              <w:bottom w:val="single" w:sz="8" w:color="CCEEFF"/>
            </w:tcBorders>
            <w:gridSpan w:val="6"/>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F-7</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30"/>
        </w:trPr>
        <w:tc>
          <w:tcPr>
            <w:tcW w:w="768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540" w:type="dxa"/>
            <w:vAlign w:val="bottom"/>
            <w:gridSpan w:val="3"/>
          </w:tcPr>
          <w:p>
            <w:pPr>
              <w:ind w:left="140"/>
              <w:spacing w:after="0"/>
              <w:rPr>
                <w:rFonts w:ascii="Arial" w:cs="Arial" w:eastAsia="Arial" w:hAnsi="Arial"/>
                <w:sz w:val="18"/>
                <w:szCs w:val="18"/>
                <w:color w:val="0000EE"/>
              </w:rPr>
            </w:pPr>
            <w:hyperlink w:anchor="page79">
              <w:r>
                <w:rPr>
                  <w:rFonts w:ascii="Arial" w:cs="Arial" w:eastAsia="Arial" w:hAnsi="Arial"/>
                  <w:sz w:val="18"/>
                  <w:szCs w:val="18"/>
                  <w:color w:val="0000EE"/>
                </w:rPr>
                <w:t>F-8</w:t>
              </w:r>
            </w:hyperlink>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8"/>
            <w:shd w:val="clear" w:color="auto" w:fill="CCEEFF"/>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SCHEDULE II — Valuation and Qualifying Accounts</w:t>
              </w:r>
            </w:hyperlink>
          </w:p>
        </w:tc>
        <w:tc>
          <w:tcPr>
            <w:tcW w:w="540" w:type="dxa"/>
            <w:vAlign w:val="bottom"/>
            <w:gridSpan w:val="3"/>
            <w:shd w:val="clear" w:color="auto" w:fill="CCEEFF"/>
          </w:tcPr>
          <w:p>
            <w:pPr>
              <w:ind w:left="140"/>
              <w:spacing w:after="0"/>
              <w:rPr>
                <w:rFonts w:ascii="Arial" w:cs="Arial" w:eastAsia="Arial" w:hAnsi="Arial"/>
                <w:sz w:val="18"/>
                <w:szCs w:val="18"/>
                <w:color w:val="0000EE"/>
              </w:rPr>
            </w:pPr>
            <w:hyperlink w:anchor="page107">
              <w:r>
                <w:rPr>
                  <w:rFonts w:ascii="Arial" w:cs="Arial" w:eastAsia="Arial" w:hAnsi="Arial"/>
                  <w:sz w:val="18"/>
                  <w:szCs w:val="18"/>
                  <w:color w:val="0000EE"/>
                </w:rPr>
                <w:t>S-1</w:t>
              </w:r>
            </w:hyperlink>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-1183005</wp:posOffset>
            </wp:positionV>
            <wp:extent cx="48710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63"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All other schedules for which provision is made in the applicable regulations of the Securities and Exchange Commission are not required under the related instructions or are inapplicable and, accordingly, are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1759" w:firstLine="1024"/>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G-III Apparel Group, Ltd.</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We have audited the accompanying consolidated balance sheets of G-III Apparel Group, Ltd. and subsidiaries (the Company) as of January 31, 2018 and 2017, the related consolidated statements of income and comprehensive income, stockholders’ equity and cash flows for each of the three years in the period ended January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2018 and 2017, and the results of its operations and its cash flows for each of the three years in the period ended January 31, 2018, in conformity with U.S. generally accepted accounting principles.</w:t>
      </w:r>
    </w:p>
    <w:p>
      <w:pPr>
        <w:spacing w:after="0" w:line="7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2018, based on criteria established in Internal Control-Integrated Framework issued by the Committee of Sponsoring Organizations of the Treadway Commission (2013 framework) and our report dated April 2, 2018 expressed an unqualified opinion thereon.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1759" w:firstLine="1024"/>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G-III Apparel Group, Ltd.</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jc w:val="both"/>
        <w:ind w:left="1260" w:right="739" w:firstLine="360"/>
        <w:spacing w:after="0" w:line="242" w:lineRule="auto"/>
        <w:rPr>
          <w:sz w:val="20"/>
          <w:szCs w:val="20"/>
          <w:color w:val="auto"/>
        </w:rPr>
      </w:pPr>
      <w:r>
        <w:rPr>
          <w:rFonts w:ascii="Arial" w:cs="Arial" w:eastAsia="Arial" w:hAnsi="Arial"/>
          <w:sz w:val="17"/>
          <w:szCs w:val="17"/>
          <w:color w:val="auto"/>
        </w:rPr>
        <w:t>We have audited G-III Apparel Group, Ltd. and subsidiaries’ internal control over financial reporting as of January 31, 2018, based on criteria established in Internal Control — 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2018, based on the COSO criteria.</w:t>
      </w:r>
    </w:p>
    <w:p>
      <w:pPr>
        <w:spacing w:after="0" w:line="68" w:lineRule="exact"/>
        <w:rPr>
          <w:sz w:val="20"/>
          <w:szCs w:val="20"/>
          <w:color w:val="auto"/>
        </w:rPr>
      </w:pPr>
    </w:p>
    <w:p>
      <w:pPr>
        <w:jc w:val="both"/>
        <w:ind w:left="1260" w:right="739" w:firstLine="360"/>
        <w:spacing w:after="0" w:line="22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January 31, 2018 and 2017, the related consolidated statements of income and comprehensive income, stockholders’ equity and cash flows for each of the three years in the period ended January 31, 2018, and the related notes and financial statement schedule listed in the Index at Item 15(a) and our report dated April 2, 2018 expressed an unqualified opinion thereon.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jc w:val="both"/>
        <w:ind w:left="1260" w:right="739" w:firstLine="360"/>
        <w:spacing w:after="0" w:line="22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ind w:left="1260" w:right="739" w:firstLine="360"/>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jc w:val="both"/>
        <w:ind w:left="1260" w:right="739" w:firstLine="360"/>
        <w:spacing w:after="0" w:line="24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left="1260" w:right="739" w:firstLine="360"/>
        <w:spacing w:after="0" w:line="23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 2018</w:t>
      </w: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BALANCE SHEETS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January 31,</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January 31,</w:t>
            </w:r>
          </w:p>
        </w:tc>
      </w:tr>
      <w:tr>
        <w:trPr>
          <w:trHeight w:val="186"/>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r>
      <w:tr>
        <w:trPr>
          <w:trHeight w:val="26"/>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Borders>
              <w:bottom w:val="single" w:sz="8" w:color="auto"/>
            </w:tcBorders>
            <w:gridSpan w:val="7"/>
          </w:tcPr>
          <w:p>
            <w:pPr>
              <w:spacing w:after="0"/>
              <w:rPr>
                <w:sz w:val="2"/>
                <w:szCs w:val="2"/>
                <w:color w:val="auto"/>
              </w:rPr>
            </w:pPr>
          </w:p>
        </w:tc>
      </w:tr>
      <w:tr>
        <w:trPr>
          <w:trHeight w:val="169"/>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7"/>
          </w:tcPr>
          <w:p>
            <w:pPr>
              <w:jc w:val="right"/>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43"/>
        </w:trPr>
        <w:tc>
          <w:tcPr>
            <w:tcW w:w="55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79,957</w:t>
            </w:r>
          </w:p>
        </w:tc>
      </w:tr>
      <w:tr>
        <w:trPr>
          <w:trHeight w:val="229"/>
        </w:trPr>
        <w:tc>
          <w:tcPr>
            <w:tcW w:w="5520" w:type="dxa"/>
            <w:vAlign w:val="bottom"/>
          </w:tcPr>
          <w:p>
            <w:pPr>
              <w:ind w:left="360"/>
              <w:spacing w:after="0"/>
              <w:rPr>
                <w:sz w:val="20"/>
                <w:szCs w:val="20"/>
                <w:color w:val="auto"/>
              </w:rPr>
            </w:pPr>
            <w:r>
              <w:rPr>
                <w:rFonts w:ascii="Arial" w:cs="Arial" w:eastAsia="Arial" w:hAnsi="Arial"/>
                <w:sz w:val="18"/>
                <w:szCs w:val="18"/>
                <w:color w:val="auto"/>
                <w:w w:val="92"/>
              </w:rPr>
              <w:t>Accounts receivable, net of allowances for doubtful accounts, accrued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5520" w:type="dxa"/>
            <w:vAlign w:val="bottom"/>
          </w:tcPr>
          <w:p>
            <w:pPr>
              <w:ind w:left="540"/>
              <w:spacing w:after="0"/>
              <w:rPr>
                <w:sz w:val="20"/>
                <w:szCs w:val="20"/>
                <w:color w:val="auto"/>
              </w:rPr>
            </w:pPr>
            <w:r>
              <w:rPr>
                <w:rFonts w:ascii="Arial" w:cs="Arial" w:eastAsia="Arial" w:hAnsi="Arial"/>
                <w:sz w:val="18"/>
                <w:szCs w:val="18"/>
                <w:color w:val="auto"/>
                <w:w w:val="91"/>
              </w:rPr>
              <w:t>returns and sales discounts of $165,416 and $155,488,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294,430</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263,881</w:t>
            </w:r>
          </w:p>
        </w:tc>
      </w:tr>
      <w:tr>
        <w:trPr>
          <w:trHeight w:val="243"/>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553,323</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483,269</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15,058</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8,885</w:t>
            </w:r>
          </w:p>
        </w:tc>
      </w:tr>
      <w:tr>
        <w:trPr>
          <w:trHeight w:val="27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51,014</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46,946</w:t>
            </w: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552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959,601</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882,938</w:t>
            </w:r>
          </w:p>
        </w:tc>
      </w:tr>
      <w:tr>
        <w:trPr>
          <w:trHeight w:val="257"/>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62,422</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61,171</w:t>
            </w: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97,857</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102,571</w:t>
            </w:r>
          </w:p>
        </w:tc>
      </w:tr>
      <w:tr>
        <w:trPr>
          <w:trHeight w:val="257"/>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32,478</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36,181</w:t>
            </w: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OTHER INTANGIBLES, NET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46,405</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48,558</w:t>
            </w:r>
          </w:p>
        </w:tc>
      </w:tr>
      <w:tr>
        <w:trPr>
          <w:trHeight w:val="257"/>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ASSETS, NET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11,439</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15,849</w:t>
            </w: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442,265</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435,414</w:t>
            </w:r>
          </w:p>
        </w:tc>
      </w:t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262,710</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269,262</w:t>
            </w:r>
          </w:p>
        </w:tc>
      </w:tr>
      <w:tr>
        <w:trPr>
          <w:trHeight w:val="290"/>
        </w:trPr>
        <w:tc>
          <w:tcPr>
            <w:tcW w:w="552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gridSpan w:val="2"/>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1,915,177</w:t>
            </w:r>
          </w:p>
        </w:tc>
        <w:tc>
          <w:tcPr>
            <w:tcW w:w="5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1,851,944</w:t>
            </w:r>
          </w:p>
        </w:tc>
        <w:tc>
          <w:tcPr>
            <w:tcW w:w="160" w:type="dxa"/>
            <w:vAlign w:val="bottom"/>
            <w:tcBorders>
              <w:top w:val="single" w:sz="8" w:color="CCEEFF"/>
              <w:bottom w:val="single" w:sz="8" w:color="CCEEFF"/>
            </w:tcBorders>
          </w:tcPr>
          <w:p>
            <w:pPr>
              <w:spacing w:after="0"/>
              <w:rPr>
                <w:sz w:val="24"/>
                <w:szCs w:val="24"/>
                <w:color w:val="auto"/>
              </w:rPr>
            </w:pPr>
          </w:p>
        </w:tc>
      </w:tr>
      <w:tr>
        <w:trPr>
          <w:trHeight w:val="305"/>
        </w:trPr>
        <w:tc>
          <w:tcPr>
            <w:tcW w:w="552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232,364</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217,902</w:t>
            </w:r>
          </w:p>
        </w:tc>
      </w:tr>
      <w:tr>
        <w:trPr>
          <w:trHeight w:val="270"/>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95,055</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95,275</w:t>
            </w: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552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347,167</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315,419</w:t>
            </w:r>
          </w:p>
        </w:tc>
      </w:tr>
      <w:tr>
        <w:trPr>
          <w:trHeight w:val="257"/>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net of note discount and unamortized costs</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391,044</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461,756</w:t>
            </w: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15,888</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14,300</w:t>
            </w:r>
          </w:p>
        </w:tc>
      </w:t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40,389</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39,233</w:t>
            </w:r>
          </w:p>
        </w:tc>
      </w:tr>
      <w:tr>
        <w:trPr>
          <w:trHeight w:val="20"/>
        </w:trPr>
        <w:tc>
          <w:tcPr>
            <w:tcW w:w="5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0"/>
        </w:trPr>
        <w:tc>
          <w:tcPr>
            <w:tcW w:w="55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794,488</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830,708</w:t>
            </w:r>
          </w:p>
        </w:tc>
      </w:tr>
      <w:tr>
        <w:trPr>
          <w:trHeight w:val="345"/>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r>
      <w:tr>
        <w:trPr>
          <w:trHeight w:val="242"/>
        </w:trPr>
        <w:tc>
          <w:tcPr>
            <w:tcW w:w="5520" w:type="dxa"/>
            <w:vAlign w:val="bottom"/>
          </w:tcPr>
          <w:p>
            <w:pPr>
              <w:ind w:left="360"/>
              <w:spacing w:after="0"/>
              <w:rPr>
                <w:sz w:val="20"/>
                <w:szCs w:val="20"/>
                <w:color w:val="auto"/>
              </w:rPr>
            </w:pPr>
            <w:r>
              <w:rPr>
                <w:rFonts w:ascii="Arial" w:cs="Arial" w:eastAsia="Arial" w:hAnsi="Arial"/>
                <w:sz w:val="18"/>
                <w:szCs w:val="18"/>
                <w:color w:val="auto"/>
              </w:rPr>
              <w:t>Preferred stock; 1,000 shares authorized; No shares issued and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552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2"/>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Common stock – $0.01 par value; 120,000 shares authorized; 49,219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0"/>
        </w:trPr>
        <w:tc>
          <w:tcPr>
            <w:tcW w:w="5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49,016 shares issued,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451,844</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437,777</w:t>
            </w:r>
          </w:p>
        </w:tc>
      </w:tr>
      <w:tr>
        <w:trPr>
          <w:trHeight w:val="257"/>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(5,522)</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(27,722)</w:t>
            </w:r>
          </w:p>
        </w:tc>
      </w:tr>
      <w:tr>
        <w:trPr>
          <w:trHeight w:val="257"/>
        </w:trPr>
        <w:tc>
          <w:tcPr>
            <w:tcW w:w="55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674,542</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612,418</w:t>
            </w:r>
          </w:p>
        </w:tc>
      </w:tr>
      <w:tr>
        <w:trPr>
          <w:trHeight w:val="242"/>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held in treasury, at cost – 106 and 376 shares,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7"/>
        </w:trPr>
        <w:tc>
          <w:tcPr>
            <w:tcW w:w="5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r>
      <w:tr>
        <w:trPr>
          <w:trHeight w:val="257"/>
        </w:trPr>
        <w:tc>
          <w:tcPr>
            <w:tcW w:w="552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1,120,689</w:t>
            </w:r>
          </w:p>
        </w:tc>
        <w:tc>
          <w:tcPr>
            <w:tcW w:w="5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1,021,236</w:t>
            </w:r>
          </w:p>
        </w:tc>
        <w:tc>
          <w:tcPr>
            <w:tcW w:w="160" w:type="dxa"/>
            <w:vAlign w:val="bottom"/>
            <w:tcBorders>
              <w:top w:val="single" w:sz="8" w:color="CCEEFF"/>
              <w:bottom w:val="single" w:sz="8" w:color="CCEEFF"/>
            </w:tcBorders>
          </w:tcPr>
          <w:p>
            <w:pPr>
              <w:spacing w:after="0"/>
              <w:rPr>
                <w:sz w:val="22"/>
                <w:szCs w:val="22"/>
                <w:color w:val="auto"/>
              </w:rPr>
            </w:pPr>
          </w:p>
        </w:tc>
      </w:tr>
      <w:tr>
        <w:trPr>
          <w:trHeight w:val="25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1,915,177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1,851,944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-196850</wp:posOffset>
            </wp:positionV>
            <wp:extent cx="102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45624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-1997710</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-1997710</wp:posOffset>
            </wp:positionV>
            <wp:extent cx="45624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4562475"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-6568440</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60" w:type="dxa"/>
            <w:vAlign w:val="bottom"/>
            <w:gridSpan w:val="2"/>
          </w:tcPr>
          <w:p>
            <w:pPr>
              <w:spacing w:after="0"/>
              <w:rPr>
                <w:sz w:val="2"/>
                <w:szCs w:val="2"/>
                <w:color w:val="auto"/>
              </w:rPr>
            </w:pPr>
          </w:p>
        </w:tc>
      </w:tr>
      <w:tr>
        <w:trPr>
          <w:trHeight w:val="18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57"/>
        </w:trPr>
        <w:tc>
          <w:tcPr>
            <w:tcW w:w="5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2,806,938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2,386,435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2,344,142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30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1,752,033</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1,545,574</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1,505,504</w:t>
            </w:r>
          </w:p>
        </w:tc>
        <w:tc>
          <w:tcPr>
            <w:tcW w:w="40" w:type="dxa"/>
            <w:vAlign w:val="bottom"/>
          </w:tcPr>
          <w:p>
            <w:pPr>
              <w:spacing w:after="0"/>
              <w:rPr>
                <w:sz w:val="22"/>
                <w:szCs w:val="22"/>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530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1,054,905</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840,861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838,638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30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855,247</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704,436</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628,762</w:t>
            </w:r>
          </w:p>
        </w:tc>
        <w:tc>
          <w:tcPr>
            <w:tcW w:w="40" w:type="dxa"/>
            <w:vAlign w:val="bottom"/>
          </w:tcPr>
          <w:p>
            <w:pPr>
              <w:spacing w:after="0"/>
              <w:rPr>
                <w:sz w:val="22"/>
                <w:szCs w:val="22"/>
                <w:color w:val="auto"/>
              </w:rPr>
            </w:pPr>
          </w:p>
        </w:tc>
      </w:tr>
      <w:tr>
        <w:trPr>
          <w:trHeight w:val="257"/>
        </w:trPr>
        <w:tc>
          <w:tcPr>
            <w:tcW w:w="5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37,783</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32,481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300" w:type="dxa"/>
            <w:vAlign w:val="bottom"/>
            <w:gridSpan w:val="4"/>
          </w:tcPr>
          <w:p>
            <w:pPr>
              <w:spacing w:after="0"/>
              <w:rPr>
                <w:sz w:val="20"/>
                <w:szCs w:val="20"/>
                <w:color w:val="auto"/>
              </w:rPr>
            </w:pPr>
            <w:r>
              <w:rPr>
                <w:rFonts w:ascii="Arial" w:cs="Arial" w:eastAsia="Arial" w:hAnsi="Arial"/>
                <w:sz w:val="18"/>
                <w:szCs w:val="18"/>
                <w:color w:val="auto"/>
              </w:rPr>
              <w:t>Asset impairments</w:t>
            </w:r>
          </w:p>
        </w:tc>
        <w:tc>
          <w:tcPr>
            <w:tcW w:w="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7,884</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530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153,991</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93,464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184,484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300" w:type="dxa"/>
            <w:vAlign w:val="bottom"/>
            <w:gridSpan w:val="4"/>
          </w:tcPr>
          <w:p>
            <w:pPr>
              <w:spacing w:after="0"/>
              <w:rPr>
                <w:sz w:val="20"/>
                <w:szCs w:val="20"/>
                <w:color w:val="auto"/>
              </w:rPr>
            </w:pPr>
            <w:r>
              <w:rPr>
                <w:rFonts w:ascii="Arial" w:cs="Arial" w:eastAsia="Arial" w:hAnsi="Arial"/>
                <w:sz w:val="18"/>
                <w:szCs w:val="18"/>
                <w:color w:val="auto"/>
              </w:rPr>
              <w:t>Other income (loss)</w:t>
            </w:r>
          </w:p>
        </w:tc>
        <w:tc>
          <w:tcPr>
            <w:tcW w:w="8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40" w:type="dxa"/>
            <w:vAlign w:val="bottom"/>
          </w:tcPr>
          <w:p>
            <w:pPr>
              <w:spacing w:after="0"/>
              <w:rPr>
                <w:sz w:val="22"/>
                <w:szCs w:val="22"/>
                <w:color w:val="auto"/>
              </w:rPr>
            </w:pPr>
          </w:p>
        </w:tc>
      </w:tr>
      <w:tr>
        <w:trPr>
          <w:trHeight w:val="263"/>
        </w:trPr>
        <w:tc>
          <w:tcPr>
            <w:tcW w:w="5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(43,488)</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(15,675)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110,049</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77,762</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179,133</w:t>
            </w:r>
          </w:p>
        </w:tc>
        <w:tc>
          <w:tcPr>
            <w:tcW w:w="40" w:type="dxa"/>
            <w:vAlign w:val="bottom"/>
          </w:tcPr>
          <w:p>
            <w:pPr>
              <w:spacing w:after="0"/>
              <w:rPr>
                <w:sz w:val="22"/>
                <w:szCs w:val="22"/>
                <w:color w:val="auto"/>
              </w:rPr>
            </w:pPr>
          </w:p>
        </w:tc>
      </w:tr>
      <w:tr>
        <w:trPr>
          <w:trHeight w:val="263"/>
        </w:trPr>
        <w:tc>
          <w:tcPr>
            <w:tcW w:w="5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47,925</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25,824</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51,938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114,333</w:t>
            </w:r>
          </w:p>
        </w:tc>
        <w:tc>
          <w:tcPr>
            <w:tcW w:w="40" w:type="dxa"/>
            <w:vAlign w:val="bottom"/>
          </w:tcPr>
          <w:p>
            <w:pPr>
              <w:spacing w:after="0"/>
              <w:rPr>
                <w:sz w:val="24"/>
                <w:szCs w:val="24"/>
                <w:color w:val="auto"/>
              </w:rPr>
            </w:pPr>
          </w:p>
        </w:tc>
      </w:tr>
      <w:tr>
        <w:trPr>
          <w:trHeight w:val="325"/>
        </w:trPr>
        <w:tc>
          <w:tcPr>
            <w:tcW w:w="5300" w:type="dxa"/>
            <w:vAlign w:val="bottom"/>
            <w:tcBorders>
              <w:top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8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80" w:type="dxa"/>
            <w:vAlign w:val="bottom"/>
            <w:shd w:val="clear" w:color="auto" w:fill="CCEEFF"/>
          </w:tcPr>
          <w:p>
            <w:pPr>
              <w:spacing w:after="0"/>
              <w:rPr>
                <w:sz w:val="24"/>
                <w:szCs w:val="24"/>
                <w:color w:val="auto"/>
              </w:rPr>
            </w:pPr>
          </w:p>
        </w:tc>
        <w:tc>
          <w:tcPr>
            <w:tcW w:w="51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48,820</w:t>
            </w: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46,308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45,328</w:t>
            </w:r>
          </w:p>
        </w:tc>
        <w:tc>
          <w:tcPr>
            <w:tcW w:w="40" w:type="dxa"/>
            <w:vAlign w:val="bottom"/>
          </w:tcPr>
          <w:p>
            <w:pPr>
              <w:spacing w:after="0"/>
              <w:rPr>
                <w:sz w:val="24"/>
                <w:szCs w:val="24"/>
                <w:color w:val="auto"/>
              </w:rPr>
            </w:pPr>
          </w:p>
        </w:tc>
      </w:tr>
      <w:tr>
        <w:trPr>
          <w:trHeight w:val="197"/>
        </w:trPr>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Diluted:</w:t>
            </w:r>
          </w:p>
        </w:tc>
        <w:tc>
          <w:tcPr>
            <w:tcW w:w="45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97"/>
        </w:trPr>
        <w:tc>
          <w:tcPr>
            <w:tcW w:w="180" w:type="dxa"/>
            <w:vAlign w:val="bottom"/>
          </w:tcPr>
          <w:p>
            <w:pPr>
              <w:spacing w:after="0"/>
              <w:rPr>
                <w:sz w:val="24"/>
                <w:szCs w:val="24"/>
                <w:color w:val="auto"/>
              </w:rPr>
            </w:pPr>
          </w:p>
        </w:tc>
        <w:tc>
          <w:tcPr>
            <w:tcW w:w="5120" w:type="dxa"/>
            <w:vAlign w:val="bottom"/>
            <w:gridSpan w:val="3"/>
          </w:tcPr>
          <w:p>
            <w:pPr>
              <w:ind w:left="180"/>
              <w:spacing w:after="0"/>
              <w:rPr>
                <w:sz w:val="20"/>
                <w:szCs w:val="20"/>
                <w:color w:val="auto"/>
              </w:rPr>
            </w:pPr>
            <w:r>
              <w:rPr>
                <w:rFonts w:ascii="Arial" w:cs="Arial" w:eastAsia="Arial" w:hAnsi="Arial"/>
                <w:sz w:val="18"/>
                <w:szCs w:val="18"/>
                <w:color w:val="auto"/>
              </w:rPr>
              <w:t>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24"/>
                <w:szCs w:val="24"/>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180" w:type="dxa"/>
            <w:vAlign w:val="bottom"/>
            <w:shd w:val="clear" w:color="auto" w:fill="CCEEFF"/>
          </w:tcPr>
          <w:p>
            <w:pPr>
              <w:spacing w:after="0"/>
              <w:rPr>
                <w:sz w:val="21"/>
                <w:szCs w:val="21"/>
                <w:color w:val="auto"/>
              </w:rPr>
            </w:pPr>
          </w:p>
        </w:tc>
        <w:tc>
          <w:tcPr>
            <w:tcW w:w="51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49,750</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47,394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4"/>
        </w:trPr>
        <w:tc>
          <w:tcPr>
            <w:tcW w:w="53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62,124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51,938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114,333</w:t>
            </w:r>
          </w:p>
        </w:tc>
        <w:tc>
          <w:tcPr>
            <w:tcW w:w="40" w:type="dxa"/>
            <w:vAlign w:val="bottom"/>
          </w:tcPr>
          <w:p>
            <w:pPr>
              <w:spacing w:after="0"/>
              <w:rPr>
                <w:sz w:val="21"/>
                <w:szCs w:val="21"/>
                <w:color w:val="auto"/>
              </w:rPr>
            </w:pPr>
          </w:p>
        </w:tc>
      </w:tr>
      <w:tr>
        <w:trPr>
          <w:trHeight w:val="270"/>
        </w:trPr>
        <w:tc>
          <w:tcPr>
            <w:tcW w:w="5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7"/>
        </w:trPr>
        <w:tc>
          <w:tcPr>
            <w:tcW w:w="5300" w:type="dxa"/>
            <w:vAlign w:val="bottom"/>
            <w:gridSpan w:val="4"/>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(13,584)</w:t>
            </w: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22,200</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5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30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84,324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47,905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100,749</w:t>
            </w:r>
          </w:p>
        </w:tc>
        <w:tc>
          <w:tcPr>
            <w:tcW w:w="40" w:type="dxa"/>
            <w:vAlign w:val="bottom"/>
          </w:tcPr>
          <w:p>
            <w:pPr>
              <w:spacing w:after="0"/>
              <w:rPr>
                <w:sz w:val="23"/>
                <w:szCs w:val="23"/>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-393700</wp:posOffset>
            </wp:positionV>
            <wp:extent cx="4690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-3309620</wp:posOffset>
            </wp:positionV>
            <wp:extent cx="4690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-3978275</wp:posOffset>
            </wp:positionV>
            <wp:extent cx="46907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-4441825</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-4441825</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780" w:type="dxa"/>
            <w:vAlign w:val="bottom"/>
          </w:tcPr>
          <w:p>
            <w:pPr>
              <w:spacing w:after="0"/>
              <w:rPr>
                <w:sz w:val="14"/>
                <w:szCs w:val="14"/>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78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Retained</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Held 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Earnings</w:t>
            </w: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6"/>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2015</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$ 230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$328,885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(10,105)</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$446,147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761,258</w:t>
            </w:r>
          </w:p>
        </w:tc>
        <w:tc>
          <w:tcPr>
            <w:tcW w:w="60" w:type="dxa"/>
            <w:vAlign w:val="bottom"/>
          </w:tcPr>
          <w:p>
            <w:pPr>
              <w:spacing w:after="0"/>
              <w:rPr>
                <w:sz w:val="22"/>
                <w:szCs w:val="22"/>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Tax benefit from exercise/vesting of equity</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10,127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60" w:type="dxa"/>
            <w:vAlign w:val="bottom"/>
          </w:tcPr>
          <w:p>
            <w:pPr>
              <w:spacing w:after="0"/>
              <w:rPr>
                <w:sz w:val="21"/>
                <w:szCs w:val="21"/>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15,576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15,576</w:t>
            </w: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(13,584)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w:t>
            </w:r>
          </w:p>
        </w:tc>
        <w:tc>
          <w:tcPr>
            <w:tcW w:w="60" w:type="dxa"/>
            <w:vAlign w:val="bottom"/>
          </w:tcPr>
          <w:p>
            <w:pPr>
              <w:spacing w:after="0"/>
              <w:rPr>
                <w:sz w:val="22"/>
                <w:szCs w:val="22"/>
                <w:color w:val="auto"/>
              </w:rPr>
            </w:pPr>
          </w:p>
        </w:tc>
      </w:tr>
      <w:tr>
        <w:trPr>
          <w:trHeight w:val="263"/>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114,333</w:t>
            </w: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114,333</w:t>
            </w: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2016</w:t>
            </w:r>
          </w:p>
        </w:tc>
        <w:tc>
          <w:tcPr>
            <w:tcW w:w="160" w:type="dxa"/>
            <w:vAlign w:val="bottom"/>
            <w:gridSpan w:val="2"/>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353,750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(23,689)</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560,480</w:t>
            </w: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(2,643)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888,127</w:t>
            </w:r>
          </w:p>
        </w:tc>
        <w:tc>
          <w:tcPr>
            <w:tcW w:w="60" w:type="dxa"/>
            <w:vAlign w:val="bottom"/>
          </w:tcPr>
          <w:p>
            <w:pPr>
              <w:spacing w:after="0"/>
              <w:rPr>
                <w:sz w:val="22"/>
                <w:szCs w:val="22"/>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related to tax withholding for</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60" w:type="dxa"/>
            <w:vAlign w:val="bottom"/>
          </w:tcPr>
          <w:p>
            <w:pPr>
              <w:spacing w:after="0"/>
              <w:rPr>
                <w:sz w:val="21"/>
                <w:szCs w:val="2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w w:val="96"/>
              </w:rPr>
              <w:t>Shares issued to LVMH in connection with</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the DKI Acquisition</w:t>
            </w: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26</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74,974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r>
      <w:tr>
        <w:trPr>
          <w:trHeight w:val="26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16,901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60" w:type="dxa"/>
            <w:vAlign w:val="bottom"/>
          </w:tcPr>
          <w:p>
            <w:pPr>
              <w:spacing w:after="0"/>
              <w:rPr>
                <w:sz w:val="22"/>
                <w:szCs w:val="22"/>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(4,033)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(4,033)</w:t>
            </w:r>
          </w:p>
        </w:tc>
      </w:tr>
      <w:tr>
        <w:trPr>
          <w:trHeight w:val="27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51,938</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51,938</w:t>
            </w:r>
          </w:p>
        </w:tc>
        <w:tc>
          <w:tcPr>
            <w:tcW w:w="60" w:type="dxa"/>
            <w:vAlign w:val="bottom"/>
          </w:tcPr>
          <w:p>
            <w:pPr>
              <w:spacing w:after="0"/>
              <w:rPr>
                <w:sz w:val="24"/>
                <w:szCs w:val="24"/>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Balance as of January 31, 2017</w:t>
            </w:r>
          </w:p>
        </w:tc>
        <w:tc>
          <w:tcPr>
            <w:tcW w:w="160" w:type="dxa"/>
            <w:vAlign w:val="bottom"/>
            <w:gridSpan w:val="2"/>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437,777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(27,722)</w:t>
            </w:r>
          </w:p>
        </w:tc>
        <w:tc>
          <w:tcPr>
            <w:tcW w:w="780" w:type="dxa"/>
            <w:vAlign w:val="bottom"/>
          </w:tcPr>
          <w:p>
            <w:pPr>
              <w:jc w:val="right"/>
              <w:spacing w:after="0"/>
              <w:rPr>
                <w:sz w:val="20"/>
                <w:szCs w:val="20"/>
                <w:color w:val="auto"/>
              </w:rPr>
            </w:pPr>
            <w:r>
              <w:rPr>
                <w:rFonts w:ascii="Arial" w:cs="Arial" w:eastAsia="Arial" w:hAnsi="Arial"/>
                <w:sz w:val="18"/>
                <w:szCs w:val="18"/>
                <w:color w:val="auto"/>
              </w:rPr>
              <w:t>612,418</w:t>
            </w:r>
          </w:p>
        </w:tc>
        <w:tc>
          <w:tcPr>
            <w:tcW w:w="10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(1,490)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1,021,236</w:t>
            </w:r>
          </w:p>
        </w:tc>
        <w:tc>
          <w:tcPr>
            <w:tcW w:w="60" w:type="dxa"/>
            <w:vAlign w:val="bottom"/>
          </w:tcPr>
          <w:p>
            <w:pPr>
              <w:spacing w:after="0"/>
              <w:rPr>
                <w:sz w:val="23"/>
                <w:szCs w:val="23"/>
                <w:color w:val="auto"/>
              </w:rPr>
            </w:pPr>
          </w:p>
        </w:tc>
      </w:tr>
      <w:tr>
        <w:trPr>
          <w:trHeight w:val="27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exercised/vested, net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60" w:type="dxa"/>
            <w:vAlign w:val="bottom"/>
          </w:tcPr>
          <w:p>
            <w:pPr>
              <w:spacing w:after="0"/>
              <w:rPr>
                <w:sz w:val="23"/>
                <w:szCs w:val="23"/>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19,665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19,665</w:t>
            </w:r>
          </w:p>
        </w:tc>
      </w:tr>
      <w:tr>
        <w:trPr>
          <w:trHeight w:val="24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related to tax withholding for</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60" w:type="dxa"/>
            <w:vAlign w:val="bottom"/>
          </w:tcPr>
          <w:p>
            <w:pPr>
              <w:spacing w:after="0"/>
              <w:rPr>
                <w:sz w:val="21"/>
                <w:szCs w:val="2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22,200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22,200</w:t>
            </w:r>
          </w:p>
        </w:tc>
      </w:tr>
      <w:tr>
        <w:trPr>
          <w:trHeight w:val="277"/>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62,124</w:t>
            </w: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62,124</w:t>
            </w:r>
          </w:p>
        </w:tc>
        <w:tc>
          <w:tcPr>
            <w:tcW w:w="60" w:type="dxa"/>
            <w:vAlign w:val="bottom"/>
          </w:tcPr>
          <w:p>
            <w:pPr>
              <w:spacing w:after="0"/>
              <w:rPr>
                <w:sz w:val="24"/>
                <w:szCs w:val="24"/>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Balance as of January 31, 2018</w:t>
            </w:r>
          </w:p>
        </w:tc>
        <w:tc>
          <w:tcPr>
            <w:tcW w:w="160" w:type="dxa"/>
            <w:vAlign w:val="bottom"/>
            <w:gridSpan w:val="2"/>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$ 245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451,844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(5,522)</w:t>
            </w: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674,542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1,120,689</w:t>
            </w:r>
          </w:p>
        </w:tc>
        <w:tc>
          <w:tcPr>
            <w:tcW w:w="60" w:type="dxa"/>
            <w:vAlign w:val="bottom"/>
          </w:tcPr>
          <w:p>
            <w:pPr>
              <w:spacing w:after="0"/>
              <w:rPr>
                <w:sz w:val="23"/>
                <w:szCs w:val="23"/>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-2837815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-2837815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-2837815</wp:posOffset>
            </wp:positionV>
            <wp:extent cx="154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-2837815</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-2837815</wp:posOffset>
            </wp:positionV>
            <wp:extent cx="25730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-4090035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-4090035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-4090035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-4090035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-4090035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42"/>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5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62,124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51,938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6"/>
              </w:rPr>
              <w:t>114,333</w:t>
            </w:r>
          </w:p>
        </w:tc>
        <w:tc>
          <w:tcPr>
            <w:tcW w:w="60" w:type="dxa"/>
            <w:vAlign w:val="bottom"/>
          </w:tcPr>
          <w:p>
            <w:pPr>
              <w:spacing w:after="0"/>
              <w:rPr>
                <w:sz w:val="17"/>
                <w:szCs w:val="17"/>
                <w:color w:val="auto"/>
              </w:rPr>
            </w:pPr>
          </w:p>
        </w:tc>
      </w:tr>
      <w:tr>
        <w:trPr>
          <w:trHeight w:val="202"/>
        </w:trPr>
        <w:tc>
          <w:tcPr>
            <w:tcW w:w="54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activities, net of assets and liabilities acquired:</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54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37,783</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32,481</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25,392</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Asset impairments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7,884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10,480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Dividend received from unconsolidated affiliate</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3,575</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(gain) loss in unconsolidated affiliates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Change in contingent purchase price payable</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(899)</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19,665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16,901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15,576</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Deferred financing charges and debt discount amortization</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10,890</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5,157</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4,078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(7,319)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3,590</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Loss on disposal of fixed assets</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2,922</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3,201</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6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7"/>
                <w:szCs w:val="17"/>
                <w:color w:val="auto"/>
              </w:rPr>
            </w:pPr>
          </w:p>
        </w:tc>
        <w:tc>
          <w:tcPr>
            <w:tcW w:w="10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(29,947)</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(29,310)</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3"/>
              </w:rPr>
              <w:t>(23,616)</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(68,775)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12,633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3"/>
              </w:rPr>
              <w:t>(59,908)</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Income taxes, net</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11,284</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14,233</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3"/>
              </w:rPr>
              <w:t>(16,833)</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Other assets, net</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10,991</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(10,863)</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tcPr>
          <w:p>
            <w:pPr>
              <w:spacing w:after="0"/>
              <w:rPr>
                <w:sz w:val="17"/>
                <w:szCs w:val="17"/>
                <w:color w:val="auto"/>
              </w:rPr>
            </w:pPr>
          </w:p>
        </w:tc>
      </w:tr>
      <w:tr>
        <w:trPr>
          <w:trHeight w:val="216"/>
        </w:trPr>
        <w:tc>
          <w:tcPr>
            <w:tcW w:w="5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10,683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60" w:type="dxa"/>
            <w:vAlign w:val="bottom"/>
          </w:tcPr>
          <w:p>
            <w:pPr>
              <w:spacing w:after="0"/>
              <w:rPr>
                <w:sz w:val="18"/>
                <w:szCs w:val="18"/>
                <w:color w:val="auto"/>
              </w:rPr>
            </w:pPr>
          </w:p>
        </w:tc>
      </w:tr>
      <w:tr>
        <w:trPr>
          <w:trHeight w:val="196"/>
        </w:trPr>
        <w:tc>
          <w:tcPr>
            <w:tcW w:w="5220" w:type="dxa"/>
            <w:vAlign w:val="bottom"/>
            <w:tcBorders>
              <w:top w:val="single" w:sz="8" w:color="CCEEFF"/>
              <w:bottom w:val="single" w:sz="8" w:color="CCEEFF"/>
            </w:tcBorders>
          </w:tcPr>
          <w:p>
            <w:pPr>
              <w:ind w:left="3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79,734</w:t>
            </w:r>
          </w:p>
        </w:tc>
        <w:tc>
          <w:tcPr>
            <w:tcW w:w="2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105,695</w:t>
            </w:r>
          </w:p>
        </w:tc>
        <w:tc>
          <w:tcPr>
            <w:tcW w:w="2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74,296</w:t>
            </w:r>
          </w:p>
        </w:tc>
        <w:tc>
          <w:tcPr>
            <w:tcW w:w="60" w:type="dxa"/>
            <w:vAlign w:val="bottom"/>
          </w:tcPr>
          <w:p>
            <w:pPr>
              <w:spacing w:after="0"/>
              <w:rPr>
                <w:sz w:val="17"/>
                <w:szCs w:val="17"/>
                <w:color w:val="auto"/>
              </w:rPr>
            </w:pPr>
          </w:p>
        </w:tc>
      </w:tr>
      <w:tr>
        <w:trPr>
          <w:trHeight w:val="183"/>
        </w:trPr>
        <w:tc>
          <w:tcPr>
            <w:tcW w:w="54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7"/>
                <w:szCs w:val="17"/>
                <w:color w:val="auto"/>
              </w:rPr>
            </w:pPr>
          </w:p>
        </w:tc>
        <w:tc>
          <w:tcPr>
            <w:tcW w:w="102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(35,432)</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3"/>
              </w:rPr>
              <w:t>(25,490)</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 net of cash acquired</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88"/>
              </w:rPr>
              <w:t>(465,403)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Proceeds from sale of a retail store</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644</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(34,507)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(24,928)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(42,172)</w:t>
            </w:r>
          </w:p>
        </w:tc>
        <w:tc>
          <w:tcPr>
            <w:tcW w:w="60" w:type="dxa"/>
            <w:vAlign w:val="bottom"/>
          </w:tcPr>
          <w:p>
            <w:pPr>
              <w:spacing w:after="0"/>
              <w:rPr>
                <w:sz w:val="18"/>
                <w:szCs w:val="18"/>
                <w:color w:val="auto"/>
              </w:rPr>
            </w:pPr>
          </w:p>
        </w:tc>
      </w:tr>
      <w:tr>
        <w:trPr>
          <w:trHeight w:val="196"/>
        </w:trPr>
        <w:tc>
          <w:tcPr>
            <w:tcW w:w="5220" w:type="dxa"/>
            <w:vAlign w:val="bottom"/>
            <w:tcBorders>
              <w:top w:val="single" w:sz="8" w:color="CCEEFF"/>
              <w:bottom w:val="single" w:sz="8" w:color="CCEEFF"/>
            </w:tcBorders>
          </w:tcPr>
          <w:p>
            <w:pPr>
              <w:ind w:left="360"/>
              <w:spacing w:after="0" w:line="196"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(33,912)</w:t>
            </w:r>
          </w:p>
        </w:tc>
        <w:tc>
          <w:tcPr>
            <w:tcW w:w="2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0"/>
              </w:rPr>
              <w:t>(525,763)</w:t>
            </w:r>
          </w:p>
        </w:tc>
        <w:tc>
          <w:tcPr>
            <w:tcW w:w="2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3"/>
              </w:rPr>
              <w:t>(67,662)</w:t>
            </w:r>
          </w:p>
        </w:tc>
        <w:tc>
          <w:tcPr>
            <w:tcW w:w="60" w:type="dxa"/>
            <w:vAlign w:val="bottom"/>
          </w:tcPr>
          <w:p>
            <w:pPr>
              <w:spacing w:after="0"/>
              <w:rPr>
                <w:sz w:val="17"/>
                <w:szCs w:val="17"/>
                <w:color w:val="auto"/>
              </w:rPr>
            </w:pPr>
          </w:p>
        </w:tc>
      </w:tr>
      <w:tr>
        <w:trPr>
          <w:trHeight w:val="183"/>
        </w:trPr>
        <w:tc>
          <w:tcPr>
            <w:tcW w:w="54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Proceeds from term loan, net</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283,204</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Repayment of borrowings – new revolving credit facility</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w w:val="89"/>
              </w:rPr>
              <w:t>(2,018,892)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88"/>
              </w:rPr>
              <w:t>(413,282)</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Proceeds from borrowings – new revolving credit facility</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w w:val="94"/>
              </w:rPr>
              <w:t>1,939,774</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5"/>
              </w:rPr>
              <w:t>524,748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Repayment of borrowings – old revolving credit facility</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(20,344)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Proceeds from exercise of equity awards</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1,578</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260</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417</w:t>
            </w:r>
          </w:p>
        </w:tc>
        <w:tc>
          <w:tcPr>
            <w:tcW w:w="60" w:type="dxa"/>
            <w:vAlign w:val="bottom"/>
          </w:tcPr>
          <w:p>
            <w:pPr>
              <w:spacing w:after="0"/>
              <w:rPr>
                <w:sz w:val="17"/>
                <w:szCs w:val="17"/>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paid for net share settlement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196"/>
        </w:trPr>
        <w:tc>
          <w:tcPr>
            <w:tcW w:w="5220" w:type="dxa"/>
            <w:vAlign w:val="bottom"/>
            <w:tcBorders>
              <w:top w:val="single" w:sz="8" w:color="CCEEFF"/>
              <w:bottom w:val="single" w:sz="8" w:color="CCEEFF"/>
            </w:tcBorders>
          </w:tcPr>
          <w:p>
            <w:pPr>
              <w:ind w:left="36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(83,654)</w:t>
            </w:r>
          </w:p>
        </w:tc>
        <w:tc>
          <w:tcPr>
            <w:tcW w:w="2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367,631</w:t>
            </w:r>
          </w:p>
        </w:tc>
        <w:tc>
          <w:tcPr>
            <w:tcW w:w="2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w:t>
            </w:r>
          </w:p>
        </w:tc>
        <w:tc>
          <w:tcPr>
            <w:tcW w:w="60" w:type="dxa"/>
            <w:vAlign w:val="bottom"/>
          </w:tcPr>
          <w:p>
            <w:pPr>
              <w:spacing w:after="0"/>
              <w:rPr>
                <w:sz w:val="17"/>
                <w:szCs w:val="17"/>
                <w:color w:val="auto"/>
              </w:rPr>
            </w:pPr>
          </w:p>
        </w:tc>
      </w:tr>
      <w:tr>
        <w:trPr>
          <w:trHeight w:val="196"/>
        </w:trPr>
        <w:tc>
          <w:tcPr>
            <w:tcW w:w="5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3,651</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(2,818)</w:t>
            </w:r>
          </w:p>
        </w:tc>
        <w:tc>
          <w:tcPr>
            <w:tcW w:w="60" w:type="dxa"/>
            <w:vAlign w:val="bottom"/>
          </w:tcPr>
          <w:p>
            <w:pPr>
              <w:spacing w:after="0"/>
              <w:rPr>
                <w:sz w:val="17"/>
                <w:szCs w:val="17"/>
                <w:color w:val="auto"/>
              </w:rPr>
            </w:pPr>
          </w:p>
        </w:tc>
      </w:tr>
      <w:tr>
        <w:trPr>
          <w:trHeight w:val="183"/>
        </w:trPr>
        <w:tc>
          <w:tcPr>
            <w:tcW w:w="5220" w:type="dxa"/>
            <w:vAlign w:val="bottom"/>
          </w:tcPr>
          <w:p>
            <w:pPr>
              <w:ind w:left="360"/>
              <w:spacing w:after="0" w:line="182" w:lineRule="exact"/>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(34,181)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w w:val="92"/>
              </w:rPr>
              <w:t>(52,630)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4,233</w:t>
            </w:r>
          </w:p>
        </w:tc>
        <w:tc>
          <w:tcPr>
            <w:tcW w:w="60" w:type="dxa"/>
            <w:vAlign w:val="bottom"/>
          </w:tcPr>
          <w:p>
            <w:pPr>
              <w:spacing w:after="0"/>
              <w:rPr>
                <w:sz w:val="15"/>
                <w:szCs w:val="15"/>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79,957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132,587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128,354</w:t>
            </w:r>
          </w:p>
        </w:tc>
        <w:tc>
          <w:tcPr>
            <w:tcW w:w="60" w:type="dxa"/>
            <w:vAlign w:val="bottom"/>
          </w:tcPr>
          <w:p>
            <w:pPr>
              <w:spacing w:after="0"/>
              <w:rPr>
                <w:sz w:val="18"/>
                <w:szCs w:val="18"/>
                <w:color w:val="auto"/>
              </w:rPr>
            </w:pPr>
          </w:p>
        </w:tc>
      </w:tr>
      <w:tr>
        <w:trPr>
          <w:trHeight w:val="236"/>
        </w:trPr>
        <w:tc>
          <w:tcPr>
            <w:tcW w:w="5220" w:type="dxa"/>
            <w:vAlign w:val="bottom"/>
            <w:tcBorders>
              <w:top w:val="single" w:sz="8" w:color="CCEEFF"/>
              <w:bottom w:val="single" w:sz="8" w:color="CCEEFF"/>
            </w:tcBorders>
          </w:tcPr>
          <w:p>
            <w:pPr>
              <w:spacing w:after="0" w:line="196" w:lineRule="exact"/>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top w:val="single" w:sz="8" w:color="CCEEFF"/>
              <w:bottom w:val="single" w:sz="8" w:color="CCEEFF"/>
            </w:tcBorders>
          </w:tcPr>
          <w:p>
            <w:pPr>
              <w:spacing w:after="0"/>
              <w:rPr>
                <w:sz w:val="20"/>
                <w:szCs w:val="20"/>
                <w:color w:val="auto"/>
              </w:rPr>
            </w:pPr>
          </w:p>
        </w:tc>
        <w:tc>
          <w:tcPr>
            <w:tcW w:w="2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45,776</w:t>
            </w:r>
          </w:p>
        </w:tc>
        <w:tc>
          <w:tcPr>
            <w:tcW w:w="24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79,957</w:t>
            </w:r>
          </w:p>
        </w:tc>
        <w:tc>
          <w:tcPr>
            <w:tcW w:w="22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132,587</w:t>
            </w:r>
          </w:p>
        </w:tc>
        <w:tc>
          <w:tcPr>
            <w:tcW w:w="60" w:type="dxa"/>
            <w:vAlign w:val="bottom"/>
          </w:tcPr>
          <w:p>
            <w:pPr>
              <w:spacing w:after="0"/>
              <w:rPr>
                <w:sz w:val="20"/>
                <w:szCs w:val="20"/>
                <w:color w:val="auto"/>
              </w:rPr>
            </w:pPr>
          </w:p>
        </w:tc>
      </w:tr>
      <w:tr>
        <w:trPr>
          <w:trHeight w:val="156"/>
        </w:trPr>
        <w:tc>
          <w:tcPr>
            <w:tcW w:w="546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4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payments: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31,644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21,773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5,544</w:t>
            </w:r>
          </w:p>
        </w:tc>
        <w:tc>
          <w:tcPr>
            <w:tcW w:w="60" w:type="dxa"/>
            <w:vAlign w:val="bottom"/>
          </w:tcPr>
          <w:p>
            <w:pPr>
              <w:spacing w:after="0"/>
              <w:rPr>
                <w:sz w:val="17"/>
                <w:szCs w:val="17"/>
                <w:color w:val="auto"/>
              </w:rPr>
            </w:pPr>
          </w:p>
        </w:tc>
      </w:tr>
      <w:tr>
        <w:trPr>
          <w:trHeight w:val="203"/>
        </w:trPr>
        <w:tc>
          <w:tcPr>
            <w:tcW w:w="546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Income taxes, net</w:t>
            </w:r>
          </w:p>
        </w:tc>
        <w:tc>
          <w:tcPr>
            <w:tcW w:w="80" w:type="dxa"/>
            <w:vAlign w:val="bottom"/>
          </w:tcPr>
          <w:p>
            <w:pPr>
              <w:spacing w:after="0"/>
              <w:rPr>
                <w:sz w:val="17"/>
                <w:szCs w:val="17"/>
                <w:color w:val="auto"/>
              </w:rPr>
            </w:pPr>
          </w:p>
        </w:tc>
        <w:tc>
          <w:tcPr>
            <w:tcW w:w="10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32,934</w:t>
            </w: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18,915</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68,067</w:t>
            </w:r>
          </w:p>
        </w:tc>
        <w:tc>
          <w:tcPr>
            <w:tcW w:w="60" w:type="dxa"/>
            <w:vAlign w:val="bottom"/>
          </w:tcPr>
          <w:p>
            <w:pPr>
              <w:spacing w:after="0"/>
              <w:rPr>
                <w:sz w:val="17"/>
                <w:szCs w:val="17"/>
                <w:color w:val="auto"/>
              </w:rPr>
            </w:pPr>
          </w:p>
        </w:tc>
      </w:tr>
      <w:tr>
        <w:trPr>
          <w:trHeight w:val="203"/>
        </w:trPr>
        <w:tc>
          <w:tcPr>
            <w:tcW w:w="546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46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9"/>
              </w:rPr>
              <w:t>Shares of common stock issued to LVMH in connection with the</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460" w:type="dxa"/>
            <w:vAlign w:val="bottom"/>
            <w:gridSpan w:val="3"/>
          </w:tcPr>
          <w:p>
            <w:pPr>
              <w:ind w:left="540"/>
              <w:spacing w:after="0"/>
              <w:rPr>
                <w:sz w:val="20"/>
                <w:szCs w:val="20"/>
                <w:color w:val="auto"/>
              </w:rPr>
            </w:pPr>
            <w:r>
              <w:rPr>
                <w:rFonts w:ascii="Arial" w:cs="Arial" w:eastAsia="Arial" w:hAnsi="Arial"/>
                <w:sz w:val="18"/>
                <w:szCs w:val="18"/>
                <w:color w:val="auto"/>
              </w:rPr>
              <w:t>acquisition of DKI</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 issued to LVMH in connection with the acquisition of DKI</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125,000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-1602740</wp:posOffset>
            </wp:positionV>
            <wp:extent cx="4776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-2649220</wp:posOffset>
            </wp:positionV>
            <wp:extent cx="4776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-3438525</wp:posOffset>
            </wp:positionV>
            <wp:extent cx="4776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-6276975</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-6276975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January 31, 2018, 2017 and 2016</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consolidated financial statements follows:</w:t>
      </w:r>
    </w:p>
    <w:p>
      <w:pPr>
        <w:spacing w:after="0" w:line="1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  Business Activity and Principles of Consolidation</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As used in these financial statements, the term “Company” or “G-III” refers to G-III Apparel Group, Ltd. and its subsidiaries. The Company designs, manufactures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6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Company consolidates the accounts of all its wholly-owned and majority-owned subsidiaries. KL North America B.V. (“KLNA”) and Fabco Holding B.V. (“Fabco”) are Dutch limited liability companies that are joint ventures that are 49% owned by the Company. Karl Lagerfeld Holding B.V. (“KLH”), formerly known as Kingdom Holdings 1 B.V., is a Dutch limited liability company that is 19% owned by the Company. These investments are accounted for using the equity method of accounting. All material intercompany balances and transactions have been eliminated.</w:t>
      </w:r>
    </w:p>
    <w:p>
      <w:pPr>
        <w:spacing w:after="0" w:line="8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and KLNA report results on a calendar year basis rather than on the January 31 fiscal year basis used by the Company. Accordingly, the results of Vilebrequin, KLH and KLNA are, and will be, included in the financial statements for the year ended or ending closest to the Company’s fiscal year. For example, with respect to the Company’s results for the year ended January 31, 2018, the results of Vilebrequin, KLH and KLNA are included for the year ended December 31, 2017. The Company’s retail operations segment reports results on a 52/53-week fiscal year. The Company’s year ended January 31, 2018 was a 53-week fiscal year for the retail operations segment. The Company’s years ended January 31, 2017 and 2016 were both 52-week fiscal years for the retail operations segment. For fiscal 2018, 2017 and 2016, the retail operations segment year end was February 3, 2018, January 28, 2017 and January 30, 2016, respectively.</w:t>
      </w:r>
    </w:p>
    <w:p>
      <w:pPr>
        <w:spacing w:after="0" w:line="164"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2.  Cash Equivalents</w:t>
      </w:r>
    </w:p>
    <w:p>
      <w:pPr>
        <w:spacing w:after="0" w:line="10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1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Goods are shipped to retailers in accordance with specific customer orders. The Company recognizes wholesale sales when the risks and rewards of ownership have transferred to the customer, determined by the Company to be when title to the merchandise passes to the customer.</w:t>
      </w:r>
    </w:p>
    <w:p>
      <w:pPr>
        <w:spacing w:after="0" w:line="73"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Company recognizes retail sales upon customer receipt of the merchandise, generally at the point of sale. The Company’s sales are recorded net of applicable sales taxes.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Both wholesale revenues and retail store revenues are shown net of returns, discounts and other allowances.</w:t>
      </w:r>
    </w:p>
    <w:p>
      <w:pPr>
        <w:spacing w:after="0" w:line="1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Royalty revenue is recognized at the higher of royalty earned or guaranteed minimum royalty.</w:t>
      </w: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4.  Returns and Allowances</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Company reserves against known chargebacks and returns by customers. The Company establishes these reserves for returns and allowances based on current and historical information and trends. Allowances are established for trade discounts, markdowns, customer advertising agreements and</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93" w:lineRule="auto"/>
        <w:rPr>
          <w:sz w:val="20"/>
          <w:szCs w:val="20"/>
          <w:color w:val="auto"/>
        </w:rPr>
      </w:pPr>
      <w:r>
        <w:rPr>
          <w:rFonts w:ascii="Arial" w:cs="Arial" w:eastAsia="Arial" w:hAnsi="Arial"/>
          <w:sz w:val="16"/>
          <w:szCs w:val="16"/>
          <w:color w:val="auto"/>
        </w:rPr>
        <w:t>operational chargebacks. Estimated costs associated with allowable deductions for customer advertising expenses are reflected as selling, general and administrative expenses. Estimated costs associated with trade discounts and markdowns, and reserves for returns are reflected as a reduction of net sales. All of these reserves are part of the allowances netted against accounts receivable. The Company estimates an allowance for doubtful accounts based on the creditworthiness of its customers as well as general economic conditions. The Company writes off uncollectible trade receivables once collection efforts have been exhausted.</w:t>
      </w:r>
    </w:p>
    <w:p>
      <w:pPr>
        <w:spacing w:after="0" w:line="151"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5.  Inventories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6.  Goodwill and Other Intangibles</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Goodwill represents the excess of purchase price over the fair value of net assets acquired in business combinations accounted for under the purchase method of accounting. Goodwill and certain intangible assets deemed to have indefinite lives are not amortized, but are subject to annual impairment tests using a test combining a discounted cash flow analysis and a market approach. Other intangibles with finite lives, including license agreements, trademarks and customer lists are amortized on a straight-line basis over the estimated useful lives of the assets (currently ranging from 5 to 17 years). Impairment charges, if any, on intangible assets with finite lives are recorded when indicators of impairment are present and the discounted cash flows estimated to be derived from those assets are less than the carrying amounts of the assets.</w:t>
      </w:r>
    </w:p>
    <w:p>
      <w:pPr>
        <w:spacing w:after="0" w:line="71"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fiscal 2018, the Company wrote off goodwill of $716,000 related to the retail operations segment, as a result of the performance of the retail operations segment.</w:t>
      </w:r>
    </w:p>
    <w:p>
      <w:pPr>
        <w:spacing w:after="0" w:line="1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7.  Depreciation and Amortization</w:t>
      </w:r>
    </w:p>
    <w:p>
      <w:pPr>
        <w:spacing w:after="0" w:line="104"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spacing w:after="0" w:line="13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8.  Impairment of Long-Lived Assets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accordance with Financial Accounting Standards Board (“FASB”) Accounting Standards Codification (“ASC”) Topic 360 – Property, Plant and Equipment, the Company annually evaluates the carrying value of its long-lived assets to determine whether changes have occurred that would suggest that the carrying amount of such assets may not be recoverable based on the estimated future undiscounted cash flows of the businesses to which the assets relate. Any impairment would be equal to the amount by which the carrying value of the assets exceeded its fair value.</w:t>
      </w:r>
    </w:p>
    <w:p>
      <w:pPr>
        <w:spacing w:after="0" w:line="8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fiscal 2018, the Company recorded a $6.5 million impairment charge related to leasehold improvements and furniture and fixtures at certain of its Wilsons, G.H. Bass and Vilebrequin stores as a result of the performance at these stores. In addition, the Company recorded a $738,000 impairment charge with respect to furniture and fixtures located in certain customers’ stores.</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fiscal 2017, the Company recorded a $10.5 million impairment charge related to leasehold improvements and furniture and fixtures at certain of its Wilsons and G.H. Bass stores as a result of the performance at these stores.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jc w:val="both"/>
        <w:ind w:left="1260" w:right="759" w:firstLine="360"/>
        <w:spacing w:after="0" w:line="302" w:lineRule="auto"/>
        <w:rPr>
          <w:sz w:val="20"/>
          <w:szCs w:val="20"/>
          <w:color w:val="auto"/>
        </w:rPr>
      </w:pPr>
      <w:r>
        <w:rPr>
          <w:rFonts w:ascii="Arial" w:cs="Arial" w:eastAsia="Arial" w:hAnsi="Arial"/>
          <w:sz w:val="16"/>
          <w:szCs w:val="16"/>
          <w:color w:val="auto"/>
        </w:rPr>
        <w:t>The Company accounts for income taxes and uncertain tax positions in accordance with ASC Topic 740 — Income Taxes. 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w:t>
      </w:r>
    </w:p>
    <w:p>
      <w:pPr>
        <w:spacing w:after="0" w:line="46"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purposes and the amounts used for income tax purposes.</w:t>
      </w:r>
    </w:p>
    <w:p>
      <w:pPr>
        <w:spacing w:after="0" w:line="38"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The Company recorded provisional amounts in the consolidated financial statements for the one-time income tax effects of the Tax Cuts and Jobs Act (“TCJA”) based upon currently available information.</w:t>
      </w:r>
    </w:p>
    <w:p>
      <w:pPr>
        <w:spacing w:after="0" w:line="13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10.  Net Income Per Common Share</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On April 1, 2015, the Board of Directors approved a two-for-one stock split of the Company’s outstanding shares of common stock, effected in the form of a stock dividend. The stock dividend was paid to stockholders of record as of the close of market on April 20, 2015 and was effected on May 1, 2015. All share and per share information has been retroactively adjusted to reflect this stock split.</w:t>
      </w:r>
    </w:p>
    <w:p>
      <w:pPr>
        <w:spacing w:after="0" w:line="79"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stock options outstanding during the period. Approximately 466,000, 384,000 and 165,000 shares for the years ended January 31, 2018, 2017 and 2016, respectively, have been excluded from the diluted net income per share calculation. In addition, all share based payments outstanding that vest based on the achievement of performance and/or market price conditions, and for which the respective performance and/or market price conditions have not been achieved, have been excluded from the diluted per share calculation. The Company issued 201,968, 194,618 and 270,630 shares of common stock in connection with the exercise or vesting of equity awards during the years ended January 31, 2018, 2017 and 2016, respectively. In addition, the Company re-issued 270,083 and 291,181 treasury shares in connection with the vesting of equity awards in fiscal 2018 and fiscal 2017, respectively.</w:t>
      </w:r>
    </w:p>
    <w:p>
      <w:pPr>
        <w:spacing w:after="0" w:line="7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4"/>
              </w:rPr>
              <w:t>Year Ended January 31,</w:t>
            </w:r>
          </w:p>
        </w:tc>
      </w:tr>
      <w:tr>
        <w:trPr>
          <w:trHeight w:val="169"/>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(In thousands, except per share amounts)</w:t>
            </w:r>
          </w:p>
        </w:tc>
        <w:tc>
          <w:tcPr>
            <w:tcW w:w="20" w:type="dxa"/>
            <w:vAlign w:val="bottom"/>
          </w:tcPr>
          <w:p>
            <w:pPr>
              <w:spacing w:after="0"/>
              <w:rPr>
                <w:sz w:val="13"/>
                <w:szCs w:val="13"/>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87"/>
              </w:rPr>
              <w:t>62,124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0"/>
              </w:rPr>
              <w:t>51,938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114,333</w:t>
            </w:r>
          </w:p>
        </w:tc>
        <w:tc>
          <w:tcPr>
            <w:tcW w:w="20" w:type="dxa"/>
            <w:vAlign w:val="bottom"/>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Basic net income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common shares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48,820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46,308</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45,328</w:t>
            </w:r>
          </w:p>
        </w:tc>
        <w:tc>
          <w:tcPr>
            <w:tcW w:w="20" w:type="dxa"/>
            <w:vAlign w:val="bottom"/>
          </w:tcPr>
          <w:p>
            <w:pPr>
              <w:spacing w:after="0"/>
              <w:rPr>
                <w:sz w:val="18"/>
                <w:szCs w:val="18"/>
                <w:color w:val="auto"/>
              </w:rPr>
            </w:pPr>
          </w:p>
        </w:tc>
      </w:tr>
      <w:tr>
        <w:trPr>
          <w:trHeight w:val="250"/>
        </w:trPr>
        <w:tc>
          <w:tcPr>
            <w:tcW w:w="54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1"/>
                <w:szCs w:val="21"/>
                <w:color w:val="auto"/>
              </w:rPr>
            </w:pPr>
          </w:p>
        </w:tc>
      </w:tr>
      <w:tr>
        <w:trPr>
          <w:trHeight w:val="156"/>
        </w:trPr>
        <w:tc>
          <w:tcPr>
            <w:tcW w:w="54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Diluted net income per share:</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5460" w:type="dxa"/>
            <w:vAlign w:val="bottom"/>
          </w:tcPr>
          <w:p>
            <w:pPr>
              <w:ind w:left="180"/>
              <w:spacing w:after="0" w:line="202" w:lineRule="exact"/>
              <w:rPr>
                <w:sz w:val="20"/>
                <w:szCs w:val="20"/>
                <w:color w:val="auto"/>
              </w:rPr>
            </w:pPr>
            <w:r>
              <w:rPr>
                <w:rFonts w:ascii="Arial" w:cs="Arial" w:eastAsia="Arial" w:hAnsi="Arial"/>
                <w:sz w:val="18"/>
                <w:szCs w:val="18"/>
                <w:color w:val="auto"/>
              </w:rPr>
              <w:t>Basic common shares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87"/>
              </w:rPr>
              <w:t>48,820</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0"/>
              </w:rPr>
              <w:t>46,308</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45,328</w:t>
            </w:r>
          </w:p>
        </w:tc>
        <w:tc>
          <w:tcPr>
            <w:tcW w:w="20" w:type="dxa"/>
            <w:vAlign w:val="bottom"/>
          </w:tcPr>
          <w:p>
            <w:pPr>
              <w:spacing w:after="0"/>
              <w:rPr>
                <w:sz w:val="17"/>
                <w:szCs w:val="17"/>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and restricted stock unit awards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r>
      <w:tr>
        <w:trPr>
          <w:trHeight w:val="210"/>
        </w:trPr>
        <w:tc>
          <w:tcPr>
            <w:tcW w:w="54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Diluted common shares</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49,750</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47,394</w:t>
            </w:r>
          </w:p>
        </w:tc>
        <w:tc>
          <w:tcPr>
            <w:tcW w:w="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46,512</w:t>
            </w:r>
          </w:p>
        </w:tc>
        <w:tc>
          <w:tcPr>
            <w:tcW w:w="20" w:type="dxa"/>
            <w:vAlign w:val="bottom"/>
          </w:tcPr>
          <w:p>
            <w:pPr>
              <w:spacing w:after="0"/>
              <w:rPr>
                <w:sz w:val="18"/>
                <w:szCs w:val="18"/>
                <w:color w:val="auto"/>
              </w:rPr>
            </w:pPr>
          </w:p>
        </w:tc>
      </w:tr>
      <w:tr>
        <w:trPr>
          <w:trHeight w:val="223"/>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-179705</wp:posOffset>
            </wp:positionV>
            <wp:extent cx="260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-179705</wp:posOffset>
            </wp:positionV>
            <wp:extent cx="47339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4733925"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-325120</wp:posOffset>
            </wp:positionV>
            <wp:extent cx="26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-874395</wp:posOffset>
            </wp:positionV>
            <wp:extent cx="26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-1379855</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-1379855</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4"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11.  Equity Award Compensation</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ASC Topic 718, Compensation — Stock Compensation, requires all share-based payments to employees, including grants of restricted stock unit awards and employee stock options, to be recognized as compensation expense over the service period (generally the vesting period) based on their fair values.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8"/>
          <w:szCs w:val="18"/>
          <w:color w:val="auto"/>
        </w:rPr>
        <w:t>Effective on February 1, 2016, the Company elected to account for forfeited awards as they occur as permitted by Accounting Standard Update (“ASU”) 2016-09. Ultimately, the actual expense recognized over the vesting period will be for those shares that vested. Prior to making this election, the Company estimated a forfeiture rate for awards at 0%, as the Company did not have a significant history of forfeitures. Restricted stock unit awards generally vest over a three to five year period and certain awards also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All awards are expensed on a straight-line basis other than awards with market price performance and operating performance conditions, which are expensed under the requisite acceleration method.</w:t>
      </w:r>
    </w:p>
    <w:p>
      <w:pPr>
        <w:spacing w:after="0" w:line="8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It is the Company’s policy to grant stock options at prices not less than the fair market value on the date of the grant. Option terms, vesting and exercise periods vary, except that the term of an option may not exceed ten years.</w:t>
      </w:r>
    </w:p>
    <w:p>
      <w:pPr>
        <w:spacing w:after="0" w:line="73"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Also effective on February 1, 2016, in accordance with ASU 2016-09, excess tax benefits arising from the lapse or exercise of an equity award are no longer recognized in additional paid-in capital. The assumed proceeds from applying the treasury stock method when computing net income per share is amended to exclude the amount of excess tax benefits that would be recognized in additional paid-in capital. This change in accounting resulted in approximately 207,000 additional diluted common shares being included in the diluted net income per share calculation for the year ended January 31, 2017.</w:t>
      </w:r>
    </w:p>
    <w:p>
      <w:pPr>
        <w:spacing w:after="0" w:line="180"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12.  Cost of Goods Sold</w:t>
      </w:r>
    </w:p>
    <w:p>
      <w:pPr>
        <w:spacing w:after="0" w:line="104"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w:t>
      </w:r>
    </w:p>
    <w:p>
      <w:pPr>
        <w:spacing w:after="0" w:line="141"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13.  Shipping and Handling Costs</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$120.2 million, $99.1 million and $83.0 million for the years ended January 31, 2018, 2017 and 2016, respectively.</w:t>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14.  Advertising Costs</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$104.8 million, $89.5 million and $81.9 million for the years ended January 31, 2018, 2017 and 2016, respectively. Prepaid advertising, which represents advance payments to licensors for minimum guaranteed payments for advertising under the Company’s licensing agreements, was $9.7 million and $7.8 million at January 31, 2018 and 2017, respectively.</w:t>
      </w:r>
    </w:p>
    <w:p>
      <w:pPr>
        <w:spacing w:after="0" w:line="164"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15.  Use of Estimates</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73" w:lineRule="auto"/>
        <w:rPr>
          <w:sz w:val="20"/>
          <w:szCs w:val="20"/>
          <w:color w:val="auto"/>
        </w:rPr>
      </w:pPr>
      <w:r>
        <w:rPr>
          <w:rFonts w:ascii="Arial" w:cs="Arial" w:eastAsia="Arial" w:hAnsi="Arial"/>
          <w:sz w:val="17"/>
          <w:szCs w:val="17"/>
          <w:color w:val="auto"/>
        </w:rPr>
        <w:t>and best estimates. The Company continually evaluates its estimates, including those related to customer allowances and discounts, product returns, bad debts, inventories, and carrying values of intangible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65"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16.  Fair Value of Financial Instruments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85"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62"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6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2% note issued to LVMH Moet Hennessy Louis Vuitton Inc. (“LVMH”) in connection with the acquisition of DKI was issued at a discount of $40.0 million in accordance with ASC 820 — Fair Value Measurements.</w:t>
      </w:r>
    </w:p>
    <w:p>
      <w:pPr>
        <w:spacing w:after="0" w:line="73"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The annual calculation of contingent consideration that was recorded in the fiscal year ended January 31, 2016 in connection with the acquisition of Vilebrequin reflected current market conditions at that time.</w:t>
      </w:r>
    </w:p>
    <w:p>
      <w:pPr>
        <w:spacing w:after="0" w:line="3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fair values of both the promissory notes and the contingent consideration were considered Level 3 valuations in the fair value hierarchy.</w:t>
      </w:r>
    </w:p>
    <w:p>
      <w:pPr>
        <w:spacing w:after="0" w:line="157"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17.  Foreign Currency Translation</w:t>
      </w:r>
    </w:p>
    <w:p>
      <w:pPr>
        <w:spacing w:after="0" w:line="9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income (loss) within stockholders’ equity.</w:t>
      </w:r>
    </w:p>
    <w:p>
      <w:pPr>
        <w:spacing w:after="0" w:line="180"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18.  Effects of Recently Adopted and Issued Accounting Pronouncements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Recently Adopted Accounting Guidance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January 2017, the FASB issued ASU 2017-04, “Intangibles — Goodwill and Other (Topic 350):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Simplifying the Test for Goodwill Impairment.” The purpose of ASU 2017-04 is to simplify the subsequent</w:t>
      </w: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91" w:lineRule="auto"/>
        <w:rPr>
          <w:sz w:val="20"/>
          <w:szCs w:val="20"/>
          <w:color w:val="auto"/>
        </w:rPr>
      </w:pPr>
      <w:r>
        <w:rPr>
          <w:rFonts w:ascii="Arial" w:cs="Arial" w:eastAsia="Arial" w:hAnsi="Arial"/>
          <w:sz w:val="16"/>
          <w:szCs w:val="16"/>
          <w:color w:val="auto"/>
        </w:rPr>
        <w:t>measurement of goodwill by removing the second step of the two-step impairment test. The amendment should be applied on a prospective basis. ASU 2017-04 is effective for fiscal years beginning after December 15, 2019, including interim periods within that year. Early adoption is permitted for interim or annual goodwill impairment tests performed on testing dates after January 1, 2017. The Company adopted the provisions of ASU 2017-04 during the fourth quarter of fiscal 2018. As a result of this early adoption, the Company used a one-step approach to measure goodwill as of January 31, 2018 and recorded a $716,000 goodwill impairment charge related to the retail operations segment as a result of the performance of the retail operations segment.</w:t>
      </w:r>
    </w:p>
    <w:p>
      <w:pPr>
        <w:spacing w:after="0" w:line="59"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In July 2015, the FASB issued ASU 2015-11, “Simplifying the Measurement of Inventory (Topic 330)”,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The Company adopted the provisions of ASU 2015-11 during the first quarter of fiscal 2018. The adoption of ASU 2015-11 did not have a material impact on the Company’s consolidated financial statements.</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Accounting Guidance Issued Being Evaluated for Adoption</w:t>
      </w:r>
    </w:p>
    <w:p>
      <w:pPr>
        <w:spacing w:after="0" w:line="90"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in the TCJA (or portion thereof) is recorded. The amendments of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of ASU 2018-02 should be applied either in the period of adoption or retrospectively to each period (or periods) in which the effect of the change in the U.S. federal corporate income tax rate in the TCJA is recognized. The Company is currently assessing the impact that adopting ASU 2018-02 will have on its financial statements and footnote disclosures.</w:t>
      </w:r>
    </w:p>
    <w:p>
      <w:pPr>
        <w:spacing w:after="0" w:line="72"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ASU 2017-09 provides clarification on when modification accounting should be used for changes to the terms or conditions of a share-based payment award. ASU 2017-09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2017-09 are effective for reporting periods beginning after December 15, 2017. The adoption of ASU 2017-09 is not expected to have an impact on the Company’s consolidated financial statements.</w:t>
      </w:r>
    </w:p>
    <w:p>
      <w:pPr>
        <w:spacing w:after="0" w:line="7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The purpose of ASU 2017-01 is to clarify the definition of a business to assist entities with evaluating whether transactions should be accounted for as acquisitions (or disposals) of assets or businesses. ASU 2017-01 is effective for fiscal years beginning after December 15, 2017, including interim periods within that year. The amendments in ASU 2017-01 should be applied prospectively on or after the effective date. The Company does not expect ASU 2017-01 to have an impact on its consolidated financial statements.</w:t>
      </w:r>
    </w:p>
    <w:p>
      <w:pPr>
        <w:spacing w:after="0" w:line="81"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In October 2016, the FASB issued ASU 2016-16, “Income Taxes (Topic 740): Intra-Entity Transfers of Assets Other Than Inventory.” The update requires an entity to recognize the income tax consequences of</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71" w:lineRule="auto"/>
        <w:rPr>
          <w:sz w:val="20"/>
          <w:szCs w:val="20"/>
          <w:color w:val="auto"/>
        </w:rPr>
      </w:pPr>
      <w:r>
        <w:rPr>
          <w:rFonts w:ascii="Arial" w:cs="Arial" w:eastAsia="Arial" w:hAnsi="Arial"/>
          <w:sz w:val="17"/>
          <w:szCs w:val="17"/>
          <w:color w:val="auto"/>
        </w:rPr>
        <w:t>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does not expect ASU 2016-16 to have a material impact on its consolidated financial statements.</w:t>
      </w:r>
    </w:p>
    <w:p>
      <w:pPr>
        <w:spacing w:after="0" w:line="71"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which clarifies guidance with respect to the classification of eight specific cash flow issues. ASU 2016-15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2016-15 is effective for public business entities for fiscal years beginning after December 15, 2017, including interim periods within those fiscal years. Under the provision, entities must apply the guidance retrospectively to all periods presented but may apply it prospectively if retrospective application would be impracticable. The Company does not believe that adoption of ASU 2016-15 will have a material effect on its consolidated financial statements.</w:t>
      </w:r>
    </w:p>
    <w:p>
      <w:pPr>
        <w:spacing w:after="0" w:line="80"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In February 2016, the FASB issued ASU 2016-02, “Leases (Topic 842).” The primary difference between the current requirement under GAAP and ASU 2016-02 is the recognition of lease assets and lease liabilities by lessees for those leases classified as operating leases. The FASB has continued to clarify this guidance and most recently issued ASU 2017-13, “Amendments to SEC Paragraphs Pursuant to the Staff Announcement at the July 20, 2017 EITF Meeting and Rescission of Prior SEC Staff Announcements and Observer Comments.”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2016-02 may be adopted using a modified retrospective transition, and provides for certain practical expedients. Transactions will require application of the new guidance at the beginning of the earliest comparative period presented. The guidance is effective for public entities for fiscal years beginning after December 15, 2018, and interim periods within those fiscal years. Early adoption is permitted. The Company is currently assessing the potential impact of ASU 2016-02 on its consolidated financial statements. Given the Company’s significant number of leases, the Company expects this standard will result in a significant increase to its long-term assets and liabilities but does not expect it to have a material impact on its statements of operations. The Company is required to adopt the new standard in the first quarter of fiscal 2020 and does not expect to early adopt this new standard.</w:t>
      </w:r>
    </w:p>
    <w:p>
      <w:pPr>
        <w:spacing w:after="0" w:line="7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In January 2016, the FASB issued ASU 2016-01, “Financial Instruments — Overall (Subtopic 825-10):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 (iii) changes presentation and disclosure</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requirements and (iv) clarifies that an entity should evaluate the need for a valuation allowance on a deferred tax asset related to available-for-sale securities in combination with the entity’s other deferred tax assets. ASU 2016-01 is effective for fiscal years beginning after December 15, 2017, including interim periods within those fiscal years. Early application is permitted. The Company does not expect that the adoption of ASU 2016-01 will have a material impact on its consolidated financial statements.</w:t>
      </w:r>
    </w:p>
    <w:p>
      <w:pPr>
        <w:spacing w:after="0" w:line="80"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In May 2014, the FASB issued ASU 2014-09, “Revenue from Contracts with Customers (Topic 606).” This update will replace the existing revenue recognition guidance in GAAP and requires an entity to recognize the amount of revenue to which it expects to be entitled for the transfer of promised goods or services to customers. The FASB has continued to clarify this guidance and has issued ASU 2017-13, “Amendments to SEC Paragraphs Pursuant to the Staff Announcement at the July 20, 2017 EITF Meeting and Rescission of Prior SEC Staff Announcements and Observer Comments”; ASU 2016-08, “Principal versus Agent Considerations (Reporting Revenue Gross versus Net)”; ASU 2016-10, “Identifying Performance Obligations and Licensing”; ASU 2016-12, “Narrow-Scope Improvements and Practical Expedients”; and ASU 2016-20, “Technical Corrections and Improvements to Topic 606, Revenue from Contracts with Customers.” The amendments to ASU 2014-09 are intended to render more detailed implementation guidance with the expectation of reducing the degree of judgment necessary to comply with Topic 606. These new standards have the same effective date as ASU 2014-09 and will be effective for public entities for fiscal years beginning after December 15, 2017, and interim periods within those fiscal years.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has adopted the pronouncement using a modified retrospective approach. The Company performed an analysis of its current revenue streams worldwide and identified potential changes that will result from the adoption of the new guidance. The Company is implementing changes to its accounting processes and controls to support the new revenue recognition and disclosure requirements. The adoption of Topic 606 will primarily affect the wholesale operations segment in the timing of recognition of certain adjustments that were recorded in net sales. For example, the Company previously recorded markdowns and certain customer allowances when the liability was known or incurred. Under the new guidance, the Company will have to estimate a liability for future anticipated markdowns and allowances related to all shipments that have taken place. The Company will have reclassifications of certain operating expenses that are considered customer assistance, such as cooperative advertising, which aggregated $28.2 million in fiscal 2018 and were recorded in selling, general and administrative expenses, which will be recorded as an offset to net sales under the new guidance. The retail operations segment will not be materially impacted by the new guidance, as the Company’s retail stores do not currently offer significant loyalty programs to customers. Under the new standard, the transition adjustment as of February 1, 2018 to retained earnings is estimated to be between approximately $39 million and $45 million. This estimate may change as the Company finalizes its adoption of the new guidance.</w:t>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B — INVENTORIES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8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Inventory held on consignment by third parties totaled $3.3 million at January 31, 2018 and $2.8 million at January 31, 2017. The Company retains the title to its inventory stored at third party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C — PROPERTY AND EQUIPMENT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and equipment consist of:</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3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r>
      <w:tr>
        <w:trPr>
          <w:trHeight w:val="175"/>
        </w:trPr>
        <w:tc>
          <w:tcPr>
            <w:tcW w:w="3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 years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40" w:type="dxa"/>
            <w:vAlign w:val="bottom"/>
            <w:gridSpan w:val="3"/>
          </w:tcPr>
          <w:p>
            <w:pPr>
              <w:jc w:val="right"/>
              <w:ind w:right="340"/>
              <w:spacing w:after="0"/>
              <w:rPr>
                <w:sz w:val="20"/>
                <w:szCs w:val="20"/>
                <w:color w:val="auto"/>
              </w:rPr>
            </w:pPr>
            <w:r>
              <w:rPr>
                <w:rFonts w:ascii="Arial" w:cs="Arial" w:eastAsia="Arial" w:hAnsi="Arial"/>
                <w:sz w:val="18"/>
                <w:szCs w:val="18"/>
                <w:color w:val="auto"/>
              </w:rPr>
              <w:t>3 – 13 years</w:t>
            </w:r>
          </w:p>
        </w:tc>
        <w:tc>
          <w:tcPr>
            <w:tcW w:w="600" w:type="dxa"/>
            <w:vAlign w:val="bottom"/>
          </w:tcPr>
          <w:p>
            <w:pPr>
              <w:jc w:val="right"/>
              <w:spacing w:after="0"/>
              <w:rPr>
                <w:sz w:val="20"/>
                <w:szCs w:val="20"/>
                <w:color w:val="auto"/>
              </w:rPr>
            </w:pPr>
            <w:r>
              <w:rPr>
                <w:rFonts w:ascii="Arial" w:cs="Arial" w:eastAsia="Arial" w:hAnsi="Arial"/>
                <w:sz w:val="18"/>
                <w:szCs w:val="18"/>
                <w:color w:val="auto"/>
              </w:rPr>
              <w:t>77,091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82,658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 – 10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79,292</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340" w:type="dxa"/>
            <w:vAlign w:val="bottom"/>
            <w:gridSpan w:val="3"/>
          </w:tcPr>
          <w:p>
            <w:pPr>
              <w:jc w:val="right"/>
              <w:ind w:right="340"/>
              <w:spacing w:after="0"/>
              <w:rPr>
                <w:sz w:val="20"/>
                <w:szCs w:val="20"/>
                <w:color w:val="auto"/>
              </w:rPr>
            </w:pPr>
            <w:r>
              <w:rPr>
                <w:rFonts w:ascii="Arial" w:cs="Arial" w:eastAsia="Arial" w:hAnsi="Arial"/>
                <w:sz w:val="18"/>
                <w:szCs w:val="18"/>
                <w:color w:val="auto"/>
              </w:rPr>
              <w:t>2 – 5 years</w:t>
            </w:r>
          </w:p>
        </w:tc>
        <w:tc>
          <w:tcPr>
            <w:tcW w:w="600" w:type="dxa"/>
            <w:vAlign w:val="bottom"/>
          </w:tcPr>
          <w:p>
            <w:pPr>
              <w:jc w:val="right"/>
              <w:spacing w:after="0"/>
              <w:rPr>
                <w:sz w:val="20"/>
                <w:szCs w:val="20"/>
                <w:color w:val="auto"/>
              </w:rPr>
            </w:pPr>
            <w:r>
              <w:rPr>
                <w:rFonts w:ascii="Arial" w:cs="Arial" w:eastAsia="Arial" w:hAnsi="Arial"/>
                <w:sz w:val="18"/>
                <w:szCs w:val="18"/>
                <w:color w:val="auto"/>
              </w:rPr>
              <w:t>28,301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15,907</w:t>
            </w:r>
          </w:p>
        </w:tc>
      </w:tr>
      <w:tr>
        <w:trPr>
          <w:trHeight w:val="210"/>
        </w:trPr>
        <w:tc>
          <w:tcPr>
            <w:tcW w:w="36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195,654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179,233</w:t>
            </w:r>
          </w:p>
        </w:tc>
      </w:tr>
      <w:tr>
        <w:trPr>
          <w:trHeight w:val="243"/>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97,797</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76,662</w:t>
            </w:r>
          </w:p>
        </w:tc>
      </w:tr>
      <w:tr>
        <w:trPr>
          <w:trHeight w:val="237"/>
        </w:trPr>
        <w:tc>
          <w:tcPr>
            <w:tcW w:w="364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102,571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-187960</wp:posOffset>
            </wp:positionV>
            <wp:extent cx="43135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-488315</wp:posOffset>
            </wp:positionV>
            <wp:extent cx="43135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-1174115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Company wrote off fixed assets of $3.6 million and $3.2 million, net of accumulated depreciation, for the years ended January 31, 2018 and 2017. Depreciation expense was $32.8 million, $29.6 million and $23.0 million for the years ended January 31, 2018, 2017 and 2016, respectively. For the year ended January 31, 2018, the Company recorded (i) a $6.5 million impairment charge related to leasehold improvements and furniture and fixtures of certain Wilsons, G.H. Bass and Vilebrequin stores as a result of the performance of these stores and (ii) a $738,000 impairment charge with respect to furniture and fixtures located in certain customers’ stores. For the year ended January 31, 2017, the Company recorded a $10.5 million impairment charge on leasehold improvements and furniture and fixtures of certain of its Wilsons and G.H. Bass stores as a result of the performance of these stores.</w:t>
      </w:r>
    </w:p>
    <w:p>
      <w:pPr>
        <w:spacing w:after="0" w:line="74"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Company evaluates long-lived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to the asset’s estimated fair value. If the fair value is less than the carrying value, the Company recognizes an impairment charge. The carrying amount of the asset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D — ACQUISITIONS AND INTANGIBLES</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Acquisition of Donna Karan International Inc.</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December 1, 2016, G-III acquired all of the outstanding capital stock of DKI from LVMH, pursuant to a Stock Purchase Agreement (the “Purchase Agreement”), dated July 22, 2016, by and between the Company and LVMH, for a total purchase price, including adjustments, of $674.4 million.</w:t>
      </w:r>
    </w:p>
    <w:p>
      <w:pPr>
        <w:spacing w:after="0" w:line="7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DKI owns Donna Karan and DKNY, two of the world’s most iconic and recognizable power brands. DKI sells its products through department stores, specialty retailers and online retailers worldwide, as well as through company-owned retail stores, e-commerce sites and distribution agreements. The acquisition of DKI strengthens and diversifies the Company’s brand portfolio and offers additional opportunities to expand G-III’s business through the development of the DKNY and Donna Karan brands and product categories.</w:t>
      </w: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results of DKI have been included in the Company’s consolidated financial statements since the date of acquisition.</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Purchase price consideration</w:t>
      </w:r>
    </w:p>
    <w:p>
      <w:pPr>
        <w:spacing w:after="0" w:line="104"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purchase price, after taking into account certain adjustments, was paid by a combination of (i) cash, (ii) 2,608,877 newly issued shares of the Company’s common stock valued at $75.0 million and (iii) a note (the “LVMH Note”) issued to LVMH in the principal amount of $125.0 million. The cash portion of the purchase price was paid from the proceeds of a term loan facility and revolving credit facility. The purchase price has been revised to include adjustments in accordance with the Purchase Agreement.</w:t>
      </w:r>
    </w:p>
    <w:p>
      <w:pPr>
        <w:spacing w:after="0" w:line="64"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The total consideration paid for the acquisition of DKI is as follows (in thousands):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Initial Purchase Price</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$650,000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900" w:type="dxa"/>
            <w:vAlign w:val="bottom"/>
            <w:gridSpan w:val="2"/>
          </w:tcPr>
          <w:p>
            <w:pPr>
              <w:spacing w:after="0"/>
              <w:rPr>
                <w:sz w:val="20"/>
                <w:szCs w:val="20"/>
                <w:color w:val="auto"/>
              </w:rPr>
            </w:pPr>
            <w:r>
              <w:rPr>
                <w:rFonts w:ascii="Arial" w:cs="Arial" w:eastAsia="Arial" w:hAnsi="Arial"/>
                <w:sz w:val="18"/>
                <w:szCs w:val="18"/>
                <w:color w:val="auto"/>
              </w:rPr>
              <w:t>plus: 338(h)(10) tax election adjustment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38,100*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plus: aggregate adjustments to purchase price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26,278</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900" w:type="dxa"/>
            <w:vAlign w:val="bottom"/>
            <w:gridSpan w:val="2"/>
          </w:tcPr>
          <w:p>
            <w:pPr>
              <w:spacing w:after="0"/>
              <w:rPr>
                <w:sz w:val="20"/>
                <w:szCs w:val="20"/>
                <w:color w:val="auto"/>
              </w:rPr>
            </w:pPr>
            <w:r>
              <w:rPr>
                <w:rFonts w:ascii="Arial" w:cs="Arial" w:eastAsia="Arial" w:hAnsi="Arial"/>
                <w:sz w:val="18"/>
                <w:szCs w:val="18"/>
                <w:color w:val="auto"/>
              </w:rPr>
              <w:t>Minus: LVMH Note discount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674,378</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9828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3" w:lineRule="exact"/>
        <w:rPr>
          <w:sz w:val="20"/>
          <w:szCs w:val="20"/>
          <w:color w:val="auto"/>
        </w:rPr>
      </w:pPr>
    </w:p>
    <w:p>
      <w:pPr>
        <w:ind w:left="1620" w:right="4759" w:hanging="352"/>
        <w:spacing w:after="0" w:line="475"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Includes the final 338(h)(10) tax election adjustment. </w:t>
      </w:r>
      <w:r>
        <w:rPr>
          <w:rFonts w:ascii="Arial" w:cs="Arial" w:eastAsia="Arial" w:hAnsi="Arial"/>
          <w:sz w:val="16"/>
          <w:szCs w:val="16"/>
          <w:i w:val="1"/>
          <w:iCs w:val="1"/>
          <w:color w:val="auto"/>
        </w:rPr>
        <w:t>Allocation of the purchase price consideration</w:t>
      </w:r>
    </w:p>
    <w:p>
      <w:pPr>
        <w:spacing w:after="0" w:line="1"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date of acquisition:</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51"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60" w:type="dxa"/>
            <w:vAlign w:val="bottom"/>
            <w:shd w:val="clear" w:color="auto" w:fill="CCEEFF"/>
          </w:tcPr>
          <w:p>
            <w:pPr>
              <w:spacing w:after="0"/>
              <w:rPr>
                <w:sz w:val="23"/>
                <w:szCs w:val="23"/>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18,652</w:t>
            </w:r>
          </w:p>
        </w:tc>
        <w:tc>
          <w:tcPr>
            <w:tcW w:w="260" w:type="dxa"/>
            <w:vAlign w:val="bottom"/>
          </w:tcPr>
          <w:p>
            <w:pPr>
              <w:spacing w:after="0"/>
              <w:rPr>
                <w:sz w:val="23"/>
                <w:szCs w:val="23"/>
                <w:color w:val="auto"/>
              </w:rPr>
            </w:pPr>
          </w:p>
        </w:tc>
      </w:t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260" w:type="dxa"/>
            <w:vAlign w:val="bottom"/>
            <w:shd w:val="clear" w:color="auto" w:fill="CCEEFF"/>
          </w:tcPr>
          <w:p>
            <w:pPr>
              <w:spacing w:after="0"/>
              <w:rPr>
                <w:sz w:val="23"/>
                <w:szCs w:val="23"/>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Prepaid expenses &amp; other current assets</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22,907</w:t>
            </w:r>
          </w:p>
        </w:tc>
        <w:tc>
          <w:tcPr>
            <w:tcW w:w="260" w:type="dxa"/>
            <w:vAlign w:val="bottom"/>
          </w:tcPr>
          <w:p>
            <w:pPr>
              <w:spacing w:after="0"/>
              <w:rPr>
                <w:sz w:val="23"/>
                <w:szCs w:val="23"/>
                <w:color w:val="auto"/>
              </w:rPr>
            </w:pPr>
          </w:p>
        </w:tc>
      </w:t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260" w:type="dxa"/>
            <w:vAlign w:val="bottom"/>
            <w:shd w:val="clear" w:color="auto" w:fill="CCEEFF"/>
          </w:tcPr>
          <w:p>
            <w:pPr>
              <w:spacing w:after="0"/>
              <w:rPr>
                <w:sz w:val="23"/>
                <w:szCs w:val="23"/>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211,675</w:t>
            </w:r>
          </w:p>
        </w:tc>
        <w:tc>
          <w:tcPr>
            <w:tcW w:w="260" w:type="dxa"/>
            <w:vAlign w:val="bottom"/>
          </w:tcPr>
          <w:p>
            <w:pPr>
              <w:spacing w:after="0"/>
              <w:rPr>
                <w:sz w:val="23"/>
                <w:szCs w:val="23"/>
                <w:color w:val="auto"/>
              </w:rPr>
            </w:pPr>
          </w:p>
        </w:tc>
      </w:t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370,000</w:t>
            </w:r>
          </w:p>
        </w:tc>
        <w:tc>
          <w:tcPr>
            <w:tcW w:w="260" w:type="dxa"/>
            <w:vAlign w:val="bottom"/>
            <w:shd w:val="clear" w:color="auto" w:fill="CCEEFF"/>
          </w:tcPr>
          <w:p>
            <w:pPr>
              <w:spacing w:after="0"/>
              <w:rPr>
                <w:sz w:val="23"/>
                <w:szCs w:val="23"/>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Other intangibles</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3"/>
                <w:szCs w:val="23"/>
                <w:color w:val="auto"/>
              </w:rPr>
            </w:pPr>
          </w:p>
        </w:tc>
      </w:tr>
      <w:tr>
        <w:trPr>
          <w:trHeight w:val="277"/>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7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739,802</w:t>
            </w:r>
          </w:p>
        </w:tc>
        <w:tc>
          <w:tcPr>
            <w:tcW w:w="260" w:type="dxa"/>
            <w:vAlign w:val="bottom"/>
            <w:tcBorders>
              <w:bottom w:val="single" w:sz="8" w:color="CCEEFF"/>
            </w:tcBorders>
          </w:tcPr>
          <w:p>
            <w:pPr>
              <w:spacing w:after="0"/>
              <w:rPr>
                <w:sz w:val="24"/>
                <w:szCs w:val="24"/>
                <w:color w:val="auto"/>
              </w:rPr>
            </w:pPr>
          </w:p>
        </w:tc>
      </w:t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(21,096)</w:t>
            </w:r>
          </w:p>
        </w:tc>
      </w:tr>
      <w:tr>
        <w:trPr>
          <w:trHeight w:val="270"/>
        </w:trPr>
        <w:tc>
          <w:tcPr>
            <w:tcW w:w="6900" w:type="dxa"/>
            <w:vAlign w:val="bottom"/>
          </w:tcPr>
          <w:p>
            <w:pPr>
              <w:spacing w:after="0"/>
              <w:rPr>
                <w:sz w:val="20"/>
                <w:szCs w:val="20"/>
                <w:color w:val="auto"/>
              </w:rPr>
            </w:pPr>
            <w:r>
              <w:rPr>
                <w:rFonts w:ascii="Arial" w:cs="Arial" w:eastAsia="Arial" w:hAnsi="Arial"/>
                <w:sz w:val="18"/>
                <w:szCs w:val="18"/>
                <w:color w:val="auto"/>
              </w:rPr>
              <w:t>Accrued expense</w:t>
            </w:r>
          </w:p>
        </w:tc>
        <w:tc>
          <w:tcPr>
            <w:tcW w:w="1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(35,582)</w:t>
            </w:r>
          </w:p>
        </w:tc>
      </w:tr>
      <w:tr>
        <w:trPr>
          <w:trHeight w:val="27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(3,661)</w:t>
            </w:r>
          </w:p>
        </w:tc>
      </w:tr>
      <w:tr>
        <w:trPr>
          <w:trHeight w:val="277"/>
        </w:trPr>
        <w:tc>
          <w:tcPr>
            <w:tcW w:w="6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(5,085)</w:t>
            </w:r>
          </w:p>
        </w:tc>
      </w:tr>
      <w:tr>
        <w:trPr>
          <w:trHeight w:val="20"/>
        </w:trPr>
        <w:tc>
          <w:tcPr>
            <w:tcW w:w="6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7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(65,424)</w:t>
            </w:r>
          </w:p>
        </w:tc>
      </w:tr>
      <w:tr>
        <w:trPr>
          <w:trHeight w:val="270"/>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fair value of acquisition consideration (net of $40 million imputed debt discount)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674,378</w:t>
            </w:r>
          </w:p>
        </w:tc>
        <w:tc>
          <w:tcPr>
            <w:tcW w:w="260" w:type="dxa"/>
            <w:vAlign w:val="bottom"/>
            <w:tcBorders>
              <w:top w:val="single" w:sz="8" w:color="CCEEFF"/>
            </w:tcBorders>
          </w:tcPr>
          <w:p>
            <w:pPr>
              <w:spacing w:after="0"/>
              <w:rPr>
                <w:sz w:val="23"/>
                <w:szCs w:val="23"/>
                <w:color w:val="auto"/>
              </w:rPr>
            </w:pPr>
          </w:p>
        </w:tc>
      </w:tr>
      <w:tr>
        <w:trPr>
          <w:trHeight w:val="27"/>
        </w:trPr>
        <w:tc>
          <w:tcPr>
            <w:tcW w:w="6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-410845</wp:posOffset>
            </wp:positionV>
            <wp:extent cx="49828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-1114425</wp:posOffset>
            </wp:positionV>
            <wp:extent cx="49828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18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Under ASC 805 — Business Combinations, a company may adjust preliminary amounts recognized at the acquisition date to their subsequently determined final fair values during the measurement period. The measurement period is the period after the acquisition date during which the acquirer may adjust the</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balance sheet amounts recognized for a business combination (generally up to one year from the date of acquisition). During the year ended January 31, 2018, the Company reduced goodwill by $9.0 million, net due to certain adjustments related to unrecorded indemnification obligations from LVMH, asset reserves, fixed assets and the section 338(h)(10) tax election adjustment.</w:t>
      </w:r>
    </w:p>
    <w:p>
      <w:pPr>
        <w:spacing w:after="0" w:line="79"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Company recognized goodwill of $211.7 million in connection with the acquisition of DKI. Goodwill was assigned to the Company’s wholesale operations segment as the wholesale operations segment is expected to benefit from the synergies of the combination and from the future growth of DKI. Subsequent to the acquisition, DKI’s wholesale operations were integrated into G-III’s credit and collection operating system and both entities share several processes such as information technology, finance, logistics, human resources, sourcing and overseas quality control. The Company and LVMH have made an election under Internal Revenue Code Section 338(h)(10). Accordingly, the book and tax basis of the acquired domestic assets and liabilities are the same as of the purchase date and the goodwill is deductible for tax purposes over a 15-year period.</w:t>
      </w:r>
    </w:p>
    <w:p>
      <w:pPr>
        <w:spacing w:after="0" w:line="58"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these identifiable intangible assets were determined using the discounted cash flow method and the Company classifies these intangibles as Level 3 fair value measurements. The Company recorded other intangible assets of $410.0 million within the wholesale operations segment, which included customer relationships of $40.0 million (17-year life), as well as tradenames of $370.0 million, which have an indefinite life.</w:t>
      </w:r>
    </w:p>
    <w:p>
      <w:pPr>
        <w:spacing w:after="0" w:line="8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Company recognized $736,000 and $7.8 million of acquisition-related costs that were expensed in fiscal 2018 and fiscal 2017. These costs have been included in selling, general and administrative expenses in the Consolidated Statements of Income and Comprehensive Income.</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represents the reconciliation of the cash paid for the acquisition of DKI with the fair value of the acquisition consideration (in thousands):</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$ 674,378</w:t>
            </w:r>
          </w:p>
        </w:tc>
        <w:tc>
          <w:tcPr>
            <w:tcW w:w="60" w:type="dxa"/>
            <w:vAlign w:val="bottom"/>
          </w:tcPr>
          <w:p>
            <w:pPr>
              <w:spacing w:after="0"/>
              <w:rPr>
                <w:sz w:val="18"/>
                <w:szCs w:val="18"/>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i w:val="1"/>
                <w:iCs w:val="1"/>
                <w:color w:val="auto"/>
              </w:rPr>
              <w:t>Minus cash acquired and non-cash consideration</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acquired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6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Note issued to LVMH, net of discount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(85,000)</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338(h)(10) election tax election adjustment – paid in fiscal 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60" w:type="dxa"/>
            <w:vAlign w:val="bottom"/>
          </w:tcPr>
          <w:p>
            <w:pPr>
              <w:spacing w:after="0"/>
              <w:rPr>
                <w:sz w:val="22"/>
                <w:szCs w:val="22"/>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Common Stock issued to LVMH</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(75,000)</w:t>
            </w:r>
          </w:p>
        </w:tc>
      </w:tr>
      <w:tr>
        <w:trPr>
          <w:trHeight w:val="257"/>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disbursed for the acquisition of DKI as of January 31, 2018</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(465,403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2792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 balances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Intangible assets consist of:</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January 31,</w:t>
            </w:r>
          </w:p>
        </w:tc>
      </w:tr>
      <w:tr>
        <w:trPr>
          <w:trHeight w:val="169"/>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Life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r>
      <w:tr>
        <w:trPr>
          <w:trHeight w:val="156"/>
        </w:trPr>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720"/>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189"/>
        </w:trPr>
        <w:tc>
          <w:tcPr>
            <w:tcW w:w="20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Finite-lived intangible assets</w:t>
            </w:r>
          </w:p>
        </w:tc>
        <w:tc>
          <w:tcPr>
            <w:tcW w:w="170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196"/>
        </w:trPr>
        <w:tc>
          <w:tcPr>
            <w:tcW w:w="37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Licenses</w:t>
            </w:r>
          </w:p>
        </w:tc>
        <w:tc>
          <w:tcPr>
            <w:tcW w:w="220" w:type="dxa"/>
            <w:vAlign w:val="bottom"/>
          </w:tcPr>
          <w:p>
            <w:pPr>
              <w:spacing w:after="0"/>
              <w:rPr>
                <w:sz w:val="17"/>
                <w:szCs w:val="17"/>
                <w:color w:val="auto"/>
              </w:rPr>
            </w:pPr>
          </w:p>
        </w:tc>
        <w:tc>
          <w:tcPr>
            <w:tcW w:w="1340" w:type="dxa"/>
            <w:vAlign w:val="bottom"/>
            <w:gridSpan w:val="3"/>
          </w:tcPr>
          <w:p>
            <w:pPr>
              <w:jc w:val="right"/>
              <w:ind w:right="380"/>
              <w:spacing w:after="0" w:line="196" w:lineRule="exact"/>
              <w:rPr>
                <w:sz w:val="20"/>
                <w:szCs w:val="20"/>
                <w:color w:val="auto"/>
              </w:rPr>
            </w:pPr>
            <w:r>
              <w:rPr>
                <w:rFonts w:ascii="Arial" w:cs="Arial" w:eastAsia="Arial" w:hAnsi="Arial"/>
                <w:sz w:val="18"/>
                <w:szCs w:val="18"/>
                <w:color w:val="auto"/>
              </w:rPr>
              <w:t>14 years</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19,714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18,846</w:t>
            </w:r>
          </w:p>
        </w:tc>
      </w:tr>
      <w:tr>
        <w:trPr>
          <w:trHeight w:val="203"/>
        </w:trPr>
        <w:tc>
          <w:tcPr>
            <w:tcW w:w="37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4"/>
              </w:rPr>
              <w:t>8 – 12 years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2,194</w:t>
            </w:r>
          </w:p>
        </w:tc>
        <w:tc>
          <w:tcPr>
            <w:tcW w:w="220" w:type="dxa"/>
            <w:vAlign w:val="bottom"/>
            <w:shd w:val="clear" w:color="auto" w:fill="CCEEFF"/>
          </w:tcPr>
          <w:p>
            <w:pPr>
              <w:spacing w:after="0"/>
              <w:rPr>
                <w:sz w:val="17"/>
                <w:szCs w:val="17"/>
                <w:color w:val="auto"/>
              </w:rPr>
            </w:pPr>
          </w:p>
        </w:tc>
      </w:tr>
      <w:tr>
        <w:trPr>
          <w:trHeight w:val="203"/>
        </w:trPr>
        <w:tc>
          <w:tcPr>
            <w:tcW w:w="37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7"/>
                <w:szCs w:val="17"/>
                <w:color w:val="auto"/>
              </w:rPr>
            </w:pPr>
          </w:p>
        </w:tc>
        <w:tc>
          <w:tcPr>
            <w:tcW w:w="13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w w:val="86"/>
              </w:rPr>
              <w:t>15 – 17 years</w:t>
            </w:r>
          </w:p>
        </w:tc>
        <w:tc>
          <w:tcPr>
            <w:tcW w:w="100" w:type="dxa"/>
            <w:vAlign w:val="bottom"/>
          </w:tcPr>
          <w:p>
            <w:pPr>
              <w:spacing w:after="0"/>
              <w:rPr>
                <w:sz w:val="17"/>
                <w:szCs w:val="17"/>
                <w:color w:val="auto"/>
              </w:rPr>
            </w:pPr>
          </w:p>
        </w:tc>
        <w:tc>
          <w:tcPr>
            <w:tcW w:w="11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48,371</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48,071</w:t>
            </w:r>
          </w:p>
        </w:tc>
      </w:tr>
      <w:tr>
        <w:trPr>
          <w:trHeight w:val="216"/>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 – 10 years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196"/>
        </w:trPr>
        <w:tc>
          <w:tcPr>
            <w:tcW w:w="378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76,155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73,498</w:t>
            </w:r>
          </w:p>
        </w:tc>
        <w:tc>
          <w:tcPr>
            <w:tcW w:w="220" w:type="dxa"/>
            <w:vAlign w:val="bottom"/>
          </w:tcPr>
          <w:p>
            <w:pPr>
              <w:spacing w:after="0"/>
              <w:rPr>
                <w:sz w:val="17"/>
                <w:szCs w:val="17"/>
                <w:color w:val="auto"/>
              </w:rPr>
            </w:pPr>
          </w:p>
        </w:tc>
      </w:tr>
      <w:tr>
        <w:trPr>
          <w:trHeight w:val="216"/>
        </w:trPr>
        <w:tc>
          <w:tcPr>
            <w:tcW w:w="3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(29,750)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(24,940)</w:t>
            </w:r>
          </w:p>
        </w:tc>
      </w:tr>
      <w:tr>
        <w:trPr>
          <w:trHeight w:val="210"/>
        </w:trPr>
        <w:tc>
          <w:tcPr>
            <w:tcW w:w="3780" w:type="dxa"/>
            <w:vAlign w:val="bottom"/>
            <w:tcBorders>
              <w:top w:val="single" w:sz="8" w:color="CCEEFF"/>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46,405</w:t>
            </w:r>
          </w:p>
        </w:tc>
        <w:tc>
          <w:tcPr>
            <w:tcW w:w="5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48,558</w:t>
            </w:r>
          </w:p>
        </w:tc>
        <w:tc>
          <w:tcPr>
            <w:tcW w:w="220" w:type="dxa"/>
            <w:vAlign w:val="bottom"/>
            <w:tcBorders>
              <w:top w:val="single" w:sz="8" w:color="CCEEFF"/>
              <w:bottom w:val="single" w:sz="8" w:color="CCEEFF"/>
            </w:tcBorders>
          </w:tcPr>
          <w:p>
            <w:pPr>
              <w:spacing w:after="0"/>
              <w:rPr>
                <w:sz w:val="18"/>
                <w:szCs w:val="18"/>
                <w:color w:val="auto"/>
              </w:rPr>
            </w:pPr>
          </w:p>
        </w:tc>
      </w:tr>
      <w:tr>
        <w:trPr>
          <w:trHeight w:val="183"/>
        </w:trPr>
        <w:tc>
          <w:tcPr>
            <w:tcW w:w="23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Indefinite-lived intangible assets</w:t>
            </w:r>
          </w:p>
        </w:tc>
        <w:tc>
          <w:tcPr>
            <w:tcW w:w="1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r>
      <w:tr>
        <w:trPr>
          <w:trHeight w:val="196"/>
        </w:trPr>
        <w:tc>
          <w:tcPr>
            <w:tcW w:w="37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9"/>
              </w:rPr>
              <w:t>262,710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6"/>
              </w:rPr>
              <w:t>269,262</w:t>
            </w:r>
          </w:p>
        </w:tc>
        <w:tc>
          <w:tcPr>
            <w:tcW w:w="220" w:type="dxa"/>
            <w:vAlign w:val="bottom"/>
          </w:tcPr>
          <w:p>
            <w:pPr>
              <w:spacing w:after="0"/>
              <w:rPr>
                <w:sz w:val="17"/>
                <w:szCs w:val="17"/>
                <w:color w:val="auto"/>
              </w:rPr>
            </w:pPr>
          </w:p>
        </w:tc>
      </w:tr>
      <w:tr>
        <w:trPr>
          <w:trHeight w:val="216"/>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442,265</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435,414</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378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704,975</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704,676</w:t>
            </w:r>
          </w:p>
        </w:tc>
        <w:tc>
          <w:tcPr>
            <w:tcW w:w="220" w:type="dxa"/>
            <w:vAlign w:val="bottom"/>
            <w:tcBorders>
              <w:bottom w:val="single" w:sz="8" w:color="CCEEFF"/>
            </w:tcBorders>
          </w:tcPr>
          <w:p>
            <w:pPr>
              <w:spacing w:after="0"/>
              <w:rPr>
                <w:sz w:val="18"/>
                <w:szCs w:val="18"/>
                <w:color w:val="auto"/>
              </w:rPr>
            </w:pPr>
          </w:p>
        </w:tc>
      </w:tr>
      <w:tr>
        <w:trPr>
          <w:trHeight w:val="223"/>
        </w:trPr>
        <w:tc>
          <w:tcPr>
            <w:tcW w:w="37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751,380</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753,234</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-179705</wp:posOffset>
            </wp:positionV>
            <wp:extent cx="1289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-179705</wp:posOffset>
            </wp:positionV>
            <wp:extent cx="41852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4185285" cy="889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-728345</wp:posOffset>
            </wp:positionV>
            <wp:extent cx="1289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-728345</wp:posOffset>
            </wp:positionV>
            <wp:extent cx="41852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4185285"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-1911985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Amortization expense</w:t>
      </w:r>
    </w:p>
    <w:p>
      <w:pPr>
        <w:spacing w:after="0" w:line="104" w:lineRule="exact"/>
        <w:rPr>
          <w:sz w:val="20"/>
          <w:szCs w:val="20"/>
          <w:color w:val="auto"/>
        </w:rPr>
      </w:pPr>
    </w:p>
    <w:p>
      <w:pPr>
        <w:ind w:left="1260" w:right="1260" w:firstLine="360"/>
        <w:spacing w:after="0" w:line="277" w:lineRule="auto"/>
        <w:rPr>
          <w:sz w:val="20"/>
          <w:szCs w:val="20"/>
          <w:color w:val="auto"/>
        </w:rPr>
      </w:pPr>
      <w:r>
        <w:rPr>
          <w:rFonts w:ascii="Arial" w:cs="Arial" w:eastAsia="Arial" w:hAnsi="Arial"/>
          <w:sz w:val="18"/>
          <w:szCs w:val="18"/>
          <w:color w:val="auto"/>
        </w:rPr>
        <w:t>Amortization expense with respect to finite-lived intangibles amounted to $4.5 million, $2.5 million and $1.9 million for the years ended January 31, 2018, 2017 and 2016, respectively.</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estimated amortization expense with respect to intangibles for the next five years is as follows: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Year Ending January 31,</w:t>
            </w:r>
          </w:p>
        </w:tc>
        <w:tc>
          <w:tcPr>
            <w:tcW w:w="45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Amortization Expense</w:t>
            </w:r>
          </w:p>
        </w:tc>
      </w:tr>
      <w:tr>
        <w:trPr>
          <w:trHeight w:val="169"/>
        </w:trPr>
        <w:tc>
          <w:tcPr>
            <w:tcW w:w="15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93"/>
              </w:rPr>
              <w:t>4,453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center"/>
              <w:ind w:left="4430"/>
              <w:spacing w:after="0"/>
              <w:rPr>
                <w:sz w:val="20"/>
                <w:szCs w:val="20"/>
                <w:color w:val="auto"/>
              </w:rPr>
            </w:pPr>
            <w:r>
              <w:rPr>
                <w:rFonts w:ascii="Arial" w:cs="Arial" w:eastAsia="Arial" w:hAnsi="Arial"/>
                <w:sz w:val="18"/>
                <w:szCs w:val="18"/>
                <w:color w:val="auto"/>
                <w:w w:val="93"/>
              </w:rPr>
              <w:t>4,426</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93"/>
              </w:rPr>
              <w:t>3,903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2022</w:t>
            </w:r>
          </w:p>
        </w:tc>
        <w:tc>
          <w:tcPr>
            <w:tcW w:w="5940" w:type="dxa"/>
            <w:vAlign w:val="bottom"/>
            <w:gridSpan w:val="2"/>
          </w:tcPr>
          <w:p>
            <w:pPr>
              <w:jc w:val="center"/>
              <w:ind w:left="4430"/>
              <w:spacing w:after="0"/>
              <w:rPr>
                <w:sz w:val="20"/>
                <w:szCs w:val="20"/>
                <w:color w:val="auto"/>
              </w:rPr>
            </w:pPr>
            <w:r>
              <w:rPr>
                <w:rFonts w:ascii="Arial" w:cs="Arial" w:eastAsia="Arial" w:hAnsi="Arial"/>
                <w:sz w:val="18"/>
                <w:szCs w:val="18"/>
                <w:color w:val="auto"/>
                <w:w w:val="93"/>
              </w:rPr>
              <w:t>3,102</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940" w:type="dxa"/>
            <w:vAlign w:val="bottom"/>
            <w:gridSpan w:val="2"/>
            <w:shd w:val="clear" w:color="auto" w:fill="CCEEFF"/>
          </w:tcPr>
          <w:p>
            <w:pPr>
              <w:jc w:val="center"/>
              <w:ind w:left="4430"/>
              <w:spacing w:after="0"/>
              <w:rPr>
                <w:sz w:val="20"/>
                <w:szCs w:val="20"/>
                <w:color w:val="auto"/>
              </w:rPr>
            </w:pPr>
            <w:r>
              <w:rPr>
                <w:rFonts w:ascii="Arial" w:cs="Arial" w:eastAsia="Arial" w:hAnsi="Arial"/>
                <w:sz w:val="18"/>
                <w:szCs w:val="18"/>
                <w:color w:val="auto"/>
                <w:w w:val="93"/>
              </w:rPr>
              <w:t>3,057</w:t>
            </w:r>
          </w:p>
        </w:tc>
      </w:tr>
    </w:tbl>
    <w:p>
      <w:pPr>
        <w:spacing w:after="0" w:line="283" w:lineRule="exact"/>
        <w:rPr>
          <w:sz w:val="20"/>
          <w:szCs w:val="20"/>
          <w:color w:val="auto"/>
        </w:rPr>
      </w:pPr>
    </w:p>
    <w:p>
      <w:pPr>
        <w:ind w:left="1260" w:right="1260" w:firstLine="360"/>
        <w:spacing w:after="0" w:line="342" w:lineRule="auto"/>
        <w:rPr>
          <w:sz w:val="20"/>
          <w:szCs w:val="20"/>
          <w:color w:val="auto"/>
        </w:rPr>
      </w:pPr>
      <w:r>
        <w:rPr>
          <w:rFonts w:ascii="Arial" w:cs="Arial" w:eastAsia="Arial" w:hAnsi="Arial"/>
          <w:sz w:val="16"/>
          <w:szCs w:val="16"/>
          <w:color w:val="auto"/>
        </w:rPr>
        <w:t>Trademarks and customer relationships having finite lives are amortized over their estimated useful lives and measured for impairment when events or circumstances indicate that the carrying value may be impaired.</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Change in Goodwill</w:t>
      </w:r>
    </w:p>
    <w:p>
      <w:pPr>
        <w:spacing w:after="0" w:line="104"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Changes in the amounts of goodwill for each of the years ended January 31, 2018 and 2017 are summarized by reportable segment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Wholesale</w:t>
            </w:r>
          </w:p>
        </w:tc>
        <w:tc>
          <w:tcPr>
            <w:tcW w:w="1140" w:type="dxa"/>
            <w:vAlign w:val="bottom"/>
            <w:gridSpan w:val="5"/>
          </w:tcPr>
          <w:p>
            <w:pPr>
              <w:ind w:left="4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620" w:type="dxa"/>
            <w:vAlign w:val="bottom"/>
          </w:tcPr>
          <w:p>
            <w:pPr>
              <w:spacing w:after="0"/>
              <w:rPr>
                <w:sz w:val="16"/>
                <w:szCs w:val="16"/>
                <w:color w:val="auto"/>
              </w:rPr>
            </w:pPr>
          </w:p>
        </w:tc>
      </w:tr>
      <w:tr>
        <w:trPr>
          <w:trHeight w:val="169"/>
        </w:trPr>
        <w:tc>
          <w:tcPr>
            <w:tcW w:w="1620" w:type="dxa"/>
            <w:vAlign w:val="bottom"/>
          </w:tcPr>
          <w:p>
            <w:pPr>
              <w:spacing w:after="0"/>
              <w:rPr>
                <w:sz w:val="14"/>
                <w:szCs w:val="14"/>
                <w:color w:val="auto"/>
              </w:rPr>
            </w:pPr>
          </w:p>
        </w:tc>
        <w:tc>
          <w:tcPr>
            <w:tcW w:w="3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January 31, 2016</w:t>
            </w: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ind w:left="20"/>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48,721</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716</w:t>
            </w:r>
          </w:p>
        </w:tc>
        <w:tc>
          <w:tcPr>
            <w:tcW w:w="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220"/>
              <w:spacing w:after="0" w:line="170" w:lineRule="exact"/>
              <w:rPr>
                <w:sz w:val="20"/>
                <w:szCs w:val="20"/>
                <w:color w:val="auto"/>
              </w:rPr>
            </w:pPr>
            <w:r>
              <w:rPr>
                <w:rFonts w:ascii="Arial" w:cs="Arial" w:eastAsia="Arial" w:hAnsi="Arial"/>
                <w:sz w:val="18"/>
                <w:szCs w:val="18"/>
                <w:color w:val="auto"/>
              </w:rPr>
              <w:t>49,437</w:t>
            </w:r>
          </w:p>
        </w:tc>
        <w:tc>
          <w:tcPr>
            <w:tcW w:w="1620" w:type="dxa"/>
            <w:vAlign w:val="bottom"/>
          </w:tcPr>
          <w:p>
            <w:pPr>
              <w:spacing w:after="0"/>
              <w:rPr>
                <w:sz w:val="14"/>
                <w:szCs w:val="14"/>
                <w:color w:val="auto"/>
              </w:rPr>
            </w:pPr>
          </w:p>
        </w:tc>
      </w:tr>
      <w:tr>
        <w:trPr>
          <w:trHeight w:val="203"/>
        </w:trPr>
        <w:tc>
          <w:tcPr>
            <w:tcW w:w="16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DKI acquisition</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6"/>
              </w:rPr>
              <w:t>220,649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6"/>
              </w:rPr>
              <w:t>220,649</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1620" w:type="dxa"/>
            <w:vAlign w:val="bottom"/>
          </w:tcPr>
          <w:p>
            <w:pPr>
              <w:spacing w:after="0"/>
              <w:rPr>
                <w:sz w:val="18"/>
                <w:szCs w:val="18"/>
                <w:color w:val="auto"/>
              </w:rPr>
            </w:pPr>
          </w:p>
        </w:tc>
      </w:tr>
      <w:tr>
        <w:trPr>
          <w:trHeight w:val="169"/>
        </w:trPr>
        <w:tc>
          <w:tcPr>
            <w:tcW w:w="1620" w:type="dxa"/>
            <w:vAlign w:val="bottom"/>
          </w:tcPr>
          <w:p>
            <w:pPr>
              <w:spacing w:after="0"/>
              <w:rPr>
                <w:sz w:val="14"/>
                <w:szCs w:val="14"/>
                <w:color w:val="auto"/>
              </w:rPr>
            </w:pPr>
          </w:p>
        </w:tc>
        <w:tc>
          <w:tcPr>
            <w:tcW w:w="3020" w:type="dxa"/>
            <w:vAlign w:val="bottom"/>
            <w:tcBorders>
              <w:top w:val="single" w:sz="8" w:color="CCEEFF"/>
            </w:tcBorders>
          </w:tcPr>
          <w:p>
            <w:pPr>
              <w:spacing w:after="0" w:line="170" w:lineRule="exact"/>
              <w:rPr>
                <w:sz w:val="20"/>
                <w:szCs w:val="20"/>
                <w:color w:val="auto"/>
              </w:rPr>
            </w:pPr>
            <w:r>
              <w:rPr>
                <w:rFonts w:ascii="Arial" w:cs="Arial" w:eastAsia="Arial" w:hAnsi="Arial"/>
                <w:sz w:val="18"/>
                <w:szCs w:val="18"/>
                <w:color w:val="auto"/>
              </w:rPr>
              <w:t>January 31, 2017</w:t>
            </w:r>
          </w:p>
        </w:tc>
        <w:tc>
          <w:tcPr>
            <w:tcW w:w="1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268,546</w:t>
            </w: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716</w:t>
            </w:r>
          </w:p>
        </w:tc>
        <w:tc>
          <w:tcPr>
            <w:tcW w:w="2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269,262</w:t>
            </w:r>
          </w:p>
        </w:tc>
        <w:tc>
          <w:tcPr>
            <w:tcW w:w="220" w:type="dxa"/>
            <w:vAlign w:val="bottom"/>
            <w:tcBorders>
              <w:top w:val="single" w:sz="8" w:color="CCEEFF"/>
            </w:tcBorders>
          </w:tcPr>
          <w:p>
            <w:pPr>
              <w:spacing w:after="0"/>
              <w:rPr>
                <w:sz w:val="14"/>
                <w:szCs w:val="14"/>
                <w:color w:val="auto"/>
              </w:rPr>
            </w:pPr>
          </w:p>
        </w:tc>
        <w:tc>
          <w:tcPr>
            <w:tcW w:w="1620" w:type="dxa"/>
            <w:vAlign w:val="bottom"/>
          </w:tcPr>
          <w:p>
            <w:pPr>
              <w:spacing w:after="0"/>
              <w:rPr>
                <w:sz w:val="14"/>
                <w:szCs w:val="14"/>
                <w:color w:val="auto"/>
              </w:rPr>
            </w:pPr>
          </w:p>
        </w:tc>
      </w:tr>
      <w:tr>
        <w:trPr>
          <w:trHeight w:val="203"/>
        </w:trPr>
        <w:tc>
          <w:tcPr>
            <w:tcW w:w="16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acquired goodwill</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(8,973)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(8,973)</w:t>
            </w:r>
          </w:p>
        </w:tc>
        <w:tc>
          <w:tcPr>
            <w:tcW w:w="162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Goodwill impairment</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0"/>
              </w:rPr>
              <w:t>(716)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(716)</w:t>
            </w:r>
          </w:p>
        </w:tc>
        <w:tc>
          <w:tcPr>
            <w:tcW w:w="162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2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196"/>
        </w:trPr>
        <w:tc>
          <w:tcPr>
            <w:tcW w:w="1620" w:type="dxa"/>
            <w:vAlign w:val="bottom"/>
          </w:tcPr>
          <w:p>
            <w:pPr>
              <w:spacing w:after="0"/>
              <w:rPr>
                <w:sz w:val="17"/>
                <w:szCs w:val="17"/>
                <w:color w:val="auto"/>
              </w:rPr>
            </w:pPr>
          </w:p>
        </w:tc>
        <w:tc>
          <w:tcPr>
            <w:tcW w:w="30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January 31, 2018</w:t>
            </w:r>
          </w:p>
        </w:tc>
        <w:tc>
          <w:tcPr>
            <w:tcW w:w="1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262,710</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262,710</w:t>
            </w:r>
          </w:p>
        </w:tc>
        <w:tc>
          <w:tcPr>
            <w:tcW w:w="220" w:type="dxa"/>
            <w:vAlign w:val="bottom"/>
            <w:tcBorders>
              <w:top w:val="single" w:sz="8" w:color="CCEEFF"/>
            </w:tcBorders>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34"/>
        </w:trPr>
        <w:tc>
          <w:tcPr>
            <w:tcW w:w="1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60" w:type="dxa"/>
            <w:vAlign w:val="bottom"/>
            <w:gridSpan w:val="3"/>
          </w:tcPr>
          <w:p>
            <w:pPr>
              <w:ind w:left="560"/>
              <w:spacing w:after="0"/>
              <w:rPr>
                <w:sz w:val="20"/>
                <w:szCs w:val="20"/>
                <w:color w:val="auto"/>
              </w:rPr>
            </w:pPr>
            <w:r>
              <w:rPr>
                <w:rFonts w:ascii="Arial" w:cs="Arial" w:eastAsia="Arial" w:hAnsi="Arial"/>
                <w:sz w:val="18"/>
                <w:szCs w:val="18"/>
                <w:color w:val="auto"/>
              </w:rPr>
              <w:t>F-19</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-1671955</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-1671955</wp:posOffset>
            </wp:positionV>
            <wp:extent cx="32848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1" w:name="page92"/>
    <w:bookmarkEnd w:id="9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the test in the fourth fiscal quarter of each year using a combination of a discounted cash flow analysis and a market approach. The discounted cash flow approach requires that certain assumptions and estimates be made regarding industry economic factors and future profitability. The market approach estimates the fair value based on comparisons with the market values and market multiples of earnings and revenues of similar public companies.</w:t>
      </w:r>
    </w:p>
    <w:p>
      <w:pPr>
        <w:spacing w:after="0" w:line="7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fiscal 2018, the Company reduced goodwill recorded in connection with the acquisition of DKI by $9.0 million due to certain adjustments related to unrecorded indemnification obligations from LVMH, asset reserves, fixed assets and the section 338(h)(10) tax election adjustment. The Company also wrote off the goodwill associated with the retail operations segment of $716,000 as a result of the retail operations segment performance.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E — NOTES PAYABLE AND OTHER LIABILITIES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Accrued expenses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Accrued expenses consist of the following:</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2"/>
              </w:rPr>
              <w:t>January 31, 2018</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January 31, 2017</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11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$36,137</w:t>
            </w:r>
          </w:p>
        </w:tc>
        <w:tc>
          <w:tcPr>
            <w:tcW w:w="30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$25,543</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480" w:type="dxa"/>
            <w:vAlign w:val="bottom"/>
            <w:gridSpan w:val="4"/>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58,918</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69,732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4"/>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95,055</w:t>
            </w:r>
          </w:p>
        </w:tc>
        <w:tc>
          <w:tcPr>
            <w:tcW w:w="30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95,275</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49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0" w:type="dxa"/>
            <w:vAlign w:val="bottom"/>
            <w:vMerge w:val="continue"/>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gridSpan w:val="3"/>
          </w:tcPr>
          <w:p>
            <w:pPr>
              <w:ind w:left="360"/>
              <w:spacing w:after="0"/>
              <w:rPr>
                <w:sz w:val="20"/>
                <w:szCs w:val="20"/>
                <w:color w:val="auto"/>
              </w:rPr>
            </w:pPr>
            <w:r>
              <w:rPr>
                <w:rFonts w:ascii="Arial" w:cs="Arial" w:eastAsia="Arial" w:hAnsi="Arial"/>
                <w:sz w:val="18"/>
                <w:szCs w:val="18"/>
                <w:color w:val="auto"/>
              </w:rPr>
              <w:t>Long-term debt consists of the following:</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2"/>
              </w:rPr>
              <w:t>January 31, 2018</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January 31, 2017</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11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80" w:type="dxa"/>
            <w:vAlign w:val="bottom"/>
            <w:gridSpan w:val="3"/>
          </w:tcPr>
          <w:p>
            <w:pPr>
              <w:ind w:left="360"/>
              <w:spacing w:after="0"/>
              <w:rPr>
                <w:sz w:val="20"/>
                <w:szCs w:val="20"/>
                <w:color w:val="auto"/>
              </w:rPr>
            </w:pPr>
            <w:r>
              <w:rPr>
                <w:rFonts w:ascii="Arial" w:cs="Arial" w:eastAsia="Arial" w:hAnsi="Arial"/>
                <w:sz w:val="18"/>
                <w:szCs w:val="18"/>
                <w:color w:val="auto"/>
              </w:rPr>
              <w:t>New revolving credit facility</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12,003</w:t>
            </w:r>
          </w:p>
        </w:tc>
        <w:tc>
          <w:tcPr>
            <w:tcW w:w="3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91,121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400" w:type="dxa"/>
            <w:vAlign w:val="bottom"/>
            <w:tcBorders>
              <w:bottom w:val="single" w:sz="8" w:color="CCEEFF"/>
            </w:tcBorders>
            <w:gridSpan w:val="3"/>
            <w:shd w:val="clear" w:color="auto" w:fill="CCEEFF"/>
          </w:tcPr>
          <w:p>
            <w:pPr>
              <w:spacing w:after="0"/>
              <w:rPr>
                <w:sz w:val="22"/>
                <w:szCs w:val="22"/>
                <w:color w:val="auto"/>
              </w:rPr>
            </w:pPr>
          </w:p>
        </w:tc>
        <w:tc>
          <w:tcPr>
            <w:tcW w:w="7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Subtotal</w:t>
            </w:r>
          </w:p>
        </w:tc>
        <w:tc>
          <w:tcPr>
            <w:tcW w:w="400" w:type="dxa"/>
            <w:vAlign w:val="bottom"/>
            <w:tcBorders>
              <w:bottom w:val="single" w:sz="8" w:color="CCEEFF"/>
            </w:tcBorders>
            <w:gridSpan w:val="3"/>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437,003</w:t>
            </w:r>
          </w:p>
        </w:tc>
        <w:tc>
          <w:tcPr>
            <w:tcW w:w="3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516,121</w:t>
            </w: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9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Less: Net debt issuance costs</w:t>
            </w:r>
            <w:r>
              <w:rPr>
                <w:rFonts w:ascii="Arial" w:cs="Arial" w:eastAsia="Arial" w:hAnsi="Arial"/>
                <w:sz w:val="27"/>
                <w:szCs w:val="27"/>
                <w:color w:val="auto"/>
                <w:vertAlign w:val="superscript"/>
              </w:rPr>
              <w:t>(1)</w:t>
            </w:r>
          </w:p>
        </w:tc>
        <w:tc>
          <w:tcPr>
            <w:tcW w:w="14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(12,626)</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920" w:type="dxa"/>
            <w:vAlign w:val="bottom"/>
            <w:gridSpan w:val="2"/>
          </w:tcPr>
          <w:p>
            <w:pPr>
              <w:ind w:left="440"/>
              <w:spacing w:after="0"/>
              <w:rPr>
                <w:sz w:val="20"/>
                <w:szCs w:val="20"/>
                <w:color w:val="auto"/>
              </w:rPr>
            </w:pPr>
            <w:r>
              <w:rPr>
                <w:rFonts w:ascii="Arial" w:cs="Arial" w:eastAsia="Arial" w:hAnsi="Arial"/>
                <w:sz w:val="18"/>
                <w:szCs w:val="18"/>
                <w:color w:val="auto"/>
              </w:rPr>
              <w:t>Debt discount</w:t>
            </w:r>
          </w:p>
        </w:tc>
        <w:tc>
          <w:tcPr>
            <w:tcW w:w="400" w:type="dxa"/>
            <w:vAlign w:val="bottom"/>
            <w:gridSpan w:val="3"/>
          </w:tcPr>
          <w:p>
            <w:pPr>
              <w:spacing w:after="0"/>
              <w:rPr>
                <w:sz w:val="22"/>
                <w:szCs w:val="2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(33,333)</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(39,048)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3"/>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391,044</w:t>
            </w:r>
          </w:p>
        </w:tc>
        <w:tc>
          <w:tcPr>
            <w:tcW w:w="30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461,756</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-2503805</wp:posOffset>
            </wp:positionV>
            <wp:extent cx="47510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-2966720</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-376555</wp:posOffset>
            </wp:positionV>
            <wp:extent cx="1200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-376555</wp:posOffset>
            </wp:positionV>
            <wp:extent cx="41935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0">
                      <a:extLst>
                        <a:ext uri="{28A0092B-C50C-407E-A947-70E740481C1C}"/>
                      </a:extLst>
                    </a:blip>
                    <a:srcRect/>
                    <a:stretch>
                      <a:fillRect/>
                    </a:stretch>
                  </pic:blipFill>
                  <pic:spPr bwMode="auto">
                    <a:xfrm>
                      <a:off x="0" y="0"/>
                      <a:ext cx="419354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-728345</wp:posOffset>
            </wp:positionV>
            <wp:extent cx="120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-728345</wp:posOffset>
            </wp:positionV>
            <wp:extent cx="41935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2">
                      <a:extLst>
                        <a:ext uri="{28A0092B-C50C-407E-A947-70E740481C1C}"/>
                      </a:extLst>
                    </a:blip>
                    <a:srcRect/>
                    <a:stretch>
                      <a:fillRect/>
                    </a:stretch>
                  </pic:blipFill>
                  <pic:spPr bwMode="auto">
                    <a:xfrm>
                      <a:off x="0" y="0"/>
                      <a:ext cx="419354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-1534160</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jc w:val="both"/>
        <w:ind w:left="1620" w:right="759" w:hanging="352"/>
        <w:spacing w:after="0" w:line="259"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Does not include the debt issuance costs, net of amortization, totaling $9.5 million and $11.9 million as of January 31, 2018 and January 31, 2017, respectively, related to the new revolving credit facility. The debt issuance costs have been deferred and are classified in prepaid expense in the accompanying Consolidated Balance Sheets as required under ASU 2015-15.</w:t>
      </w:r>
    </w:p>
    <w:p>
      <w:pPr>
        <w:spacing w:after="0" w:line="2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Term Loan</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connection with the acquisition of DKI, the Company borrowed $350.0 million under a senior secured term loan facility (the “Term Loan”). The Term Loan will mature in December 2022. The Term Loan was subject to amortization payments of 0.625% of the original aggregate principal amount of the Term Loan per quarter, with the balance due at maturity. On December 1, 2016, the Company prepaid $50.0 million in principal amount of the Term Loan. This prepayment relieved the Company of its obligation to make quarterly amortization payments for the remainder of the Term Loan.</w:t>
      </w:r>
    </w:p>
    <w:p>
      <w:pPr>
        <w:spacing w:after="0" w:line="85"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Interest on the outstanding principal amount of the Term Loan accrues at a rate equal to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w:t>
      </w:r>
    </w:p>
    <w:p>
      <w:pPr>
        <w:spacing w:after="0" w:line="46"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Term Loan is secured (i) on a first-priority basis by a lien on the Company’s real estate assets, equipment and fixtures, equity interests and intellectual property and certain related rights owned by the Company and by certain of the Company’s subsidiaries and (ii) by a second-priority security interest in other assets of the Company and certain of its subsidiaries, which secure on a first-priority basis the Company’s asset-based loan facility described below under the caption “New Revolving Credit Facility”.</w:t>
      </w:r>
    </w:p>
    <w:p>
      <w:pPr>
        <w:spacing w:after="0" w:line="6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January 31, 2018, the Company was in compliance with these covenants.</w:t>
      </w:r>
    </w:p>
    <w:p>
      <w:pPr>
        <w:spacing w:after="0" w:line="50"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The Term Loan may be prepaid, at the option of the Company, in whole or in part, at any time at par plus accrued interest, and, in the case of prepayments from the proceeds of certain refinancings prior to December 1, 2017, subject to a 1% prepayment fee. The Term Loan is required to be prepaid with the proceeds of certain asset sales if such proceeds are not applied as required by the Term Loan within certain specified deadlines. The Term Loan is also required to be prepaid in an amount equal to 75% of the “Excess Cash Flow” (as defined in the Term Loan) of the Company with respect to each fiscal year ending on or after January 31, 2018. The percentage of Excess Cash Flow that must be so applied is reduced to 50% if the Company’s senior secured leverage ratio is less than 3.00 to 1.00, to 25% if the Company’s senior secured leverage ratio is less than 2.75 to 1.00 and to 0% if the Company’s senior secured leverage ratio is less than 2.25 to 1.00. As of January 31, 2018, the Company was not required to make a mandatory prepayment provision on excess cash flow as defined within the Term Loan.</w:t>
      </w:r>
    </w:p>
    <w:p>
      <w:pPr>
        <w:spacing w:after="0" w:line="6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Company also incurred debt issuance costs totaling $18.3 million related to the Term Loan, of which $2.6 million have been expensed in connection with the $50 million prepayment. In accordance with ASU 2015-15, the debt issuance costs have been deferred and are presented as a contra-liability, offsetting the outstanding balance of the Term Loan, and are amortized using the effective interest method over the remaining life of the Term Loan.</w:t>
      </w:r>
    </w:p>
    <w:p>
      <w:pPr>
        <w:spacing w:after="0" w:line="8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weighted average interest rate for amounts borrowed under the Term Loan was 6.55% for the year ended January 31, 2018. A 0.25% change in the interest rates applied to the Term Loan would change annual interest expense under the Term Loan by $750,000.</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New Revolving Credit Facility</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Upon closing of the acquisition of DKI, the Company’s prior credit agreement (the “prior revolving credit facility”) was refinanced and replaced by a $650 million amended and restated credit agreement (the “new revolving credit facility”). Amounts available under the new revolving credit facility are subject to</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70" w:lineRule="auto"/>
        <w:rPr>
          <w:sz w:val="20"/>
          <w:szCs w:val="20"/>
          <w:color w:val="auto"/>
        </w:rPr>
      </w:pPr>
      <w:r>
        <w:rPr>
          <w:rFonts w:ascii="Arial" w:cs="Arial" w:eastAsia="Arial" w:hAnsi="Arial"/>
          <w:sz w:val="17"/>
          <w:szCs w:val="17"/>
          <w:color w:val="auto"/>
        </w:rPr>
        <w:t>borrowing base formulas and over advances as specified in the new revolving credit facility agreement. Borrowings bear interest, at the Company’s option, at LIBOR plus a margin of 1.25% to 1.75% or an alternate base rate (defined as the greatest of (i) the “prime rate” of JPMorgan Chase Bank, N.A. from time to time, (ii) the federal funds rate plus 0.5% or (iii) the LIBOR rate for a borrowing with an interest period of one month) plus a margin of 0.25% to 0.75%, with the applicable margin determined based on the availability under the new revolving credit facility agreement. The new revolving credit facility has a five-year term ending December 1, 2021. In addition to paying interest on any outstanding borrowings under the new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56"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Company also incurred debt issuance costs totaling $12.4 million related to the new revolving credit facility. As permitted under ASU 2015-15, the debt issuance costs have been deferred and are presented as an asset, which is subsequently amortized ratably over the term of the new revolving credit facility.</w:t>
      </w:r>
    </w:p>
    <w:p>
      <w:pPr>
        <w:spacing w:after="0" w:line="4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new revolving credit facility is secured by specified assets of the Company and certain of its subsidiaries.</w:t>
      </w:r>
    </w:p>
    <w:p>
      <w:pPr>
        <w:spacing w:after="0" w:line="4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new revolving credit facility contains a number of covenants that, among other things, restrict the Company’s ability, subject to specified exceptions, to incur additional debt; incur liens; sell or dispose of assets; merge with other companies; liquidate or dissolve itself; acquire other companies; make loans, advances, or guarantees; and make certain investments. In certain circumstances, the new revolving credit facility also requires G-III to maintain a minimum fixed charge coverage ratio, as defined, that should not exceed 1.00 to 1.00 for each period of twelve consecutive fiscal months of holdings. As of January 31, 2018, the Company was in compliance with these covenants.</w:t>
      </w:r>
    </w:p>
    <w:p>
      <w:pPr>
        <w:spacing w:after="0" w:line="5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As of January 31, 2018, interest under the new revolving credit facility was being charged at the weighted average rate of 2.33% per annum. The new revolving credit facility also includes amounts available for letters of credit. As of January 31, 2018, the Company had $12.0 million of borrowings outstanding under the new revolving credit facility, all of which are classified as long-term liabilities. As of January 31, 2018, there were outstanding trade and standby letters of credit amounting to $3.4 million and $3.0 million, respectively.</w:t>
      </w: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LVMH Note</w:t>
      </w:r>
    </w:p>
    <w:p>
      <w:pPr>
        <w:spacing w:after="0" w:line="7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As a portion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pacing w:after="0" w:line="50"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In connection with the issuance of the LVMH Note, LVMH entered into (i) a subordination agreement with Barclays Bank PLC, as administrative agent for the lenders party to the Term Loan and collateral agent for the Senior Secured Parties thereunder and JPMorgan Chase Bank, N.A., as administrative agent for the lenders and other Senior Secured Parties under the new revolving credit facility, providing that the Company’s obligations under the LVMH Note are subordinate and junior to the Company’s obligations under the new revolving credit facility and the Term Loan, and (ii) a pledge and security agreement with the Company and its subsidiary, G-III Leather Fashions, Inc., pursuant to which the Company and G-III Leather Fashions, Inc. granted to LVMH a security interest in specified collateral to secure the Company’s payment and performance of the Company’s obligations under the LVMH Note that is subordinate and junior to the security interest granted by the Company with respect to the Company’s obligations under the new revolving credit facility agreement and Term Loan.</w:t>
      </w:r>
    </w:p>
    <w:p>
      <w:pPr>
        <w:spacing w:after="0" w:line="3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ASC 820 — Fair Value Measurements requires the note to be recorded at fair value. As a result, the Company recorded a $40.0 million debt discount. This discount is being amortized as interest expense using the effective interest method over the term of the LVMH Note.</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Prior Revolving Credit Facility</w:t>
      </w:r>
    </w:p>
    <w:p>
      <w:pPr>
        <w:spacing w:after="0" w:line="104" w:lineRule="exact"/>
        <w:rPr>
          <w:sz w:val="20"/>
          <w:szCs w:val="20"/>
          <w:color w:val="auto"/>
        </w:rPr>
      </w:pPr>
    </w:p>
    <w:p>
      <w:pPr>
        <w:jc w:val="both"/>
        <w:ind w:left="1260" w:right="1260" w:firstLine="360"/>
        <w:spacing w:after="0" w:line="273" w:lineRule="auto"/>
        <w:rPr>
          <w:sz w:val="20"/>
          <w:szCs w:val="20"/>
          <w:color w:val="auto"/>
        </w:rPr>
      </w:pPr>
      <w:r>
        <w:rPr>
          <w:rFonts w:ascii="Arial" w:cs="Arial" w:eastAsia="Arial" w:hAnsi="Arial"/>
          <w:sz w:val="17"/>
          <w:szCs w:val="17"/>
          <w:color w:val="auto"/>
        </w:rPr>
        <w:t>Prior to the acquisition of DKI, the prior revolving credit facility consisted of a five-year senior secured credit facility providing for borrowings in the aggregate principal amount of up to $450 million through August 2017. Amounts available under the prior revolving credit facility were subject to borrowing base formulas and other advances as specified in the related credit agreement. Borrowings bore interest, at the Company’s option, at LIBOR plus a margin of 1.5% to 2.0% or prime plus a margin of 0.5% to 1.0%, with the applicable margin determined based on availability under the prior revolving credit facility.</w:t>
      </w:r>
    </w:p>
    <w:p>
      <w:pPr>
        <w:spacing w:after="0" w:line="70" w:lineRule="exact"/>
        <w:rPr>
          <w:sz w:val="20"/>
          <w:szCs w:val="20"/>
          <w:color w:val="auto"/>
        </w:rPr>
      </w:pPr>
    </w:p>
    <w:p>
      <w:pPr>
        <w:jc w:val="both"/>
        <w:ind w:left="1260" w:right="1260" w:firstLine="360"/>
        <w:spacing w:after="0" w:line="259" w:lineRule="auto"/>
        <w:rPr>
          <w:sz w:val="20"/>
          <w:szCs w:val="20"/>
          <w:color w:val="auto"/>
        </w:rPr>
      </w:pPr>
      <w:r>
        <w:rPr>
          <w:rFonts w:ascii="Arial" w:cs="Arial" w:eastAsia="Arial" w:hAnsi="Arial"/>
          <w:sz w:val="18"/>
          <w:szCs w:val="18"/>
          <w:color w:val="auto"/>
        </w:rPr>
        <w:t>The prior revolving credit facility was secured by all of the assets of G-III Apparel Group, Ltd. and its subsidiaries, G-III Leather Fashions, Inc., Riviera Sun, Inc., CK Outerwear, LLC, Andrew &amp; Suzanne Company Inc., AM Retail Group, Inc., G-III Apparel Canada ULC, G-III License Company, LLC and AM Apparel Holdings, Inc.</w:t>
      </w:r>
    </w:p>
    <w:p>
      <w:pPr>
        <w:spacing w:after="0" w:line="79" w:lineRule="exact"/>
        <w:rPr>
          <w:sz w:val="20"/>
          <w:szCs w:val="20"/>
          <w:color w:val="auto"/>
        </w:rPr>
      </w:pPr>
    </w:p>
    <w:p>
      <w:pPr>
        <w:jc w:val="both"/>
        <w:ind w:left="1260" w:right="1260" w:firstLine="360"/>
        <w:spacing w:after="0" w:line="264" w:lineRule="auto"/>
        <w:rPr>
          <w:sz w:val="20"/>
          <w:szCs w:val="20"/>
          <w:color w:val="auto"/>
        </w:rPr>
      </w:pPr>
      <w:r>
        <w:rPr>
          <w:rFonts w:ascii="Arial" w:cs="Arial" w:eastAsia="Arial" w:hAnsi="Arial"/>
          <w:sz w:val="18"/>
          <w:szCs w:val="18"/>
          <w:color w:val="auto"/>
        </w:rPr>
        <w:t>The weighted average interest rate for amounts borrowed under the prior revolving credit facility was 2.1% for the period starting February 2, 2016 and ending November 30, 2016, when the prior revolving credit facility was replaced by the new revolving credit facility.</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Future Debt Maturities</w:t>
      </w:r>
    </w:p>
    <w:p>
      <w:pPr>
        <w:spacing w:after="0" w:line="104" w:lineRule="exact"/>
        <w:rPr>
          <w:sz w:val="20"/>
          <w:szCs w:val="20"/>
          <w:color w:val="auto"/>
        </w:rPr>
      </w:pPr>
    </w:p>
    <w:p>
      <w:pPr>
        <w:jc w:val="both"/>
        <w:ind w:left="1260" w:right="1280" w:firstLine="360"/>
        <w:spacing w:after="0" w:line="277" w:lineRule="auto"/>
        <w:rPr>
          <w:sz w:val="20"/>
          <w:szCs w:val="20"/>
          <w:color w:val="auto"/>
        </w:rPr>
      </w:pPr>
      <w:r>
        <w:rPr>
          <w:rFonts w:ascii="Arial" w:cs="Arial" w:eastAsia="Arial" w:hAnsi="Arial"/>
          <w:sz w:val="18"/>
          <w:szCs w:val="18"/>
          <w:color w:val="auto"/>
        </w:rPr>
        <w:t>As of January 31, 2018, the Company’s mandatory debt repayments mature in the years ending up to January 31, 2023 or thereafter.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gridSpan w:val="4"/>
          </w:tcPr>
          <w:p>
            <w:pPr>
              <w:ind w:left="1620"/>
              <w:spacing w:after="0"/>
              <w:rPr>
                <w:sz w:val="20"/>
                <w:szCs w:val="20"/>
                <w:color w:val="auto"/>
              </w:rPr>
            </w:pPr>
            <w:r>
              <w:rPr>
                <w:rFonts w:ascii="Arial" w:cs="Arial" w:eastAsia="Arial" w:hAnsi="Arial"/>
                <w:sz w:val="14"/>
                <w:szCs w:val="14"/>
                <w:b w:val="1"/>
                <w:bCs w:val="1"/>
                <w:color w:val="auto"/>
              </w:rPr>
              <w:t>Year Ending January 31,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Borders>
              <w:top w:val="single" w:sz="8" w:color="auto"/>
            </w:tcBorders>
            <w:gridSpan w:val="4"/>
          </w:tcPr>
          <w:p>
            <w:pPr>
              <w:jc w:val="right"/>
              <w:ind w:right="40"/>
              <w:spacing w:after="0" w:line="135" w:lineRule="exact"/>
              <w:rPr>
                <w:sz w:val="20"/>
                <w:szCs w:val="20"/>
                <w:color w:val="auto"/>
              </w:rPr>
            </w:pPr>
            <w:r>
              <w:rPr>
                <w:rFonts w:ascii="Arial" w:cs="Arial" w:eastAsia="Arial" w:hAnsi="Arial"/>
                <w:sz w:val="14"/>
                <w:szCs w:val="14"/>
                <w:b w:val="1"/>
                <w:bCs w:val="1"/>
                <w:color w:val="auto"/>
                <w:w w:val="93"/>
              </w:rPr>
              <w:t>(In thousands)</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620"/>
              <w:spacing w:after="0"/>
              <w:rPr>
                <w:sz w:val="20"/>
                <w:szCs w:val="20"/>
                <w:color w:val="auto"/>
              </w:rPr>
            </w:pPr>
            <w:r>
              <w:rPr>
                <w:rFonts w:ascii="Arial" w:cs="Arial" w:eastAsia="Arial" w:hAnsi="Arial"/>
                <w:sz w:val="18"/>
                <w:szCs w:val="18"/>
                <w:color w:val="auto"/>
              </w:rPr>
              <w:t>2020</w:t>
            </w:r>
          </w:p>
        </w:tc>
        <w:tc>
          <w:tcPr>
            <w:tcW w:w="3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12,003</w:t>
            </w:r>
          </w:p>
        </w:tc>
        <w:tc>
          <w:tcPr>
            <w:tcW w:w="100" w:type="dxa"/>
            <w:vAlign w:val="bottom"/>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620"/>
              <w:spacing w:after="0"/>
              <w:rPr>
                <w:sz w:val="20"/>
                <w:szCs w:val="20"/>
                <w:color w:val="auto"/>
              </w:rPr>
            </w:pPr>
            <w:r>
              <w:rPr>
                <w:rFonts w:ascii="Arial" w:cs="Arial" w:eastAsia="Arial" w:hAnsi="Arial"/>
                <w:sz w:val="18"/>
                <w:szCs w:val="18"/>
                <w:color w:val="auto"/>
              </w:rPr>
              <w:t>2022</w:t>
            </w:r>
          </w:p>
        </w:tc>
        <w:tc>
          <w:tcPr>
            <w:tcW w:w="3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6300" w:type="dxa"/>
            <w:vAlign w:val="bottom"/>
            <w:gridSpan w:val="4"/>
          </w:tcPr>
          <w:p>
            <w:pPr>
              <w:ind w:left="1260"/>
              <w:spacing w:after="0"/>
              <w:rPr>
                <w:sz w:val="20"/>
                <w:szCs w:val="20"/>
                <w:color w:val="auto"/>
              </w:rPr>
            </w:pPr>
            <w:r>
              <w:rPr>
                <w:rFonts w:ascii="Arial" w:cs="Arial" w:eastAsia="Arial" w:hAnsi="Arial"/>
                <w:sz w:val="18"/>
                <w:szCs w:val="18"/>
                <w:b w:val="1"/>
                <w:bCs w:val="1"/>
                <w:color w:val="auto"/>
              </w:rPr>
              <w:t>NOTE F — INCOME TAXES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00" w:type="dxa"/>
            <w:vAlign w:val="bottom"/>
            <w:gridSpan w:val="4"/>
          </w:tcPr>
          <w:p>
            <w:pPr>
              <w:ind w:left="1620"/>
              <w:spacing w:after="0"/>
              <w:rPr>
                <w:sz w:val="20"/>
                <w:szCs w:val="20"/>
                <w:color w:val="auto"/>
              </w:rPr>
            </w:pPr>
            <w:r>
              <w:rPr>
                <w:rFonts w:ascii="Arial" w:cs="Arial" w:eastAsia="Arial" w:hAnsi="Arial"/>
                <w:sz w:val="18"/>
                <w:szCs w:val="18"/>
                <w:color w:val="auto"/>
              </w:rPr>
              <w:t>The income tax provision is comprised of the following: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80" w:type="dxa"/>
            <w:vAlign w:val="bottom"/>
            <w:gridSpan w:val="3"/>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28,723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$22,925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47,585</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State and city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4680" w:type="dxa"/>
            <w:vAlign w:val="bottom"/>
            <w:gridSpan w:val="3"/>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12,532</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43,847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33,109</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61,263</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4"/>
          </w:tcPr>
          <w:p>
            <w:pPr>
              <w:ind w:left="1620"/>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80" w:type="dxa"/>
            <w:vAlign w:val="bottom"/>
            <w:gridSpan w:val="3"/>
          </w:tcPr>
          <w:p>
            <w:pPr>
              <w:ind w:left="180"/>
              <w:spacing w:after="0"/>
              <w:rPr>
                <w:sz w:val="20"/>
                <w:szCs w:val="20"/>
                <w:color w:val="auto"/>
              </w:rPr>
            </w:pPr>
            <w:r>
              <w:rPr>
                <w:rFonts w:ascii="Arial" w:cs="Arial" w:eastAsia="Arial" w:hAnsi="Arial"/>
                <w:sz w:val="18"/>
                <w:szCs w:val="18"/>
                <w:color w:val="auto"/>
              </w:rPr>
              <w:t>State and city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1560" w:type="dxa"/>
            <w:vAlign w:val="bottom"/>
            <w:tcBorders>
              <w:top w:val="single" w:sz="8" w:color="CCEEFF"/>
              <w:bottom w:val="single" w:sz="8" w:color="CCEEFF"/>
            </w:tcBorders>
          </w:tcPr>
          <w:p>
            <w:pPr>
              <w:spacing w:after="0"/>
              <w:rPr>
                <w:sz w:val="18"/>
                <w:szCs w:val="18"/>
                <w:color w:val="auto"/>
              </w:rPr>
            </w:pPr>
          </w:p>
        </w:tc>
        <w:tc>
          <w:tcPr>
            <w:tcW w:w="30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top w:val="single" w:sz="8" w:color="CCEEFF"/>
              <w:bottom w:val="single" w:sz="8" w:color="CCEEFF"/>
            </w:tcBorders>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4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25,824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64,800</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tcPr>
          <w:p>
            <w:pPr>
              <w:spacing w:after="0"/>
              <w:rPr>
                <w:sz w:val="13"/>
                <w:szCs w:val="13"/>
                <w:color w:val="auto"/>
              </w:rPr>
            </w:pPr>
          </w:p>
        </w:tc>
        <w:tc>
          <w:tcPr>
            <w:tcW w:w="4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$149,578</w:t>
            </w:r>
          </w:p>
        </w:tc>
        <w:tc>
          <w:tcPr>
            <w:tcW w:w="10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6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Non-United States</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22,399</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29,555</w:t>
            </w:r>
          </w:p>
        </w:tc>
        <w:tc>
          <w:tcPr>
            <w:tcW w:w="100" w:type="dxa"/>
            <w:vAlign w:val="bottom"/>
            <w:tcBorders>
              <w:bottom w:val="single" w:sz="8" w:color="CCEEFF"/>
            </w:tcBorders>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110,049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77,762</w:t>
            </w:r>
          </w:p>
        </w:tc>
        <w:tc>
          <w:tcPr>
            <w:tcW w:w="2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179,133</w:t>
            </w:r>
          </w:p>
        </w:tc>
        <w:tc>
          <w:tcPr>
            <w:tcW w:w="100" w:type="dxa"/>
            <w:vAlign w:val="bottom"/>
            <w:shd w:val="clear" w:color="auto" w:fill="CCEEFF"/>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gridSpan w:val="2"/>
            <w:vMerge w:val="restart"/>
          </w:tcPr>
          <w:p>
            <w:pPr>
              <w:ind w:left="2020"/>
              <w:spacing w:after="0"/>
              <w:rPr>
                <w:sz w:val="20"/>
                <w:szCs w:val="20"/>
                <w:color w:val="auto"/>
              </w:rPr>
            </w:pPr>
            <w:r>
              <w:rPr>
                <w:rFonts w:ascii="Arial" w:cs="Arial" w:eastAsia="Arial" w:hAnsi="Arial"/>
                <w:sz w:val="18"/>
                <w:szCs w:val="18"/>
                <w:color w:val="auto"/>
              </w:rPr>
              <w:t>F-23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-796925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-796925</wp:posOffset>
            </wp:positionV>
            <wp:extent cx="42538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8">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-1371600</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-1371600</wp:posOffset>
            </wp:positionV>
            <wp:extent cx="42538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-2211705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-2211705</wp:posOffset>
            </wp:positionV>
            <wp:extent cx="42538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2">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-2880995</wp:posOffset>
            </wp:positionV>
            <wp:extent cx="137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-2880995</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95" w:name="page96"/>
    <w:bookmarkEnd w:id="9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included a broad range of complex provisions impacting the taxation of multi-national companies including the Company. Specifically, the Company is impacted by the change in the U.S. Federal corporate income tax rate from 35% to 21% (effective January 1, 2018), the new regime for the taxation of overseas earnings, the one-time transition tax, taxation of certain performance-based compensation paid to the Company’s chief executive officer, chief financial officer and three other top executive officers that was previously deductible, full expensing of fixed assets and the deductibility of certain costs. Generally, accounting for the impacts of newly enacted tax legislation is required to be completed in the period of enactment. However, in response to the complexities and ambiguity surrounding the TCJA, the SEC released Staff Accounting Bulletin No. 118 (“SAB 118”) to provide companies with relief with respect to the initial accounting for the effects of the TCJA. SAB 118 allows companies to provide a provisional estimate of the impacts of the legislation. The Company will finalize accounting for the TCJA during the one-year measurement period, and any adjustments to the provisional amounts will be included in income tax expense or benefit in the appropriate period, and disclosed if material, in accordance with guidance provided by SAB 118. While the Company’s accounting for the TCJA is not complete, it has recognized a provisional charge (based on information available as of January 31, 2018) of $7.7 million primarily comprised of approximately $3.3 million related to the repatriation tax and approximately $4.4 million of tax expense related to revaluing U.S. deferred tax assets and liabilities using the new U.S. corporate tax rate of 21%. Other provisional impacts were primarily related to U.S. federal and state tax impact of the prorated reduced federal tax rate. This provisional estimate does not reflect the effects of any state tax law changes that may arise as a result of the federal tax changes.</w:t>
      </w:r>
    </w:p>
    <w:p>
      <w:pPr>
        <w:spacing w:after="0" w:line="47"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significant components of the Company’s net deferred tax asset at January 31, 2018 and 2017 are summarized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r>
      <w:tr>
        <w:trPr>
          <w:trHeight w:val="175"/>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10,783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10,323</w:t>
            </w:r>
          </w:p>
        </w:tc>
      </w:tr>
      <w:tr>
        <w:trPr>
          <w:trHeight w:val="24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Straight-line lease</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6,856</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Provision for bad debts and sales allowances</w:t>
            </w:r>
          </w:p>
        </w:tc>
        <w:tc>
          <w:tcPr>
            <w:tcW w:w="12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17,819</w:t>
            </w: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11,919</w:t>
            </w:r>
          </w:p>
        </w:tc>
      </w:tr>
      <w:tr>
        <w:trPr>
          <w:trHeight w:val="24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Supplemental employee retirement plan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Inventory write-downs</w:t>
            </w:r>
          </w:p>
        </w:tc>
        <w:tc>
          <w:tcPr>
            <w:tcW w:w="12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10,163</w:t>
            </w:r>
          </w:p>
        </w:tc>
      </w:tr>
      <w:tr>
        <w:trPr>
          <w:trHeight w:val="24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w:t>
            </w: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2"/>
                <w:szCs w:val="2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deferred income tax assets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39,068</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41,820</w:t>
            </w: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3"/>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37,420</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41,820</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(16,234)</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(14,724)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(22,804)</w:t>
            </w:r>
          </w:p>
        </w:tc>
        <w:tc>
          <w:tcPr>
            <w:tcW w:w="1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(21,347)</w:t>
            </w:r>
          </w:p>
        </w:tc>
      </w:tr>
      <w:tr>
        <w:trPr>
          <w:trHeight w:val="24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(3,383)</w:t>
            </w: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6400" w:type="dxa"/>
            <w:vAlign w:val="bottom"/>
          </w:tcPr>
          <w:p>
            <w:pPr>
              <w:ind w:left="180"/>
              <w:spacing w:after="0"/>
              <w:rPr>
                <w:sz w:val="20"/>
                <w:szCs w:val="20"/>
                <w:color w:val="auto"/>
              </w:rPr>
            </w:pPr>
            <w:r>
              <w:rPr>
                <w:rFonts w:ascii="Arial" w:cs="Arial" w:eastAsia="Arial" w:hAnsi="Arial"/>
                <w:sz w:val="18"/>
                <w:szCs w:val="18"/>
                <w:color w:val="auto"/>
              </w:rPr>
              <w:t>Total deferred income tax liabilities</w:t>
            </w:r>
          </w:p>
        </w:tc>
        <w:tc>
          <w:tcPr>
            <w:tcW w:w="1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(41,869)</w:t>
            </w:r>
          </w:p>
        </w:tc>
        <w:tc>
          <w:tcPr>
            <w:tcW w:w="12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(40,271)</w:t>
            </w: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0"/>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-1474470</wp:posOffset>
            </wp:positionV>
            <wp:extent cx="52139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-1791970</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-3155315</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As of January 31, 2018 and 2017, deferred tax liabilities of $15.8 million and $13.8 million, respectively, relate to intangible assets in Switzerland. The remaining intangible assets relate primarily to the U.S.</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the effective rate reported in the financial statements for the years ended January 31:</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Federal income taxes at the statutory rate</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33.8%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35.0%</w:t>
            </w: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2"/>
                <w:szCs w:val="22"/>
                <w:color w:val="auto"/>
              </w:rPr>
            </w:pPr>
          </w:p>
        </w:tc>
      </w:tr>
      <w:tr>
        <w:trPr>
          <w:trHeight w:val="257"/>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 resulting in Federal taxable income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22"/>
                <w:szCs w:val="22"/>
                <w:color w:val="auto"/>
              </w:rPr>
            </w:pP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Tax reform</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ASC 718 adoption</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(6.5)</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6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(0.4)</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r>
      <w:tr>
        <w:trPr>
          <w:trHeight w:val="20"/>
        </w:trPr>
        <w:tc>
          <w:tcPr>
            <w:tcW w:w="5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Actual provision for income taxes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43.</w:t>
            </w:r>
            <w:r>
              <w:rPr>
                <w:rFonts w:ascii="Arial" w:cs="Arial" w:eastAsia="Arial" w:hAnsi="Arial"/>
                <w:sz w:val="18"/>
                <w:szCs w:val="18"/>
                <w:u w:val="single" w:color="auto"/>
                <w:color w:val="auto"/>
                <w:w w:val="90"/>
              </w:rPr>
              <w:t>6</w:t>
            </w:r>
            <w:r>
              <w:rPr>
                <w:rFonts w:ascii="Arial" w:cs="Arial" w:eastAsia="Arial" w:hAnsi="Arial"/>
                <w:sz w:val="18"/>
                <w:szCs w:val="18"/>
                <w:color w:val="auto"/>
                <w:w w:val="90"/>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w:t>
            </w:r>
            <w:r>
              <w:rPr>
                <w:rFonts w:ascii="Arial" w:cs="Arial" w:eastAsia="Arial" w:hAnsi="Arial"/>
                <w:sz w:val="18"/>
                <w:szCs w:val="18"/>
                <w:u w:val="single" w:color="auto"/>
                <w:color w:val="auto"/>
                <w:w w:val="90"/>
              </w:rPr>
              <w:t>2</w:t>
            </w:r>
            <w:r>
              <w:rPr>
                <w:rFonts w:ascii="Arial" w:cs="Arial" w:eastAsia="Arial" w:hAnsi="Arial"/>
                <w:sz w:val="18"/>
                <w:szCs w:val="18"/>
                <w:color w:val="auto"/>
                <w:w w:val="90"/>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36.</w:t>
            </w:r>
            <w:r>
              <w:rPr>
                <w:rFonts w:ascii="Arial" w:cs="Arial" w:eastAsia="Arial" w:hAnsi="Arial"/>
                <w:sz w:val="18"/>
                <w:szCs w:val="18"/>
                <w:u w:val="single" w:color="auto"/>
                <w:color w:val="auto"/>
                <w:w w:val="90"/>
              </w:rPr>
              <w:t>2</w:t>
            </w:r>
            <w:r>
              <w:rPr>
                <w:rFonts w:ascii="Arial" w:cs="Arial" w:eastAsia="Arial" w:hAnsi="Arial"/>
                <w:sz w:val="18"/>
                <w:szCs w:val="18"/>
                <w:color w:val="auto"/>
                <w:w w:val="90"/>
              </w:rPr>
              <w:t>%</w:t>
            </w: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-1680210</wp:posOffset>
            </wp:positionV>
            <wp:extent cx="46482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2">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4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Valuation allowances represent deferred tax benefits where management is uncertain if the Company will have the ability to recognize those benefits in the future. As of January 2018, the company recorded a valuation allowance of $1.6 million against its deferred tax assets.</w:t>
      </w:r>
    </w:p>
    <w:p>
      <w:pPr>
        <w:spacing w:after="0" w:line="73"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As of January 31, 2018, there were no undistributed earnings related to the Company’s foreign subsidiaries. The primary reason there were no undistributed earnings as of January 31, 2018 was a provision of the TCJA, specifically the Section 965 transition tax, which resulted in the Company taking a one-time charge relating to the earnings of its foreign subsidiaries. As a result, the earnings of the Company’s foreign subsidiaries are considered Previously Taxed Income (“PTI”) which can be distributed to the U.S. tax free. Although the PTI can be distributed back to the U.S. tax free, the Company has not changed its APB 23 assertion that these earnings are indefinitely reinvested.</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Unrecognized Tax Benefits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 reconciliation of the beginning and ending amounts of gross unrecognized tax benefits (excluding interest and penalties) is as follows: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February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$1,094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$1,094</w:t>
            </w:r>
          </w:p>
        </w:tc>
      </w:tr>
      <w:tr>
        <w:trPr>
          <w:trHeight w:val="257"/>
        </w:trPr>
        <w:tc>
          <w:tcPr>
            <w:tcW w:w="5460" w:type="dxa"/>
            <w:vAlign w:val="bottom"/>
            <w:gridSpan w:val="2"/>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22"/>
                <w:szCs w:val="22"/>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5460" w:type="dxa"/>
            <w:vAlign w:val="bottom"/>
            <w:gridSpan w:val="2"/>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tcPr>
          <w:p>
            <w:pPr>
              <w:spacing w:after="0"/>
              <w:rPr>
                <w:sz w:val="22"/>
                <w:szCs w:val="22"/>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63"/>
        </w:trPr>
        <w:tc>
          <w:tcPr>
            <w:tcW w:w="5460" w:type="dxa"/>
            <w:vAlign w:val="bottom"/>
            <w:gridSpan w:val="2"/>
          </w:tcPr>
          <w:p>
            <w:pPr>
              <w:spacing w:after="0"/>
              <w:rPr>
                <w:sz w:val="20"/>
                <w:szCs w:val="20"/>
                <w:color w:val="auto"/>
              </w:rPr>
            </w:pPr>
            <w:r>
              <w:rPr>
                <w:rFonts w:ascii="Arial" w:cs="Arial" w:eastAsia="Arial" w:hAnsi="Arial"/>
                <w:sz w:val="18"/>
                <w:szCs w:val="18"/>
                <w:color w:val="auto"/>
              </w:rPr>
              <w:t>Lapses of statutes of limitations</w:t>
            </w:r>
          </w:p>
        </w:tc>
        <w:tc>
          <w:tcPr>
            <w:tcW w:w="10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(1,012)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57"/>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-196850</wp:posOffset>
            </wp:positionV>
            <wp:extent cx="1200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4776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4">
                      <a:extLst>
                        <a:ext uri="{28A0092B-C50C-407E-A947-70E740481C1C}"/>
                      </a:extLst>
                    </a:blip>
                    <a:srcRect/>
                    <a:stretch>
                      <a:fillRect/>
                    </a:stretch>
                  </pic:blipFill>
                  <pic:spPr bwMode="auto">
                    <a:xfrm>
                      <a:off x="0" y="0"/>
                      <a:ext cx="4776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46564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5">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249"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Company accounts for uncertain income tax positions in accordance with ASC 740 — Income Taxes. The Company files income tax returns in the U.S. federal jurisdiction and various state and foreign jurisdictions. As of January 31, 2018, there was a decrease in the unrecognized tax position reserve of $1.0 million for lapses in the statute of limitations in the uncertain income tax positions reserves.</w:t>
      </w:r>
    </w:p>
    <w:p>
      <w:pPr>
        <w:spacing w:after="0" w:line="6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Company’s policy on classification is to include interest in interest and financing charges, net and penalties in selling, general and administrative expenses in the accompanying Consolidated Statements of Income and Comprehensive Income. The Company and certain of its subsidiaries are subject to U.S.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Federal income tax as well as income tax of multiple state, local, and foreign jurisdictions. One of its foreign subsidiaries, T.R.B. International S.A., has a ruling with the Swiss government that taxes commercial foreign sourced income at an 11.6% rate. The ruling was extended to the year ending December 31, 2018.</w:t>
      </w:r>
    </w:p>
    <w:p>
      <w:pPr>
        <w:spacing w:after="0" w:line="57"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Of the major jurisdictions, the Company and its subsidiaries are subject to examination in the United States and various foreign jurisdictions for fiscal year 2013 and forward. It is currently under audit examination by New Jersey and New York for fiscal year 2010 and forward. The Company believes that it is reasonably possible that the total amount of unrecognized tax benefits of $429,000 (inclusive of tax, interest and penalties) will not change during the next twelve months due to the applicable statutes of limitations.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Company leases warehousing, executive and sales facilities, retail stores, equipment and vehicles under operating leases with options to renew at varying terms. Leases with provisions for increasing rents have been accounted for on a straight-line basis over the life of the lease.</w:t>
      </w:r>
    </w:p>
    <w:p>
      <w:pPr>
        <w:spacing w:after="0" w:line="73"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Certain leases provide for contingent rents, which are determined as a percentage of gross sales. The Company records a contingent rent liability in accrued expenses on the Consolidated Balance Sheets and the corresponding rent expense on the Consolidated Statements of Income and Comprehensive Income when management determines that achieving the specified levels during the fiscal year is probable.</w:t>
      </w:r>
    </w:p>
    <w:p>
      <w:pPr>
        <w:spacing w:after="0" w:line="63"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following schedule sets forth the future minimum rental payments for operating leases having non-cancelable lease periods in excess of one year at January 31, 2018:</w:t>
      </w:r>
    </w:p>
    <w:p>
      <w:pPr>
        <w:spacing w:after="0" w:line="68"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Year Ending January 31,</w:t>
            </w:r>
          </w:p>
        </w:tc>
        <w:tc>
          <w:tcPr>
            <w:tcW w:w="50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5940" w:type="dxa"/>
            <w:vAlign w:val="bottom"/>
            <w:gridSpan w:val="5"/>
          </w:tcPr>
          <w:p>
            <w:pPr>
              <w:jc w:val="center"/>
              <w:ind w:left="4933"/>
              <w:spacing w:after="0"/>
              <w:rPr>
                <w:sz w:val="20"/>
                <w:szCs w:val="20"/>
                <w:color w:val="auto"/>
              </w:rPr>
            </w:pPr>
            <w:r>
              <w:rPr>
                <w:rFonts w:ascii="Arial" w:cs="Arial" w:eastAsia="Arial" w:hAnsi="Arial"/>
                <w:sz w:val="14"/>
                <w:szCs w:val="14"/>
                <w:b w:val="1"/>
                <w:bCs w:val="1"/>
                <w:color w:val="auto"/>
                <w:w w:val="91"/>
              </w:rPr>
              <w:t>(In thousands)</w:t>
            </w:r>
          </w:p>
        </w:tc>
      </w:tr>
      <w:tr>
        <w:trPr>
          <w:trHeight w:val="25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94,175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5820" w:type="dxa"/>
            <w:vAlign w:val="bottom"/>
            <w:gridSpan w:val="3"/>
          </w:tcPr>
          <w:p>
            <w:pPr>
              <w:jc w:val="right"/>
              <w:spacing w:after="0"/>
              <w:rPr>
                <w:sz w:val="20"/>
                <w:szCs w:val="20"/>
                <w:color w:val="auto"/>
              </w:rPr>
            </w:pPr>
            <w:r>
              <w:rPr>
                <w:rFonts w:ascii="Arial" w:cs="Arial" w:eastAsia="Arial" w:hAnsi="Arial"/>
                <w:sz w:val="18"/>
                <w:szCs w:val="18"/>
                <w:color w:val="auto"/>
              </w:rPr>
              <w:t>86,262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75,878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1560" w:type="dxa"/>
            <w:vAlign w:val="bottom"/>
          </w:tcPr>
          <w:p>
            <w:pPr>
              <w:spacing w:after="0"/>
              <w:rPr>
                <w:sz w:val="20"/>
                <w:szCs w:val="20"/>
                <w:color w:val="auto"/>
              </w:rPr>
            </w:pPr>
            <w:r>
              <w:rPr>
                <w:rFonts w:ascii="Arial" w:cs="Arial" w:eastAsia="Arial" w:hAnsi="Arial"/>
                <w:sz w:val="18"/>
                <w:szCs w:val="18"/>
                <w:color w:val="auto"/>
              </w:rPr>
              <w:t>2022</w:t>
            </w:r>
          </w:p>
        </w:tc>
        <w:tc>
          <w:tcPr>
            <w:tcW w:w="5820" w:type="dxa"/>
            <w:vAlign w:val="bottom"/>
            <w:gridSpan w:val="3"/>
          </w:tcPr>
          <w:p>
            <w:pPr>
              <w:jc w:val="right"/>
              <w:spacing w:after="0"/>
              <w:rPr>
                <w:sz w:val="20"/>
                <w:szCs w:val="20"/>
                <w:color w:val="auto"/>
              </w:rPr>
            </w:pPr>
            <w:r>
              <w:rPr>
                <w:rFonts w:ascii="Arial" w:cs="Arial" w:eastAsia="Arial" w:hAnsi="Arial"/>
                <w:sz w:val="18"/>
                <w:szCs w:val="18"/>
                <w:color w:val="auto"/>
              </w:rPr>
              <w:t>63,917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57,993</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64"/>
        </w:trPr>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1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105,214</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270"/>
        </w:trPr>
        <w:tc>
          <w:tcPr>
            <w:tcW w:w="1560" w:type="dxa"/>
            <w:vAlign w:val="bottom"/>
            <w:shd w:val="clear" w:color="auto" w:fill="CCEEFF"/>
          </w:tcPr>
          <w:p>
            <w:pPr>
              <w:spacing w:after="0"/>
              <w:rPr>
                <w:sz w:val="23"/>
                <w:szCs w:val="23"/>
                <w:color w:val="auto"/>
              </w:rPr>
            </w:pP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$ 483,439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-205105</wp:posOffset>
            </wp:positionV>
            <wp:extent cx="47510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4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Rent expense on the above operating leases for the years ended January 31, 2018, 2017 and 2016 was $110.4 million, $84.7 million and $75.6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3"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The Company has entered into license agreements that provide for royalty payments ranging from 4% to 20% of net sales of licensed products. The Company incurred royalty expense (included in cost of goods sold) of $154.3 million, $139.0 million and $123.7 million for the years ended January 31, 2018, 2017 and 2016, respectively. Contractual advertising expense, which is normally based on a percentage of net sales associated with certain license agreements (included in selling, general and administrative expenses), was $43.4 million, $39.2 million and $36.1 million for the years ended January 31, 2018, 2017 and 2016, respectively. Based on minimum net sales requirements, future minimum royalty and advertising payments required under these agreements are:</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Year Ending January 31,</w:t>
            </w:r>
          </w:p>
        </w:tc>
        <w:tc>
          <w:tcPr>
            <w:tcW w:w="50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r>
      <w:tr>
        <w:trPr>
          <w:trHeight w:val="196"/>
        </w:trPr>
        <w:tc>
          <w:tcPr>
            <w:tcW w:w="1560" w:type="dxa"/>
            <w:vAlign w:val="bottom"/>
          </w:tcPr>
          <w:p>
            <w:pPr>
              <w:spacing w:after="0"/>
              <w:rPr>
                <w:sz w:val="17"/>
                <w:szCs w:val="17"/>
                <w:color w:val="auto"/>
              </w:rPr>
            </w:pPr>
          </w:p>
        </w:tc>
        <w:tc>
          <w:tcPr>
            <w:tcW w:w="5940" w:type="dxa"/>
            <w:vAlign w:val="bottom"/>
            <w:gridSpan w:val="5"/>
          </w:tcPr>
          <w:p>
            <w:pPr>
              <w:jc w:val="center"/>
              <w:ind w:left="4933"/>
              <w:spacing w:after="0"/>
              <w:rPr>
                <w:sz w:val="20"/>
                <w:szCs w:val="20"/>
                <w:color w:val="auto"/>
              </w:rPr>
            </w:pPr>
            <w:r>
              <w:rPr>
                <w:rFonts w:ascii="Arial" w:cs="Arial" w:eastAsia="Arial" w:hAnsi="Arial"/>
                <w:sz w:val="14"/>
                <w:szCs w:val="14"/>
                <w:b w:val="1"/>
                <w:bCs w:val="1"/>
                <w:color w:val="auto"/>
                <w:w w:val="91"/>
              </w:rPr>
              <w:t>(In thousands)</w:t>
            </w:r>
          </w:p>
        </w:tc>
      </w:tr>
      <w:tr>
        <w:trPr>
          <w:trHeight w:val="25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$ 148,246</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1560" w:type="dxa"/>
            <w:vAlign w:val="bottom"/>
          </w:tcPr>
          <w:p>
            <w:pPr>
              <w:spacing w:after="0"/>
              <w:rPr>
                <w:sz w:val="20"/>
                <w:szCs w:val="20"/>
                <w:color w:val="auto"/>
              </w:rPr>
            </w:pPr>
            <w:r>
              <w:rPr>
                <w:rFonts w:ascii="Arial" w:cs="Arial" w:eastAsia="Arial" w:hAnsi="Arial"/>
                <w:sz w:val="18"/>
                <w:szCs w:val="18"/>
                <w:color w:val="auto"/>
              </w:rPr>
              <w:t>2020</w:t>
            </w:r>
          </w:p>
        </w:tc>
        <w:tc>
          <w:tcPr>
            <w:tcW w:w="5820" w:type="dxa"/>
            <w:vAlign w:val="bottom"/>
            <w:gridSpan w:val="3"/>
          </w:tcPr>
          <w:p>
            <w:pPr>
              <w:jc w:val="right"/>
              <w:spacing w:after="0"/>
              <w:rPr>
                <w:sz w:val="20"/>
                <w:szCs w:val="20"/>
                <w:color w:val="auto"/>
              </w:rPr>
            </w:pPr>
            <w:r>
              <w:rPr>
                <w:rFonts w:ascii="Arial" w:cs="Arial" w:eastAsia="Arial" w:hAnsi="Arial"/>
                <w:sz w:val="18"/>
                <w:szCs w:val="18"/>
                <w:color w:val="auto"/>
              </w:rPr>
              <w:t>102,500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1560" w:type="dxa"/>
            <w:vAlign w:val="bottom"/>
          </w:tcPr>
          <w:p>
            <w:pPr>
              <w:spacing w:after="0"/>
              <w:rPr>
                <w:sz w:val="20"/>
                <w:szCs w:val="20"/>
                <w:color w:val="auto"/>
              </w:rPr>
            </w:pPr>
            <w:r>
              <w:rPr>
                <w:rFonts w:ascii="Arial" w:cs="Arial" w:eastAsia="Arial" w:hAnsi="Arial"/>
                <w:sz w:val="18"/>
                <w:szCs w:val="18"/>
                <w:color w:val="auto"/>
              </w:rPr>
              <w:t>2022</w:t>
            </w:r>
          </w:p>
        </w:tc>
        <w:tc>
          <w:tcPr>
            <w:tcW w:w="5820" w:type="dxa"/>
            <w:vAlign w:val="bottom"/>
            <w:gridSpan w:val="3"/>
          </w:tcPr>
          <w:p>
            <w:pPr>
              <w:jc w:val="right"/>
              <w:spacing w:after="0"/>
              <w:rPr>
                <w:sz w:val="20"/>
                <w:szCs w:val="20"/>
                <w:color w:val="auto"/>
              </w:rPr>
            </w:pPr>
            <w:r>
              <w:rPr>
                <w:rFonts w:ascii="Arial" w:cs="Arial" w:eastAsia="Arial" w:hAnsi="Arial"/>
                <w:sz w:val="18"/>
                <w:szCs w:val="18"/>
                <w:color w:val="auto"/>
              </w:rPr>
              <w:t>78,197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75,328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64"/>
        </w:trPr>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1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72,503</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270"/>
        </w:trPr>
        <w:tc>
          <w:tcPr>
            <w:tcW w:w="1560" w:type="dxa"/>
            <w:vAlign w:val="bottom"/>
            <w:shd w:val="clear" w:color="auto" w:fill="CCEEFF"/>
          </w:tcPr>
          <w:p>
            <w:pPr>
              <w:spacing w:after="0"/>
              <w:rPr>
                <w:sz w:val="23"/>
                <w:szCs w:val="23"/>
                <w:color w:val="auto"/>
              </w:rPr>
            </w:pPr>
          </w:p>
        </w:tc>
        <w:tc>
          <w:tcPr>
            <w:tcW w:w="5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$ 562,977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-205105</wp:posOffset>
            </wp:positionV>
            <wp:extent cx="47510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77"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 except for the following:</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Canadian Customs Duty Examination</w:t>
      </w:r>
    </w:p>
    <w:p>
      <w:pPr>
        <w:spacing w:after="0" w:line="7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32"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On March 14, 2018, G-III Canada provided a bond to the CBSA to secure payment of the additional duties payable as a result of the reassessment required by the final audit report. The Company issued a bond in the amount of CAD$26.9 million ($20.9 million) representing customs duty and interest through December 31, 2017 that is claimed to be owed to the CBSA. In March 2018, the Company amended the duties filed for the month of January 2018 under the new valuation method. The additional duty claimed to be owed amounted to CAD$1.4 million ($1.1 million) which is under review by the CBSA. Beginning February 1, 2018, the Company began paying duties based on the new valuation method. The additional duties paid beginning on February 1, 2018 on the higher dutiable value will not be charged as an expense in the Company’s statement of operations, but will be recorded as a deferred expense until the appeal process has concluded.</w:t>
      </w:r>
    </w:p>
    <w:p>
      <w:pPr>
        <w:spacing w:after="0" w:line="4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H — STOCKHOLDERS’ EQUITY</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Stock Split</w:t>
      </w:r>
    </w:p>
    <w:p>
      <w:pPr>
        <w:spacing w:after="0" w:line="104"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On April 1, 2015, the Board of Directors approved a two-for-one stock split of the Company’s outstanding shares of common stock, effected in the form of a stock dividend. The stock dividend was paid to stockholders of record as of the close of market on April 20, 2015 and was effected on May 1, 2015.</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share and per share information has been retroactively adjusted to reflect this stock split.</w:t>
      </w: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The Company’s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did not repurchase any shares during fiscal 2017 and fiscal 2018.</w:t>
      </w:r>
    </w:p>
    <w:p>
      <w:pPr>
        <w:spacing w:after="0" w:line="212"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0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As of January 31, 2018, the Company had 1,252,317 shares available for grant under its long-term incentive plan. The plan provides for the grant of equity and cash awards, including restricted stock awards, stock options and other stock unit awards to directors, officers and employees. Restricted stock unit awards generally vest over a three to five year period and certain awards also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It is the Company’s policy to grant stock options at prices not less than the fair market value on the date of the grant. Option terms, vesting and exercise periods vary, except that the term of an option may not exceed ten years.</w:t>
      </w:r>
    </w:p>
    <w:p>
      <w:pPr>
        <w:spacing w:after="0" w:line="184"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r>
      <w:tr>
        <w:trPr>
          <w:trHeight w:val="186"/>
        </w:trPr>
        <w:tc>
          <w:tcPr>
            <w:tcW w:w="5340" w:type="dxa"/>
            <w:vAlign w:val="bottom"/>
          </w:tcPr>
          <w:p>
            <w:pPr>
              <w:spacing w:after="0"/>
              <w:rPr>
                <w:sz w:val="16"/>
                <w:szCs w:val="16"/>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r>
      <w:tr>
        <w:trPr>
          <w:trHeight w:val="26"/>
        </w:trPr>
        <w:tc>
          <w:tcPr>
            <w:tcW w:w="5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31, 2016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2,048,883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$ 30.79</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630,642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$ 25.82</w:t>
            </w: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(678,164)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$ 22.43</w:t>
            </w:r>
          </w:p>
        </w:tc>
      </w:tr>
      <w:tr>
        <w:trPr>
          <w:trHeight w:val="264"/>
        </w:trPr>
        <w:tc>
          <w:tcPr>
            <w:tcW w:w="5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2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(2,500)</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$ 17.95</w:t>
            </w:r>
          </w:p>
        </w:tc>
      </w:tr>
      <w:tr>
        <w:trPr>
          <w:trHeight w:val="257"/>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31, 2017</w:t>
            </w:r>
          </w:p>
        </w:tc>
        <w:tc>
          <w:tcPr>
            <w:tcW w:w="2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1,998,861</w:t>
            </w:r>
          </w:p>
        </w:tc>
        <w:tc>
          <w:tcPr>
            <w:tcW w:w="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$ 31.70</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279,479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$ 16.28</w:t>
            </w: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(495,372)</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$ 26.39</w:t>
            </w:r>
          </w:p>
        </w:tc>
      </w:tr>
      <w:tr>
        <w:trPr>
          <w:trHeight w:val="264"/>
        </w:trPr>
        <w:tc>
          <w:tcPr>
            <w:tcW w:w="5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2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(10,391)</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$ 28.42</w:t>
            </w:r>
          </w:p>
        </w:tc>
      </w:tr>
      <w:tr>
        <w:trPr>
          <w:trHeight w:val="25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31, 2018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1,772,577</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$ 29.51</w:t>
            </w: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-865505</wp:posOffset>
            </wp:positionV>
            <wp:extent cx="47510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-1534160</wp:posOffset>
            </wp:positionV>
            <wp:extent cx="40132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3">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16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w:t>
      </w:r>
      <w:r>
        <w:rPr>
          <w:rFonts w:ascii="Arial" w:cs="Arial" w:eastAsia="Arial" w:hAnsi="Arial"/>
          <w:sz w:val="18"/>
          <w:szCs w:val="18"/>
          <w:b w:val="1"/>
          <w:bCs w:val="1"/>
          <w:color w:val="auto"/>
        </w:rPr>
        <w:t>.</w:t>
      </w:r>
      <w:r>
        <w:rPr>
          <w:rFonts w:ascii="Arial" w:cs="Arial" w:eastAsia="Arial" w:hAnsi="Arial"/>
          <w:sz w:val="18"/>
          <w:szCs w:val="18"/>
          <w:color w:val="auto"/>
        </w:rPr>
        <w:t xml:space="preserve"> This valuation is performed with the assistance of a third party valuation specialist. For restricted stock units with no performance conditions, grant date fair value is based on the market price on the date of grant.</w:t>
      </w:r>
    </w:p>
    <w:p>
      <w:pPr>
        <w:spacing w:after="0" w:line="2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Company recognized $19.6 million, $16.8 million and $15.6 million in compensation expense for the years ended January 31, 2018, 2017 and 2016, respectively, related to restricted stock unit grants. At January 31, 2018, 2017 and 2016, unrecognized costs related to the restricted stock units totaled $23.0 million, $40.7 million and $42.0 million, respectively.</w:t>
      </w:r>
    </w:p>
    <w:p>
      <w:pPr>
        <w:spacing w:after="0" w:line="173"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Information regarding all stock options for fiscal 2018, 2017 and 2016 is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6"/>
        </w:trPr>
        <w:tc>
          <w:tcPr>
            <w:tcW w:w="34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r>
      <w:tr>
        <w:trPr>
          <w:trHeight w:val="173"/>
        </w:trPr>
        <w:tc>
          <w:tcPr>
            <w:tcW w:w="3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r>
      <w:tr>
        <w:trPr>
          <w:trHeight w:val="162"/>
        </w:trPr>
        <w:tc>
          <w:tcPr>
            <w:tcW w:w="3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7"/>
              </w:rPr>
              <w:t>Average</w:t>
            </w:r>
          </w:p>
        </w:tc>
      </w:tr>
      <w:tr>
        <w:trPr>
          <w:trHeight w:val="186"/>
        </w:trPr>
        <w:tc>
          <w:tcPr>
            <w:tcW w:w="34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Exercise</w:t>
            </w:r>
          </w:p>
        </w:tc>
      </w:tr>
      <w:tr>
        <w:trPr>
          <w:trHeight w:val="26"/>
        </w:trPr>
        <w:tc>
          <w:tcPr>
            <w:tcW w:w="3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 at beginning of</w:t>
            </w:r>
          </w:p>
        </w:tc>
        <w:tc>
          <w:tcPr>
            <w:tcW w:w="6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r>
      <w:tr>
        <w:trPr>
          <w:trHeight w:val="244"/>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251,131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331,651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10.59</w:t>
            </w:r>
          </w:p>
        </w:tc>
        <w:tc>
          <w:tcPr>
            <w:tcW w:w="20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469,176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11.16</w:t>
            </w:r>
          </w:p>
        </w:tc>
      </w:tr>
      <w:tr>
        <w:trPr>
          <w:trHeight w:val="257"/>
        </w:trPr>
        <w:tc>
          <w:tcPr>
            <w:tcW w:w="34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(188,465)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(20,520)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12.65</w:t>
            </w:r>
          </w:p>
        </w:tc>
        <w:tc>
          <w:tcPr>
            <w:tcW w:w="2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(37,525)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11.11</w:t>
            </w:r>
          </w:p>
        </w:tc>
      </w:tr>
      <w:tr>
        <w:trPr>
          <w:trHeight w:val="257"/>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180"/>
              <w:spacing w:after="0"/>
              <w:rPr>
                <w:sz w:val="20"/>
                <w:szCs w:val="20"/>
                <w:color w:val="auto"/>
              </w:rPr>
            </w:pPr>
            <w:r>
              <w:rPr>
                <w:rFonts w:ascii="Arial" w:cs="Arial" w:eastAsia="Arial" w:hAnsi="Arial"/>
                <w:sz w:val="18"/>
                <w:szCs w:val="18"/>
                <w:color w:val="auto"/>
              </w:rPr>
              <w:t>Cancelled or forfeited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15.87</w:t>
            </w:r>
          </w:p>
        </w:tc>
        <w:tc>
          <w:tcPr>
            <w:tcW w:w="20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13.08</w:t>
            </w:r>
          </w:p>
        </w:tc>
      </w:tr>
      <w:tr>
        <w:trPr>
          <w:trHeight w:val="20"/>
        </w:trPr>
        <w:tc>
          <w:tcPr>
            <w:tcW w:w="34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r>
      <w:tr>
        <w:trPr>
          <w:trHeight w:val="264"/>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 at end of year</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62,666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2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251,131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Borders>
              <w:right w:val="single" w:sz="8" w:color="CCEEFF"/>
            </w:tcBorders>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331,651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10.59</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Exercisable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62,666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11.50</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251,131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253,151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0"/>
        </w:trPr>
        <w:tc>
          <w:tcPr>
            <w:tcW w:w="3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-385445</wp:posOffset>
            </wp:positionV>
            <wp:extent cx="342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-385445</wp:posOffset>
            </wp:positionV>
            <wp:extent cx="1460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-385445</wp:posOffset>
            </wp:positionV>
            <wp:extent cx="1631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-385445</wp:posOffset>
            </wp:positionV>
            <wp:extent cx="14605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-385445</wp:posOffset>
            </wp:positionV>
            <wp:extent cx="1631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-385445</wp:posOffset>
            </wp:positionV>
            <wp:extent cx="2769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0">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-1191260</wp:posOffset>
            </wp:positionV>
            <wp:extent cx="1200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-1191260</wp:posOffset>
            </wp:positionV>
            <wp:extent cx="1200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-1191260</wp:posOffset>
            </wp:positionV>
            <wp:extent cx="1200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-1191260</wp:posOffset>
            </wp:positionV>
            <wp:extent cx="1200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-1191260</wp:posOffset>
            </wp:positionV>
            <wp:extent cx="2744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gridSpan w:val="4"/>
          </w:tcPr>
          <w:p>
            <w:pPr>
              <w:jc w:val="center"/>
              <w:ind w:left="46"/>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5"/>
          </w:tcPr>
          <w:p>
            <w:pPr>
              <w:jc w:val="center"/>
              <w:ind w:left="19"/>
              <w:spacing w:after="0"/>
              <w:rPr>
                <w:sz w:val="20"/>
                <w:szCs w:val="20"/>
                <w:color w:val="auto"/>
              </w:rPr>
            </w:pPr>
            <w:r>
              <w:rPr>
                <w:rFonts w:ascii="Arial" w:cs="Arial" w:eastAsia="Arial" w:hAnsi="Arial"/>
                <w:sz w:val="14"/>
                <w:szCs w:val="14"/>
                <w:b w:val="1"/>
                <w:bCs w:val="1"/>
                <w:color w:val="auto"/>
                <w:w w:val="90"/>
              </w:rPr>
              <w:t>Outstanding as of</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w:t>
            </w: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Exercisable as of</w:t>
            </w:r>
          </w:p>
        </w:tc>
        <w:tc>
          <w:tcPr>
            <w:tcW w:w="12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Average</w:t>
            </w:r>
          </w:p>
        </w:tc>
      </w:tr>
      <w:tr>
        <w:trPr>
          <w:trHeight w:val="162"/>
        </w:trPr>
        <w:tc>
          <w:tcPr>
            <w:tcW w:w="1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January 31,</w:t>
            </w: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Exercise</w:t>
            </w:r>
          </w:p>
        </w:tc>
      </w:tr>
      <w:tr>
        <w:trPr>
          <w:trHeight w:val="192"/>
        </w:trPr>
        <w:tc>
          <w:tcPr>
            <w:tcW w:w="1540" w:type="dxa"/>
            <w:vAlign w:val="bottom"/>
          </w:tcPr>
          <w:p>
            <w:pPr>
              <w:spacing w:after="0"/>
              <w:rPr>
                <w:sz w:val="20"/>
                <w:szCs w:val="20"/>
                <w:color w:val="auto"/>
              </w:rPr>
            </w:pPr>
            <w:r>
              <w:rPr>
                <w:rFonts w:ascii="Arial" w:cs="Arial" w:eastAsia="Arial" w:hAnsi="Arial"/>
                <w:sz w:val="14"/>
                <w:szCs w:val="14"/>
                <w:b w:val="1"/>
                <w:bCs w:val="1"/>
                <w:color w:val="auto"/>
                <w:w w:val="90"/>
              </w:rPr>
              <w:t>Range of Exercise Prices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880" w:type="dxa"/>
            <w:vAlign w:val="bottom"/>
            <w:gridSpan w:val="3"/>
          </w:tcPr>
          <w:p>
            <w:pPr>
              <w:jc w:val="center"/>
              <w:ind w:left="297"/>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r>
      <w:tr>
        <w:trPr>
          <w:trHeight w:val="257"/>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 – $12.00</w:t>
            </w: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25,600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0.93</w:t>
            </w:r>
          </w:p>
        </w:tc>
        <w:tc>
          <w:tcPr>
            <w:tcW w:w="24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tcBorders>
              <w:top w:val="single" w:sz="8" w:color="auto"/>
            </w:tcBorders>
            <w:gridSpan w:val="2"/>
            <w:shd w:val="clear" w:color="auto" w:fill="CCEEFF"/>
          </w:tcPr>
          <w:p>
            <w:pPr>
              <w:jc w:val="center"/>
              <w:ind w:left="159"/>
              <w:spacing w:after="0"/>
              <w:rPr>
                <w:sz w:val="20"/>
                <w:szCs w:val="20"/>
                <w:color w:val="auto"/>
              </w:rPr>
            </w:pPr>
            <w:r>
              <w:rPr>
                <w:rFonts w:ascii="Arial" w:cs="Arial" w:eastAsia="Arial" w:hAnsi="Arial"/>
                <w:sz w:val="18"/>
                <w:szCs w:val="18"/>
                <w:color w:val="auto"/>
                <w:w w:val="90"/>
              </w:rPr>
              <w:t>25,600</w:t>
            </w:r>
          </w:p>
        </w:tc>
        <w:tc>
          <w:tcPr>
            <w:tcW w:w="240" w:type="dxa"/>
            <w:vAlign w:val="bottom"/>
            <w:tcBorders>
              <w:top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shd w:val="clear" w:color="auto" w:fill="CCEEFF"/>
          </w:tcPr>
          <w:p>
            <w:pPr>
              <w:spacing w:after="0"/>
              <w:rPr>
                <w:sz w:val="22"/>
                <w:szCs w:val="22"/>
                <w:color w:val="auto"/>
              </w:rPr>
            </w:pPr>
          </w:p>
        </w:tc>
      </w:tr>
      <w:tr>
        <w:trPr>
          <w:trHeight w:val="257"/>
        </w:trPr>
        <w:tc>
          <w:tcPr>
            <w:tcW w:w="2780" w:type="dxa"/>
            <w:vAlign w:val="bottom"/>
            <w:gridSpan w:val="2"/>
          </w:tcPr>
          <w:p>
            <w:pPr>
              <w:spacing w:after="0"/>
              <w:rPr>
                <w:sz w:val="20"/>
                <w:szCs w:val="20"/>
                <w:color w:val="auto"/>
              </w:rPr>
            </w:pPr>
            <w:r>
              <w:rPr>
                <w:rFonts w:ascii="Arial" w:cs="Arial" w:eastAsia="Arial" w:hAnsi="Arial"/>
                <w:sz w:val="18"/>
                <w:szCs w:val="18"/>
                <w:color w:val="auto"/>
              </w:rPr>
              <w:t>$12.01 – $16.00</w:t>
            </w:r>
          </w:p>
        </w:tc>
        <w:tc>
          <w:tcPr>
            <w:tcW w:w="1280" w:type="dxa"/>
            <w:vAlign w:val="bottom"/>
            <w:gridSpan w:val="4"/>
          </w:tcPr>
          <w:p>
            <w:pPr>
              <w:jc w:val="center"/>
              <w:ind w:left="179"/>
              <w:spacing w:after="0"/>
              <w:rPr>
                <w:sz w:val="20"/>
                <w:szCs w:val="20"/>
                <w:color w:val="auto"/>
              </w:rPr>
            </w:pPr>
            <w:r>
              <w:rPr>
                <w:rFonts w:ascii="Arial" w:cs="Arial" w:eastAsia="Arial" w:hAnsi="Arial"/>
                <w:sz w:val="18"/>
                <w:szCs w:val="18"/>
                <w:color w:val="auto"/>
                <w:w w:val="90"/>
              </w:rPr>
              <w:t>20,400</w:t>
            </w:r>
          </w:p>
        </w:tc>
        <w:tc>
          <w:tcPr>
            <w:tcW w:w="140" w:type="dxa"/>
            <w:vAlign w:val="bottom"/>
          </w:tcPr>
          <w:p>
            <w:pPr>
              <w:spacing w:after="0"/>
              <w:rPr>
                <w:sz w:val="22"/>
                <w:szCs w:val="22"/>
                <w:color w:val="auto"/>
              </w:rPr>
            </w:pPr>
          </w:p>
        </w:tc>
        <w:tc>
          <w:tcPr>
            <w:tcW w:w="1140" w:type="dxa"/>
            <w:vAlign w:val="bottom"/>
            <w:gridSpan w:val="2"/>
          </w:tcPr>
          <w:p>
            <w:pPr>
              <w:jc w:val="center"/>
              <w:ind w:left="16"/>
              <w:spacing w:after="0"/>
              <w:rPr>
                <w:sz w:val="20"/>
                <w:szCs w:val="20"/>
                <w:color w:val="auto"/>
              </w:rPr>
            </w:pPr>
            <w:r>
              <w:rPr>
                <w:rFonts w:ascii="Arial" w:cs="Arial" w:eastAsia="Arial" w:hAnsi="Arial"/>
                <w:sz w:val="18"/>
                <w:szCs w:val="18"/>
                <w:color w:val="auto"/>
                <w:w w:val="91"/>
              </w:rPr>
              <w:t>2.36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120" w:type="dxa"/>
            <w:vAlign w:val="bottom"/>
          </w:tcPr>
          <w:p>
            <w:pPr>
              <w:spacing w:after="0"/>
              <w:rPr>
                <w:sz w:val="22"/>
                <w:szCs w:val="22"/>
                <w:color w:val="auto"/>
              </w:rPr>
            </w:pPr>
          </w:p>
        </w:tc>
        <w:tc>
          <w:tcPr>
            <w:tcW w:w="880" w:type="dxa"/>
            <w:vAlign w:val="bottom"/>
            <w:gridSpan w:val="3"/>
          </w:tcPr>
          <w:p>
            <w:pPr>
              <w:jc w:val="center"/>
              <w:ind w:left="297"/>
              <w:spacing w:after="0"/>
              <w:rPr>
                <w:sz w:val="20"/>
                <w:szCs w:val="20"/>
                <w:color w:val="auto"/>
              </w:rPr>
            </w:pPr>
            <w:r>
              <w:rPr>
                <w:rFonts w:ascii="Arial" w:cs="Arial" w:eastAsia="Arial" w:hAnsi="Arial"/>
                <w:sz w:val="18"/>
                <w:szCs w:val="18"/>
                <w:color w:val="auto"/>
                <w:w w:val="90"/>
              </w:rPr>
              <w:t>20,400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20" w:type="dxa"/>
            <w:vAlign w:val="bottom"/>
          </w:tcPr>
          <w:p>
            <w:pPr>
              <w:spacing w:after="0"/>
              <w:rPr>
                <w:sz w:val="22"/>
                <w:szCs w:val="22"/>
                <w:color w:val="auto"/>
              </w:rPr>
            </w:pPr>
          </w:p>
        </w:tc>
      </w:tr>
      <w:tr>
        <w:trPr>
          <w:trHeight w:val="263"/>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$16.01 – $40.00</w:t>
            </w:r>
          </w:p>
        </w:tc>
        <w:tc>
          <w:tcPr>
            <w:tcW w:w="500" w:type="dxa"/>
            <w:vAlign w:val="bottom"/>
            <w:gridSpan w:val="2"/>
            <w:shd w:val="clear" w:color="auto" w:fill="CCEEFF"/>
          </w:tcPr>
          <w:p>
            <w:pPr>
              <w:spacing w:after="0"/>
              <w:rPr>
                <w:sz w:val="22"/>
                <w:szCs w:val="22"/>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16,666</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1"/>
              </w:rPr>
              <w:t>4.19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17.85</w:t>
            </w:r>
          </w:p>
        </w:tc>
        <w:tc>
          <w:tcPr>
            <w:tcW w:w="1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ind w:left="297"/>
              <w:spacing w:after="0"/>
              <w:rPr>
                <w:sz w:val="20"/>
                <w:szCs w:val="20"/>
                <w:color w:val="auto"/>
              </w:rPr>
            </w:pPr>
            <w:r>
              <w:rPr>
                <w:rFonts w:ascii="Arial" w:cs="Arial" w:eastAsia="Arial" w:hAnsi="Arial"/>
                <w:sz w:val="18"/>
                <w:szCs w:val="18"/>
                <w:color w:val="auto"/>
                <w:w w:val="90"/>
              </w:rPr>
              <w:t>16,666</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17.85</w:t>
            </w:r>
          </w:p>
        </w:tc>
        <w:tc>
          <w:tcPr>
            <w:tcW w:w="20" w:type="dxa"/>
            <w:vAlign w:val="bottom"/>
            <w:shd w:val="clear" w:color="auto" w:fill="CCEEFF"/>
          </w:tcPr>
          <w:p>
            <w:pPr>
              <w:spacing w:after="0"/>
              <w:rPr>
                <w:sz w:val="22"/>
                <w:szCs w:val="22"/>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1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gridSpan w:val="2"/>
          </w:tcPr>
          <w:p>
            <w:pPr>
              <w:spacing w:after="0"/>
              <w:rPr>
                <w:sz w:val="22"/>
                <w:szCs w:val="2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62,666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center"/>
              <w:ind w:left="297"/>
              <w:spacing w:after="0"/>
              <w:rPr>
                <w:sz w:val="20"/>
                <w:szCs w:val="20"/>
                <w:color w:val="auto"/>
              </w:rPr>
            </w:pPr>
            <w:r>
              <w:rPr>
                <w:rFonts w:ascii="Arial" w:cs="Arial" w:eastAsia="Arial" w:hAnsi="Arial"/>
                <w:sz w:val="18"/>
                <w:szCs w:val="18"/>
                <w:color w:val="auto"/>
                <w:w w:val="90"/>
              </w:rPr>
              <w:t>62,666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-694055</wp:posOffset>
            </wp:positionV>
            <wp:extent cx="137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-694055</wp:posOffset>
            </wp:positionV>
            <wp:extent cx="137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-694055</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-694055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-694055</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fair value of stock options was estimated using the Black-Scholes option-pricing model. This model requires the input of subjective assumptions that will usually have a significant impact on the fair value estimate. No stock options were granted during the years ended January 31, 2018, 2017 and 2016.</w:t>
      </w:r>
    </w:p>
    <w:p>
      <w:pPr>
        <w:spacing w:after="0" w:line="5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Effective on February 1, 2016, the Company elected to account for forfeited awards as they occur as permitted by ASU 2016-09. Ultimately, the actual expense recognized over the vesting period will be for those shares that vested. Prior to making this election, the Company estimated a forfeiture rate for awards at 0%, as the Company did not have a significant history of forfeitures.</w:t>
      </w:r>
    </w:p>
    <w:p>
      <w:pPr>
        <w:spacing w:after="0" w:line="79"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weighted average remaining term for stock options outstanding was 2.3 years at January 31, 2018. The aggregate intrinsic value at January 31, 2018 was $1.6 million for stock options outstanding and exercisable. The intrinsic value for stock options is calculated based on the exercise price of the underlying awards and the market price of the Company’s common stock as of January 31, 2018, the reporting date.</w:t>
      </w:r>
    </w:p>
    <w:p>
      <w:pPr>
        <w:spacing w:after="0" w:line="6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Proceeds received from the exercise of stock options were $1.6 million and $260,000 during the years ended January 31, 2018 and 2017, respectively. The intrinsic value of stock options exercised was $3.6 million and $936,000 for the years ended January 31, 2018 and 2017, respectively. A portion of this amount is currently deductible for tax purposes.</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Company recognized $126,000 and $153,000 in compensation expense for the years ended January 31, 2017 and 2016, respectively, related to stock options. No compensation expense related to stock options was recognized for the year ended January 31, 2018.</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I — CONCENTRATION</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Major Customers</w:t>
      </w:r>
    </w:p>
    <w:p>
      <w:pPr>
        <w:spacing w:after="0" w:line="104" w:lineRule="exact"/>
        <w:rPr>
          <w:sz w:val="20"/>
          <w:szCs w:val="20"/>
          <w:color w:val="auto"/>
        </w:rPr>
      </w:pPr>
    </w:p>
    <w:p>
      <w:pPr>
        <w:jc w:val="both"/>
        <w:ind w:left="1260" w:right="1260" w:firstLine="360"/>
        <w:spacing w:after="0" w:line="308" w:lineRule="auto"/>
        <w:rPr>
          <w:sz w:val="20"/>
          <w:szCs w:val="20"/>
          <w:color w:val="auto"/>
        </w:rPr>
      </w:pPr>
      <w:r>
        <w:rPr>
          <w:rFonts w:ascii="Arial" w:cs="Arial" w:eastAsia="Arial" w:hAnsi="Arial"/>
          <w:sz w:val="17"/>
          <w:szCs w:val="17"/>
          <w:color w:val="auto"/>
        </w:rPr>
        <w:t>One customer in the wholesale operations segment accounted for approximately 22.2%, 21.8% and 20.8% of the Company’s net sales for the years ended January 31, 2018, 2017 and 2016, respectively.</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Inventory Sourcing</w:t>
      </w:r>
    </w:p>
    <w:p>
      <w:pPr>
        <w:spacing w:after="0" w:line="104" w:lineRule="exact"/>
        <w:rPr>
          <w:sz w:val="20"/>
          <w:szCs w:val="20"/>
          <w:color w:val="auto"/>
        </w:rPr>
      </w:pPr>
    </w:p>
    <w:p>
      <w:pPr>
        <w:jc w:val="both"/>
        <w:ind w:left="1260" w:right="1260" w:firstLine="360"/>
        <w:spacing w:after="0" w:line="291" w:lineRule="auto"/>
        <w:rPr>
          <w:sz w:val="20"/>
          <w:szCs w:val="20"/>
          <w:color w:val="auto"/>
        </w:rPr>
      </w:pPr>
      <w:r>
        <w:rPr>
          <w:rFonts w:ascii="Arial" w:cs="Arial" w:eastAsia="Arial" w:hAnsi="Arial"/>
          <w:sz w:val="16"/>
          <w:szCs w:val="16"/>
          <w:color w:val="auto"/>
        </w:rPr>
        <w:t>The Company sourced from China approximately 65.1%, 72.0% and 77.7% of the inventory purchased for the years ended January 31, 2018, 2017 and 2016, respectively. During the year ended January 31, 2018, the Company sourced 14.7% of its purchases from one vendor in China. During the years ended January 31, 2017 and 2016, the Company sourced 23.9% (13.6% and 10.3%) and 25.2% (13.0% and 12.2%), respectively, of its purchases from two vendors in China. The Company believes it has alternative manufacturing sources available to meet its current and future production requirements in the event the Company is required to change current manufacturers or current manufacturers are unavailable to fulfill the Company’s production needs.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J — EMPLOYEE BENEFIT PLANS</w:t>
      </w:r>
    </w:p>
    <w:p>
      <w:pPr>
        <w:spacing w:after="0" w:line="108" w:lineRule="exact"/>
        <w:rPr>
          <w:sz w:val="20"/>
          <w:szCs w:val="20"/>
          <w:color w:val="auto"/>
        </w:rPr>
      </w:pPr>
    </w:p>
    <w:p>
      <w:pPr>
        <w:jc w:val="both"/>
        <w:ind w:left="1260" w:right="1260" w:firstLine="360"/>
        <w:spacing w:after="0" w:line="255" w:lineRule="auto"/>
        <w:rPr>
          <w:sz w:val="20"/>
          <w:szCs w:val="20"/>
          <w:color w:val="auto"/>
        </w:rPr>
      </w:pPr>
      <w:r>
        <w:rPr>
          <w:rFonts w:ascii="Arial" w:cs="Arial" w:eastAsia="Arial" w:hAnsi="Arial"/>
          <w:sz w:val="18"/>
          <w:szCs w:val="18"/>
          <w:color w:val="auto"/>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$3.6 million, $2.9 million and $2.3 million for the years ended January 31, 2018, 2017 and 2016, respectively. The DKI 401(k) plan and trust for U.S. based non-union employees was merged with the GIII Plan on December 31, 2016.</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K — SEGMENTS</w:t>
      </w:r>
    </w:p>
    <w:p>
      <w:pPr>
        <w:spacing w:after="0" w:line="108" w:lineRule="exact"/>
        <w:rPr>
          <w:sz w:val="20"/>
          <w:szCs w:val="20"/>
          <w:color w:val="auto"/>
        </w:rPr>
      </w:pPr>
    </w:p>
    <w:p>
      <w:pPr>
        <w:jc w:val="both"/>
        <w:ind w:left="1260" w:right="1260" w:firstLine="360"/>
        <w:spacing w:after="0" w:line="253" w:lineRule="auto"/>
        <w:rPr>
          <w:sz w:val="20"/>
          <w:szCs w:val="20"/>
          <w:color w:val="auto"/>
        </w:rPr>
      </w:pPr>
      <w:r>
        <w:rPr>
          <w:rFonts w:ascii="Arial" w:cs="Arial" w:eastAsia="Arial" w:hAnsi="Arial"/>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brands licensed by the Company from third parties, as well as sales of products under the Company’s own brands and private label brands. Wholesale sales and revenues from license agreements related to the Donna Karan, DKNY, G.H. Bass, Andrew Marc and Vilebrequin businesses are included in the wholesale operations segment. The retail operations segment consists primarily of the Wilsons Leather, G.H. Bass and DKNY stores, as well as a limited number of Calvin Klein Performance and Karl Lagerfeld Paris stores. Sales through the Company’s owned websites are also included in the retail operations segment.</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information, in thousands, is presented for the fiscal years ended: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340"/>
              <w:spacing w:after="0"/>
              <w:rPr>
                <w:sz w:val="20"/>
                <w:szCs w:val="20"/>
                <w:color w:val="auto"/>
              </w:rPr>
            </w:pPr>
            <w:r>
              <w:rPr>
                <w:rFonts w:ascii="Arial" w:cs="Arial" w:eastAsia="Arial" w:hAnsi="Arial"/>
                <w:sz w:val="14"/>
                <w:szCs w:val="14"/>
                <w:b w:val="1"/>
                <w:bCs w:val="1"/>
                <w:color w:val="auto"/>
              </w:rPr>
              <w:t>January 31, 2018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20"/>
                <w:szCs w:val="20"/>
                <w:color w:val="auto"/>
              </w:rPr>
            </w:pPr>
          </w:p>
        </w:tc>
        <w:tc>
          <w:tcPr>
            <w:tcW w:w="1040" w:type="dxa"/>
            <w:vAlign w:val="bottom"/>
            <w:gridSpan w:val="3"/>
          </w:tcPr>
          <w:p>
            <w:pPr>
              <w:spacing w:after="0" w:line="237" w:lineRule="exact"/>
              <w:rPr>
                <w:sz w:val="20"/>
                <w:szCs w:val="20"/>
                <w:color w:val="auto"/>
              </w:rPr>
            </w:pPr>
            <w:r>
              <w:rPr>
                <w:rFonts w:ascii="Arial" w:cs="Arial" w:eastAsia="Arial" w:hAnsi="Arial"/>
                <w:sz w:val="14"/>
                <w:szCs w:val="14"/>
                <w:b w:val="1"/>
                <w:bCs w:val="1"/>
                <w:color w:val="auto"/>
              </w:rPr>
              <w:t>Elimination</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19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2,454,008</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$502,494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(149,564)</w:t>
            </w: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2,806,938</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1,649,726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251,871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(149,564)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1,752,033</w:t>
            </w: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804,282</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250,623</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1,054,905</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571,164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284,083</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855,247</w:t>
            </w:r>
          </w:p>
        </w:tc>
      </w:tr>
      <w:tr>
        <w:trPr>
          <w:trHeight w:val="230"/>
        </w:trPr>
        <w:tc>
          <w:tcPr>
            <w:tcW w:w="126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27,679</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10,104</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1260" w:type="dxa"/>
            <w:vAlign w:val="bottom"/>
          </w:tcPr>
          <w:p>
            <w:pPr>
              <w:spacing w:after="0"/>
              <w:rPr>
                <w:sz w:val="19"/>
                <w:szCs w:val="19"/>
                <w:color w:val="auto"/>
              </w:rPr>
            </w:pPr>
          </w:p>
        </w:tc>
      </w:tr>
      <w:tr>
        <w:trPr>
          <w:trHeight w:val="277"/>
        </w:trPr>
        <w:tc>
          <w:tcPr>
            <w:tcW w:w="126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Asset impairments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2,310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7,884</w:t>
            </w: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1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203,129</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(49,138)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153,991</w:t>
            </w:r>
          </w:p>
        </w:tc>
        <w:tc>
          <w:tcPr>
            <w:tcW w:w="1260" w:type="dxa"/>
            <w:vAlign w:val="bottom"/>
          </w:tcPr>
          <w:p>
            <w:pPr>
              <w:spacing w:after="0"/>
              <w:rPr>
                <w:sz w:val="23"/>
                <w:szCs w:val="2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21"/>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-805180</wp:posOffset>
            </wp:positionV>
            <wp:extent cx="1885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-805180</wp:posOffset>
            </wp:positionV>
            <wp:extent cx="1714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-805180</wp:posOffset>
            </wp:positionV>
            <wp:extent cx="34220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4">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-1431290</wp:posOffset>
            </wp:positionV>
            <wp:extent cx="1885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-1431290</wp:posOffset>
            </wp:positionV>
            <wp:extent cx="1714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-1431290</wp:posOffset>
            </wp:positionV>
            <wp:extent cx="34220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7">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-1757680</wp:posOffset>
            </wp:positionV>
            <wp:extent cx="137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-1757680</wp:posOffset>
            </wp:positionV>
            <wp:extent cx="137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-1757680</wp:posOffset>
            </wp:positionV>
            <wp:extent cx="34131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0">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102" w:name="page103"/>
    <w:bookmarkEnd w:id="102"/>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340"/>
              <w:spacing w:after="0"/>
              <w:rPr>
                <w:sz w:val="20"/>
                <w:szCs w:val="20"/>
                <w:color w:val="auto"/>
              </w:rPr>
            </w:pPr>
            <w:r>
              <w:rPr>
                <w:rFonts w:ascii="Arial" w:cs="Arial" w:eastAsia="Arial" w:hAnsi="Arial"/>
                <w:sz w:val="14"/>
                <w:szCs w:val="14"/>
                <w:b w:val="1"/>
                <w:bCs w:val="1"/>
                <w:color w:val="auto"/>
              </w:rPr>
              <w:t>January 31, 2017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20"/>
                <w:szCs w:val="20"/>
                <w:color w:val="auto"/>
              </w:rPr>
            </w:pPr>
          </w:p>
        </w:tc>
        <w:tc>
          <w:tcPr>
            <w:tcW w:w="1040" w:type="dxa"/>
            <w:vAlign w:val="bottom"/>
            <w:gridSpan w:val="3"/>
          </w:tcPr>
          <w:p>
            <w:pPr>
              <w:spacing w:after="0" w:line="237" w:lineRule="exact"/>
              <w:rPr>
                <w:sz w:val="20"/>
                <w:szCs w:val="20"/>
                <w:color w:val="auto"/>
              </w:rPr>
            </w:pPr>
            <w:r>
              <w:rPr>
                <w:rFonts w:ascii="Arial" w:cs="Arial" w:eastAsia="Arial" w:hAnsi="Arial"/>
                <w:sz w:val="14"/>
                <w:szCs w:val="14"/>
                <w:b w:val="1"/>
                <w:bCs w:val="1"/>
                <w:color w:val="auto"/>
              </w:rPr>
              <w:t>Elimination</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line="284" w:lineRule="exact"/>
              <w:rPr>
                <w:sz w:val="20"/>
                <w:szCs w:val="20"/>
                <w:color w:val="auto"/>
              </w:rPr>
            </w:pPr>
            <w:r>
              <w:rPr>
                <w:rFonts w:ascii="Arial" w:cs="Arial" w:eastAsia="Arial" w:hAnsi="Arial"/>
                <w:sz w:val="18"/>
                <w:szCs w:val="18"/>
                <w:color w:val="auto"/>
              </w:rPr>
              <w:t>Net sales</w:t>
            </w:r>
            <w:r>
              <w:rPr>
                <w:rFonts w:ascii="Arial" w:cs="Arial" w:eastAsia="Arial" w:hAnsi="Arial"/>
                <w:sz w:val="27"/>
                <w:szCs w:val="27"/>
                <w:color w:val="auto"/>
                <w:vertAlign w:val="superscript"/>
              </w:rPr>
              <w:t>(2)</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gridSpan w:val="2"/>
            <w:vMerge w:val="continue"/>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2,021,736</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$474,217</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$(109,518)</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2,386,435</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1,388,175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267,427</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(110,028)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1,545,574</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lef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633,561</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206,790</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840,861</w:t>
            </w:r>
          </w:p>
        </w:tc>
        <w:tc>
          <w:tcPr>
            <w:tcW w:w="0" w:type="dxa"/>
            <w:vAlign w:val="bottom"/>
          </w:tcPr>
          <w:p>
            <w:pPr>
              <w:spacing w:after="0"/>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457,785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246,651</w:t>
            </w:r>
          </w:p>
        </w:tc>
        <w:tc>
          <w:tcPr>
            <w:tcW w:w="10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704,436</w:t>
            </w: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lef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21,483</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10,998</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154,293</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(61,339)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340"/>
              <w:spacing w:after="0"/>
              <w:rPr>
                <w:sz w:val="20"/>
                <w:szCs w:val="20"/>
                <w:color w:val="auto"/>
              </w:rPr>
            </w:pPr>
            <w:r>
              <w:rPr>
                <w:rFonts w:ascii="Arial" w:cs="Arial" w:eastAsia="Arial" w:hAnsi="Arial"/>
                <w:sz w:val="14"/>
                <w:szCs w:val="14"/>
                <w:b w:val="1"/>
                <w:bCs w:val="1"/>
                <w:color w:val="auto"/>
              </w:rPr>
              <w:t>January 31, 2016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Retail</w:t>
            </w:r>
          </w:p>
        </w:tc>
        <w:tc>
          <w:tcPr>
            <w:tcW w:w="280" w:type="dxa"/>
            <w:vAlign w:val="bottom"/>
          </w:tcPr>
          <w:p>
            <w:pPr>
              <w:spacing w:after="0"/>
              <w:rPr>
                <w:sz w:val="20"/>
                <w:szCs w:val="20"/>
                <w:color w:val="auto"/>
              </w:rPr>
            </w:pPr>
          </w:p>
        </w:tc>
        <w:tc>
          <w:tcPr>
            <w:tcW w:w="1040" w:type="dxa"/>
            <w:vAlign w:val="bottom"/>
            <w:gridSpan w:val="3"/>
          </w:tcPr>
          <w:p>
            <w:pPr>
              <w:spacing w:after="0" w:line="237" w:lineRule="exact"/>
              <w:rPr>
                <w:sz w:val="20"/>
                <w:szCs w:val="20"/>
                <w:color w:val="auto"/>
              </w:rPr>
            </w:pPr>
            <w:r>
              <w:rPr>
                <w:rFonts w:ascii="Arial" w:cs="Arial" w:eastAsia="Arial" w:hAnsi="Arial"/>
                <w:sz w:val="14"/>
                <w:szCs w:val="14"/>
                <w:b w:val="1"/>
                <w:bCs w:val="1"/>
                <w:color w:val="auto"/>
              </w:rPr>
              <w:t>Elimination</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1,949,646</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$514,027</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$(119,531)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2,344,142</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1,348,109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276,926</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(119,531)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1,505,504</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lef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601,537</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237,101</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838,638</w:t>
            </w:r>
          </w:p>
        </w:tc>
        <w:tc>
          <w:tcPr>
            <w:tcW w:w="0" w:type="dxa"/>
            <w:vAlign w:val="bottom"/>
          </w:tcPr>
          <w:p>
            <w:pPr>
              <w:spacing w:after="0"/>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398,476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230,286</w:t>
            </w:r>
          </w:p>
        </w:tc>
        <w:tc>
          <w:tcPr>
            <w:tcW w:w="10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628,762</w:t>
            </w:r>
          </w:p>
        </w:tc>
        <w:tc>
          <w:tcPr>
            <w:tcW w:w="0" w:type="dxa"/>
            <w:vAlign w:val="bottom"/>
          </w:tcPr>
          <w:p>
            <w:pPr>
              <w:spacing w:after="0"/>
              <w:rPr>
                <w:sz w:val="1"/>
                <w:szCs w:val="1"/>
                <w:color w:val="auto"/>
              </w:rPr>
            </w:pPr>
          </w:p>
        </w:tc>
      </w:tr>
      <w:tr>
        <w:trPr>
          <w:trHeight w:val="263"/>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left w:val="single" w:sz="8" w:color="CCEEFF"/>
            </w:tcBorders>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17,413</w:t>
            </w:r>
          </w:p>
        </w:tc>
        <w:tc>
          <w:tcPr>
            <w:tcW w:w="9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185,648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(1,164)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184,484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-1868805</wp:posOffset>
            </wp:positionV>
            <wp:extent cx="1885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-1868805</wp:posOffset>
            </wp:positionV>
            <wp:extent cx="17145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-1868805</wp:posOffset>
            </wp:positionV>
            <wp:extent cx="34220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5">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-2538095</wp:posOffset>
            </wp:positionV>
            <wp:extent cx="1885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-2538095</wp:posOffset>
            </wp:positionV>
            <wp:extent cx="1714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-2538095</wp:posOffset>
            </wp:positionV>
            <wp:extent cx="34220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8">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-2889250</wp:posOffset>
            </wp:positionV>
            <wp:extent cx="137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-2889250</wp:posOffset>
            </wp:positionV>
            <wp:extent cx="137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-2889250</wp:posOffset>
            </wp:positionV>
            <wp:extent cx="3413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1">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-882650</wp:posOffset>
            </wp:positionV>
            <wp:extent cx="1885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-882650</wp:posOffset>
            </wp:positionV>
            <wp:extent cx="1714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-882650</wp:posOffset>
            </wp:positionV>
            <wp:extent cx="34220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4">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-1225550</wp:posOffset>
            </wp:positionV>
            <wp:extent cx="137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-1225550</wp:posOffset>
            </wp:positionV>
            <wp:extent cx="137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-1225550</wp:posOffset>
            </wp:positionV>
            <wp:extent cx="34131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intersegment sales to the Company’s retail operations segment.</w:t>
      </w:r>
    </w:p>
    <w:p>
      <w:pPr>
        <w:spacing w:after="0" w:line="184"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reclassifications have been made between the wholesale operations segment and the elimination column as a result of sales eliminations within the wholesale operations segment being misclassified as inter-segment eliminations.</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total assets for each of the Company’s reportable segments, as well as assets not allocated to a segment, are as follows:</w:t>
      </w:r>
    </w:p>
    <w:p>
      <w:pPr>
        <w:spacing w:after="0" w:line="8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January 31</w:t>
            </w:r>
          </w:p>
        </w:tc>
      </w:tr>
      <w:tr>
        <w:trPr>
          <w:trHeight w:val="26"/>
        </w:trPr>
        <w:tc>
          <w:tcPr>
            <w:tcW w:w="5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r>
      <w:tr>
        <w:trPr>
          <w:trHeight w:val="26"/>
        </w:trPr>
        <w:tc>
          <w:tcPr>
            <w:tcW w:w="5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3"/>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(In thousands)</w:t>
            </w:r>
          </w:p>
        </w:tc>
      </w:tr>
      <w:tr>
        <w:trPr>
          <w:trHeight w:val="257"/>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$1,554,191</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$1,477,259</w:t>
            </w:r>
          </w:p>
        </w:tc>
        <w:tc>
          <w:tcPr>
            <w:tcW w:w="40" w:type="dxa"/>
            <w:vAlign w:val="bottom"/>
            <w:shd w:val="clear" w:color="auto" w:fill="CCEEFF"/>
          </w:tcPr>
          <w:p>
            <w:pPr>
              <w:spacing w:after="0"/>
              <w:rPr>
                <w:sz w:val="22"/>
                <w:szCs w:val="22"/>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820" w:type="dxa"/>
            <w:vAlign w:val="bottom"/>
          </w:tcPr>
          <w:p>
            <w:pPr>
              <w:jc w:val="right"/>
              <w:spacing w:after="0"/>
              <w:rPr>
                <w:sz w:val="20"/>
                <w:szCs w:val="20"/>
                <w:color w:val="auto"/>
              </w:rPr>
            </w:pPr>
            <w:r>
              <w:rPr>
                <w:rFonts w:ascii="Arial" w:cs="Arial" w:eastAsia="Arial" w:hAnsi="Arial"/>
                <w:sz w:val="18"/>
                <w:szCs w:val="18"/>
                <w:color w:val="auto"/>
              </w:rPr>
              <w:t>215,568</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228,352</w:t>
            </w:r>
          </w:p>
        </w:tc>
        <w:tc>
          <w:tcPr>
            <w:tcW w:w="40" w:type="dxa"/>
            <w:vAlign w:val="bottom"/>
          </w:tcPr>
          <w:p>
            <w:pPr>
              <w:spacing w:after="0"/>
              <w:rPr>
                <w:sz w:val="22"/>
                <w:szCs w:val="22"/>
                <w:color w:val="auto"/>
              </w:rPr>
            </w:pPr>
          </w:p>
        </w:tc>
      </w:tr>
      <w:tr>
        <w:trPr>
          <w:trHeight w:val="26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145,418</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146,333</w:t>
            </w:r>
          </w:p>
        </w:tc>
        <w:tc>
          <w:tcPr>
            <w:tcW w:w="40" w:type="dxa"/>
            <w:vAlign w:val="bottom"/>
            <w:shd w:val="clear" w:color="auto" w:fill="CCEEFF"/>
          </w:tcPr>
          <w:p>
            <w:pPr>
              <w:spacing w:after="0"/>
              <w:rPr>
                <w:sz w:val="22"/>
                <w:szCs w:val="22"/>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1,915,177</w:t>
            </w:r>
          </w:p>
        </w:tc>
        <w:tc>
          <w:tcPr>
            <w:tcW w:w="2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1,851,944</w:t>
            </w:r>
          </w:p>
        </w:tc>
        <w:tc>
          <w:tcPr>
            <w:tcW w:w="40" w:type="dxa"/>
            <w:vAlign w:val="bottom"/>
          </w:tcPr>
          <w:p>
            <w:pPr>
              <w:spacing w:after="0"/>
              <w:rPr>
                <w:sz w:val="22"/>
                <w:szCs w:val="22"/>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-196850</wp:posOffset>
            </wp:positionV>
            <wp:extent cx="171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-822960</wp:posOffset>
            </wp:positionV>
            <wp:extent cx="137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total net sales and long-lived assets by geographic region are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6"/>
                <w:szCs w:val="16"/>
                <w:color w:val="auto"/>
              </w:rPr>
            </w:pPr>
          </w:p>
        </w:tc>
      </w:tr>
      <w:tr>
        <w:trPr>
          <w:trHeight w:val="26"/>
        </w:trPr>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Long-Lived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Long-Lived</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Long-Lived</w:t>
            </w:r>
          </w:p>
        </w:tc>
      </w:tr>
      <w:tr>
        <w:trPr>
          <w:trHeight w:val="19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Geographic Region</w:t>
            </w:r>
          </w:p>
        </w:tc>
        <w:tc>
          <w:tcPr>
            <w:tcW w:w="1260" w:type="dxa"/>
            <w:vAlign w:val="bottom"/>
          </w:tcPr>
          <w:p>
            <w:pPr>
              <w:spacing w:after="0"/>
              <w:rPr>
                <w:sz w:val="16"/>
                <w:szCs w:val="16"/>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6"/>
                <w:szCs w:val="16"/>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6"/>
                <w:szCs w:val="16"/>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6"/>
                <w:szCs w:val="16"/>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Assets</w:t>
            </w:r>
          </w:p>
        </w:tc>
      </w:tr>
      <w:tr>
        <w:trPr>
          <w:trHeight w:val="189"/>
        </w:trPr>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7"/>
        </w:trPr>
        <w:tc>
          <w:tcPr>
            <w:tcW w:w="2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$2,466,107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$770,128</w:t>
            </w:r>
          </w:p>
        </w:tc>
        <w:tc>
          <w:tcPr>
            <w:tcW w:w="22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$2,180,409</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$790,341</w:t>
            </w:r>
          </w:p>
        </w:tc>
        <w:tc>
          <w:tcPr>
            <w:tcW w:w="240" w:type="dxa"/>
            <w:vAlign w:val="bottom"/>
            <w:tcBorders>
              <w:right w:val="single" w:sz="8" w:color="CCEEFF"/>
            </w:tcBorders>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$2,157,889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$ 150,949</w:t>
            </w:r>
          </w:p>
        </w:tc>
      </w:tr>
      <w:tr>
        <w:trPr>
          <w:trHeight w:val="263"/>
        </w:trPr>
        <w:tc>
          <w:tcPr>
            <w:tcW w:w="2460" w:type="dxa"/>
            <w:vAlign w:val="bottom"/>
            <w:gridSpan w:val="2"/>
          </w:tcPr>
          <w:p>
            <w:pPr>
              <w:spacing w:after="0"/>
              <w:rPr>
                <w:sz w:val="20"/>
                <w:szCs w:val="20"/>
                <w:color w:val="auto"/>
              </w:rPr>
            </w:pPr>
            <w:r>
              <w:rPr>
                <w:rFonts w:ascii="Arial" w:cs="Arial" w:eastAsia="Arial" w:hAnsi="Arial"/>
                <w:sz w:val="18"/>
                <w:szCs w:val="18"/>
                <w:color w:val="auto"/>
              </w:rPr>
              <w:t>Non-United States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340,831</w:t>
            </w:r>
          </w:p>
        </w:tc>
        <w:tc>
          <w:tcPr>
            <w:tcW w:w="720" w:type="dxa"/>
            <w:vAlign w:val="bottom"/>
          </w:tcPr>
          <w:p>
            <w:pPr>
              <w:jc w:val="right"/>
              <w:spacing w:after="0"/>
              <w:rPr>
                <w:sz w:val="20"/>
                <w:szCs w:val="20"/>
                <w:color w:val="auto"/>
              </w:rPr>
            </w:pPr>
            <w:r>
              <w:rPr>
                <w:rFonts w:ascii="Arial" w:cs="Arial" w:eastAsia="Arial" w:hAnsi="Arial"/>
                <w:sz w:val="18"/>
                <w:szCs w:val="18"/>
                <w:color w:val="auto"/>
              </w:rPr>
              <w:t>185,448</w:t>
            </w:r>
          </w:p>
        </w:tc>
        <w:tc>
          <w:tcPr>
            <w:tcW w:w="2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206,026</w:t>
            </w:r>
          </w:p>
        </w:tc>
        <w:tc>
          <w:tcPr>
            <w:tcW w:w="720" w:type="dxa"/>
            <w:vAlign w:val="bottom"/>
          </w:tcPr>
          <w:p>
            <w:pPr>
              <w:jc w:val="right"/>
              <w:spacing w:after="0"/>
              <w:rPr>
                <w:sz w:val="20"/>
                <w:szCs w:val="20"/>
                <w:color w:val="auto"/>
              </w:rPr>
            </w:pPr>
            <w:r>
              <w:rPr>
                <w:rFonts w:ascii="Arial" w:cs="Arial" w:eastAsia="Arial" w:hAnsi="Arial"/>
                <w:sz w:val="18"/>
                <w:szCs w:val="18"/>
                <w:color w:val="auto"/>
              </w:rPr>
              <w:t>178,665</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186,253</w:t>
            </w:r>
          </w:p>
        </w:tc>
        <w:tc>
          <w:tcPr>
            <w:tcW w:w="720" w:type="dxa"/>
            <w:vAlign w:val="bottom"/>
          </w:tcPr>
          <w:p>
            <w:pPr>
              <w:jc w:val="right"/>
              <w:spacing w:after="0"/>
              <w:rPr>
                <w:sz w:val="20"/>
                <w:szCs w:val="20"/>
                <w:color w:val="auto"/>
              </w:rPr>
            </w:pPr>
            <w:r>
              <w:rPr>
                <w:rFonts w:ascii="Arial" w:cs="Arial" w:eastAsia="Arial" w:hAnsi="Arial"/>
                <w:sz w:val="18"/>
                <w:szCs w:val="18"/>
                <w:color w:val="auto"/>
              </w:rPr>
              <w:t>130,681</w:t>
            </w:r>
          </w:p>
        </w:tc>
      </w:tr>
      <w:tr>
        <w:trPr>
          <w:trHeight w:val="20"/>
        </w:trPr>
        <w:tc>
          <w:tcPr>
            <w:tcW w:w="120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57"/>
        </w:trPr>
        <w:tc>
          <w:tcPr>
            <w:tcW w:w="1200" w:type="dxa"/>
            <w:vAlign w:val="bottom"/>
            <w:shd w:val="clear" w:color="auto" w:fill="CCEEFF"/>
          </w:tcPr>
          <w:p>
            <w:pPr>
              <w:spacing w:after="0"/>
              <w:rPr>
                <w:sz w:val="22"/>
                <w:szCs w:val="22"/>
                <w:color w:val="auto"/>
              </w:rPr>
            </w:pPr>
          </w:p>
        </w:tc>
        <w:tc>
          <w:tcPr>
            <w:tcW w:w="1260" w:type="dxa"/>
            <w:vAlign w:val="bottom"/>
            <w:tcBorders>
              <w:right w:val="single" w:sz="8" w:color="CCEEFF"/>
            </w:tcBorders>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2,806,938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955,576</w:t>
            </w:r>
          </w:p>
        </w:tc>
        <w:tc>
          <w:tcPr>
            <w:tcW w:w="22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2,386,435</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969,006</w:t>
            </w:r>
          </w:p>
        </w:tc>
        <w:tc>
          <w:tcPr>
            <w:tcW w:w="240" w:type="dxa"/>
            <w:vAlign w:val="bottom"/>
            <w:tcBorders>
              <w:right w:val="single" w:sz="8" w:color="CCEEFF"/>
            </w:tcBorders>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2,344,142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$ 281,630</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-196850</wp:posOffset>
            </wp:positionV>
            <wp:extent cx="1460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-196850</wp:posOffset>
            </wp:positionV>
            <wp:extent cx="1631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1460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-196850</wp:posOffset>
            </wp:positionV>
            <wp:extent cx="1631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22212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5">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82"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Capital expenditures for locations outside of the United States totaled $3.7 million, $4.6 million and $4.5 million for the years ended January 31, 2018, 2017 and 2016, respectively.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L — OTHER INCOME</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fiscal 2018, other income (loss) consisted primarily of income from the minority interest share in the KLNA, KLH and Fabco joint ventures.</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Other income recognized for the year ended January 31, 2016 includes an $899,000 gain with respect to the revised estimated contingent consideration payable in connection with the acquisition of Vilebrequin and includes $272,000 of income from the minority interest share in the KLNA joint venture.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M — EQUITY INVESTMENTS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Investment in Fabco Holding B.V.</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In August 2017, the Company entered into a joint venture agreement with Amlon Capital B.V. (“Amlon”), a private company incorporated in the Netherlands, to produce and market women’s and men’s apparel and accessories pursuant to a long-term license for DKNY and Donna Karan in the People’s Republic of China, including Macau, Hong Kong and Taiwan. The Company owns 49% of the joint venture, with Amlon owning the remaining 51%. The joint venture will be funded with $25 million of equity to be used to strengthen the DKNY and Donna Karan brands and accelerate the growth of the business in the region. Of this amount, the Company is required to contribute an aggregate of $10.0 million to the joint venture by August 2018. The Company funded $49,000 of this amount upon the signing of the joint venture agreement. Starting January 1, 2018, this joint venture is the exclusive seller of women’s and men’s apparel, handbags, luggage and certain accessories under the DKNY and Donna Karan brands in the territory. The investment in Fabco, which is being accounted for under the equity method of accounting, is reflected in Investment in Unconsolidated Affiliates on the Consolidated Balance Sheets at January 31, 2018.</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Investment in Karl Lagerfeld Holding B.V.</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is intended to expand the partnership between the Company and the owners of Karl Lagerfeld brand and extend their business development opportunities on a global scale. The investment in KLH, which is being accounted for under the equity method of accounting, is reflected in Investment in Unconsolidated Affiliates on the Consolidated Balance Sheets at January 31, 2018 and 2017.</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Investment in KL North America</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currently uses, for all consumer products (except eyewear, fragrance, cosmetics, watches, jewelry, and hospitality services) and apparel in the United States, Canada and Mexico. The investment in KLNA, which is being accounted for under the equity method of accounting, is reflected in Investment in Unconsolidated Affiliates on the Consolidated Balance Sheets at January 31, 2018 and 2017.</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N — RELATED PARTY TRANSACTIONS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Transactions with Fabco</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G-III owns a 49% ownership interest in Fabco and is considered a related party of Fabco (see Note M). The Company sells inventory to Fabco and granted Fabco’s subsidiary the right to use certain Donna Karan and DKNY trademarks. In fiscal 2018, the Company sold $286,000 in inventory to Fabco. As of January 31, 2018, Fabco prepaid $517,000 to the Company for minimum royalties and marketing fees relating to the first quarter of 2018 and has a $97,000 payable balance relating to inventory purchased from the Company and its subsidiaries.</w:t>
      </w: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Transactions with LVMH</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On December 1, 2016, in connection with the acquisition of DKI, the Company issued approximately 2.6 million shares of G-III’s common stock to LVMH equal to $75 million. LVMH’s holdings represent 5.4% of the Company’s outstanding common stock. LVMH is considered a related party as a result of its beneficial ownership in the Company’s common stock being greater than 5%.</w:t>
      </w:r>
    </w:p>
    <w:p>
      <w:pPr>
        <w:spacing w:after="0" w:line="79"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On December 1, 2016, LVMH issued a junior lien secured promissory note in the principal amount of $125.0 million in connection with the acquisition of DKI that bears interest at the rate of 2% per annum. The Company paid interest in the amount of $2.5 million to LVMH in fiscal 2018 and has a $212,000 interest payable balance as of January 31, 2018. The Company paid interest in the amount of $212,000 to LVMH in fiscal 2017 and had a $212,000 interest payable balance as of January 31, 2017. The Company also had a balance due from LVMH in the amount of $7.3 million as a result of a working capital adjustment pursuant to the purchase agreement. This amount was included in prepaid expenses and other current assets in the accompanying Balance Sheet at January 31, 2017 and was paid by LVMH in March 2017.</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with KL North America</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G-III owns a 49% ownership interest in KLNA and is considered a related party of KLNA (see note M). The Company entered into a licensing agreement to use the brand rights to certain Karl Lagerfeld Paris trademarks held by KLNA. The Company incurred royalty and advertising expense of $4.8 million, $4.0 million and $1.0 million for the years ended January 31, 2018, 2017 and 2016, respectively. The Company began shipping Karl Lagerfeld Paris product in October 2015. As such, the expense for fiscal 2016 represents only four months of activity. The amount of royalty and advertising due to KLNA as of January 31, 2018, 2017 and 2016 was $1.5 million, $656,000 and $60,000,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O — QUARTERLY FINANCIAL DATA (UNAUDITED)</w:t>
      </w:r>
    </w:p>
    <w:p>
      <w:pPr>
        <w:spacing w:after="0" w:line="10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Summarized quarterly financial data for the fiscal years ended January 31, 2018 and 2017 are as follows (in thousands, except per share amounts):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4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4560" w:type="dxa"/>
            <w:vAlign w:val="bottom"/>
          </w:tcPr>
          <w:p>
            <w:pPr>
              <w:spacing w:after="0"/>
              <w:rPr>
                <w:sz w:val="14"/>
                <w:szCs w:val="14"/>
                <w:color w:val="auto"/>
              </w:rPr>
            </w:pPr>
          </w:p>
        </w:tc>
        <w:tc>
          <w:tcPr>
            <w:tcW w:w="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July 31,</w:t>
            </w:r>
          </w:p>
        </w:tc>
        <w:tc>
          <w:tcPr>
            <w:tcW w:w="1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October 31,</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January 31,</w:t>
            </w:r>
          </w:p>
        </w:tc>
      </w:tr>
      <w:tr>
        <w:trPr>
          <w:trHeight w:val="230"/>
        </w:trPr>
        <w:tc>
          <w:tcPr>
            <w:tcW w:w="45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74"/>
              <w:spacing w:after="0" w:line="230" w:lineRule="exact"/>
              <w:rPr>
                <w:sz w:val="20"/>
                <w:szCs w:val="20"/>
                <w:color w:val="auto"/>
              </w:rPr>
            </w:pPr>
            <w:r>
              <w:rPr>
                <w:rFonts w:ascii="Arial" w:cs="Arial" w:eastAsia="Arial" w:hAnsi="Arial"/>
                <w:sz w:val="14"/>
                <w:szCs w:val="14"/>
                <w:b w:val="1"/>
                <w:bCs w:val="1"/>
                <w:color w:val="auto"/>
                <w:w w:val="86"/>
              </w:rPr>
              <w:t>2018</w:t>
            </w:r>
            <w:r>
              <w:rPr>
                <w:rFonts w:ascii="Arial" w:cs="Arial" w:eastAsia="Arial" w:hAnsi="Arial"/>
                <w:sz w:val="21"/>
                <w:szCs w:val="21"/>
                <w:b w:val="1"/>
                <w:bCs w:val="1"/>
                <w:color w:val="auto"/>
                <w:w w:val="86"/>
                <w:vertAlign w:val="superscript"/>
              </w:rPr>
              <w:t>(1)</w:t>
            </w:r>
          </w:p>
        </w:tc>
        <w:tc>
          <w:tcPr>
            <w:tcW w:w="60" w:type="dxa"/>
            <w:vAlign w:val="bottom"/>
          </w:tcPr>
          <w:p>
            <w:pPr>
              <w:spacing w:after="0"/>
              <w:rPr>
                <w:sz w:val="19"/>
                <w:szCs w:val="19"/>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$529,042</w:t>
            </w:r>
          </w:p>
        </w:tc>
        <w:tc>
          <w:tcPr>
            <w:tcW w:w="14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$538,006</w:t>
            </w:r>
          </w:p>
        </w:tc>
        <w:tc>
          <w:tcPr>
            <w:tcW w:w="14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0"/>
              </w:rPr>
              <w:t>$1,024,993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$ 714,897</w:t>
            </w:r>
          </w:p>
        </w:tc>
        <w:tc>
          <w:tcPr>
            <w:tcW w:w="60" w:type="dxa"/>
            <w:vAlign w:val="bottom"/>
          </w:tcPr>
          <w:p>
            <w:pPr>
              <w:spacing w:after="0"/>
              <w:rPr>
                <w:sz w:val="21"/>
                <w:szCs w:val="2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201,856</w:t>
            </w:r>
          </w:p>
        </w:tc>
        <w:tc>
          <w:tcPr>
            <w:tcW w:w="140" w:type="dxa"/>
            <w:vAlign w:val="bottom"/>
          </w:tcPr>
          <w:p>
            <w:pPr>
              <w:spacing w:after="0"/>
              <w:rPr>
                <w:sz w:val="22"/>
                <w:szCs w:val="22"/>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202,891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390,865</w:t>
            </w: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259,293</w:t>
            </w:r>
          </w:p>
        </w:tc>
      </w:tr>
      <w:tr>
        <w:trPr>
          <w:trHeight w:val="25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(10,391)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(8,568)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81,625</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22"/>
                <w:szCs w:val="22"/>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23"/>
                <w:szCs w:val="23"/>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3"/>
                <w:szCs w:val="23"/>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353"/>
        </w:trPr>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c>
          <w:tcPr>
            <w:tcW w:w="80" w:type="dxa"/>
            <w:vAlign w:val="bottom"/>
          </w:tcPr>
          <w:p>
            <w:pPr>
              <w:spacing w:after="0"/>
              <w:rPr>
                <w:sz w:val="14"/>
                <w:szCs w:val="14"/>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July 31,</w:t>
            </w:r>
          </w:p>
        </w:tc>
        <w:tc>
          <w:tcPr>
            <w:tcW w:w="8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October 31,</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January 31,</w:t>
            </w:r>
          </w:p>
        </w:tc>
      </w:tr>
      <w:tr>
        <w:trPr>
          <w:trHeight w:val="230"/>
        </w:trPr>
        <w:tc>
          <w:tcPr>
            <w:tcW w:w="4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74"/>
              <w:spacing w:after="0" w:line="230" w:lineRule="exact"/>
              <w:rPr>
                <w:sz w:val="20"/>
                <w:szCs w:val="20"/>
                <w:color w:val="auto"/>
              </w:rPr>
            </w:pPr>
            <w:r>
              <w:rPr>
                <w:rFonts w:ascii="Arial" w:cs="Arial" w:eastAsia="Arial" w:hAnsi="Arial"/>
                <w:sz w:val="14"/>
                <w:szCs w:val="14"/>
                <w:b w:val="1"/>
                <w:bCs w:val="1"/>
                <w:color w:val="auto"/>
                <w:w w:val="86"/>
              </w:rPr>
              <w:t>2017</w:t>
            </w:r>
            <w:r>
              <w:rPr>
                <w:rFonts w:ascii="Arial" w:cs="Arial" w:eastAsia="Arial" w:hAnsi="Arial"/>
                <w:sz w:val="21"/>
                <w:szCs w:val="21"/>
                <w:b w:val="1"/>
                <w:bCs w:val="1"/>
                <w:color w:val="auto"/>
                <w:w w:val="86"/>
                <w:vertAlign w:val="superscript"/>
              </w:rPr>
              <w:t>(2)</w:t>
            </w:r>
          </w:p>
        </w:tc>
        <w:tc>
          <w:tcPr>
            <w:tcW w:w="60" w:type="dxa"/>
            <w:vAlign w:val="bottom"/>
          </w:tcPr>
          <w:p>
            <w:pPr>
              <w:spacing w:after="0"/>
              <w:rPr>
                <w:sz w:val="19"/>
                <w:szCs w:val="19"/>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$457,403</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$442,267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$883,476</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$ 603,289</w:t>
            </w:r>
          </w:p>
        </w:tc>
        <w:tc>
          <w:tcPr>
            <w:tcW w:w="60" w:type="dxa"/>
            <w:vAlign w:val="bottom"/>
          </w:tcPr>
          <w:p>
            <w:pPr>
              <w:spacing w:after="0"/>
              <w:rPr>
                <w:sz w:val="21"/>
                <w:szCs w:val="21"/>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165,669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155,643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321,452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198,097</w:t>
            </w:r>
          </w:p>
        </w:tc>
      </w:tr>
      <w:tr>
        <w:trPr>
          <w:trHeight w:val="25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(20,104)</w:t>
            </w:r>
          </w:p>
        </w:tc>
        <w:tc>
          <w:tcPr>
            <w:tcW w:w="60" w:type="dxa"/>
            <w:vAlign w:val="bottom"/>
          </w:tcPr>
          <w:p>
            <w:pPr>
              <w:spacing w:after="0"/>
              <w:rPr>
                <w:sz w:val="22"/>
                <w:szCs w:val="22"/>
                <w:color w:val="auto"/>
              </w:rPr>
            </w:pP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-2512060</wp:posOffset>
            </wp:positionV>
            <wp:extent cx="137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-2512060</wp:posOffset>
            </wp:positionV>
            <wp:extent cx="40563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9">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-1002665</wp:posOffset>
            </wp:positionV>
            <wp:extent cx="137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-1002665</wp:posOffset>
            </wp:positionV>
            <wp:extent cx="41078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1">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1620" w:right="739" w:hanging="352"/>
        <w:spacing w:after="0" w:line="297" w:lineRule="auto"/>
        <w:tabs>
          <w:tab w:leader="none" w:pos="1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fourth quarter of fiscal 2018, the Company recorded (i) a $6.5 million impairment charge related to leasehold improvements and furniture and fixtures at certain of Wilsons, G.H. Bass and Vilebrequin stores as a result of the performance at these stores, (ii) a $738,000 impairment charge with respect to furniture and fixtures located in certain customers’ stores and (iii) a $716,000 write-off of goodwill related to the retail operations segment as a result of the performance of the retail operations segment.</w:t>
      </w:r>
    </w:p>
    <w:p>
      <w:pPr>
        <w:spacing w:after="0" w:line="117" w:lineRule="exact"/>
        <w:rPr>
          <w:rFonts w:ascii="Arial" w:cs="Arial" w:eastAsia="Arial" w:hAnsi="Arial"/>
          <w:sz w:val="16"/>
          <w:szCs w:val="16"/>
          <w:color w:val="auto"/>
        </w:rPr>
      </w:pPr>
    </w:p>
    <w:p>
      <w:pPr>
        <w:jc w:val="both"/>
        <w:ind w:left="1620" w:right="759" w:hanging="352"/>
        <w:spacing w:after="0" w:line="264"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fourth quarter of fiscal 2017, the Company recorded a $10.5 million impairment charge related to leasehold improvements and furniture and fixtures at certain of Wilsons, G.H. Bass and Vilebrequin stores as a result of the performance at these stores.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P — SUBSEQUENT EVENTS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DKI acquisition final tax adjustment</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As discussed in Note D, the Company adjusted its goodwill in connection with the 338(h)(10) tax election made in connection with the acquisition of DKI. The payment was accrued for as of January 31, 2018 and the Company paid $4.6 million to LVMH on February 5, 2018.</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Bond issued in connection with the Canadian Customs Duty Examination</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As discussed in Note G, CBSA issued a final audit report to G-III Canada challenging the valuation used by G-III Canada for certain goods imported into Canada. On March 14, 2018, G-III Canada provided a bond to the CBSA to secure payment of the additional duties payable as a result of the reassessment required by the final audit report. The Company issued a bond in the amount of CAD$26.9 million ($20.9</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6"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million) representing customs duty and interest through December 31, 2017 that is claimed to be owed to the CBSA. In March 2018, the Company amended the duties filed for the month of January 2018 under the new valuation method. The additional duty claimed to be owed was amounted to CAD$1.4 million ($1.1 million) which is under review by the CBSA.</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7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Years ended January 31, 2018, 2017 and 2016</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94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Charges to</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Cost and</w:t>
            </w:r>
          </w:p>
        </w:tc>
        <w:tc>
          <w:tcPr>
            <w:tcW w:w="11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6"/>
              </w:rPr>
              <w:t>Deductions</w:t>
            </w:r>
            <w:r>
              <w:rPr>
                <w:rFonts w:ascii="Arial" w:cs="Arial" w:eastAsia="Arial" w:hAnsi="Arial"/>
                <w:sz w:val="21"/>
                <w:szCs w:val="21"/>
                <w:b w:val="1"/>
                <w:bCs w:val="1"/>
                <w:color w:val="auto"/>
                <w:w w:val="96"/>
                <w:vertAlign w:val="superscript"/>
              </w:rPr>
              <w:t>(a)</w:t>
            </w:r>
          </w:p>
        </w:tc>
        <w:tc>
          <w:tcPr>
            <w:tcW w:w="12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of Period</w:t>
            </w: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Expenses</w:t>
            </w:r>
          </w:p>
        </w:tc>
        <w:tc>
          <w:tcPr>
            <w:tcW w:w="114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83"/>
        </w:trPr>
        <w:tc>
          <w:tcPr>
            <w:tcW w:w="194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January 31, 2018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gridSpan w:val="3"/>
          </w:tcPr>
          <w:p>
            <w:pPr>
              <w:ind w:left="180"/>
              <w:spacing w:after="0"/>
              <w:rPr>
                <w:sz w:val="20"/>
                <w:szCs w:val="20"/>
                <w:color w:val="auto"/>
              </w:rPr>
            </w:pPr>
            <w:r>
              <w:rPr>
                <w:rFonts w:ascii="Arial" w:cs="Arial" w:eastAsia="Arial" w:hAnsi="Arial"/>
                <w:sz w:val="18"/>
                <w:szCs w:val="18"/>
                <w:color w:val="auto"/>
              </w:rPr>
              <w:t>Deducted from asset accounts</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57"/>
        </w:trPr>
        <w:tc>
          <w:tcPr>
            <w:tcW w:w="4640" w:type="dxa"/>
            <w:vAlign w:val="bottom"/>
            <w:gridSpan w:val="3"/>
          </w:tcPr>
          <w:p>
            <w:pPr>
              <w:ind w:left="360"/>
              <w:spacing w:after="0"/>
              <w:rPr>
                <w:sz w:val="20"/>
                <w:szCs w:val="20"/>
                <w:color w:val="auto"/>
              </w:rPr>
            </w:pPr>
            <w:r>
              <w:rPr>
                <w:rFonts w:ascii="Arial" w:cs="Arial" w:eastAsia="Arial" w:hAnsi="Arial"/>
                <w:sz w:val="18"/>
                <w:szCs w:val="18"/>
                <w:color w:val="auto"/>
              </w:rPr>
              <w:t>Reserve for returns</w:t>
            </w: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59,802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32,710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31,333</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61,179</w:t>
            </w:r>
          </w:p>
        </w:tc>
        <w:tc>
          <w:tcPr>
            <w:tcW w:w="0" w:type="dxa"/>
            <w:vAlign w:val="bottom"/>
          </w:tcPr>
          <w:p>
            <w:pPr>
              <w:spacing w:after="0"/>
              <w:rPr>
                <w:sz w:val="1"/>
                <w:szCs w:val="1"/>
                <w:color w:val="auto"/>
              </w:rPr>
            </w:pPr>
          </w:p>
        </w:tc>
      </w:tr>
      <w:tr>
        <w:trPr>
          <w:trHeight w:val="284"/>
        </w:trPr>
        <w:tc>
          <w:tcPr>
            <w:tcW w:w="4400" w:type="dxa"/>
            <w:vAlign w:val="bottom"/>
            <w:gridSpan w:val="2"/>
            <w:shd w:val="clear" w:color="auto" w:fill="CCEEFF"/>
          </w:tcPr>
          <w:p>
            <w:pPr>
              <w:ind w:left="360"/>
              <w:spacing w:after="0" w:line="284" w:lineRule="exact"/>
              <w:rPr>
                <w:sz w:val="20"/>
                <w:szCs w:val="20"/>
                <w:color w:val="auto"/>
              </w:rPr>
            </w:pPr>
            <w:r>
              <w:rPr>
                <w:rFonts w:ascii="Arial" w:cs="Arial" w:eastAsia="Arial" w:hAnsi="Arial"/>
                <w:sz w:val="18"/>
                <w:szCs w:val="18"/>
                <w:color w:val="auto"/>
              </w:rPr>
              <w:t>Reserve for sales allowances</w:t>
            </w:r>
            <w:r>
              <w:rPr>
                <w:rFonts w:ascii="Arial" w:cs="Arial" w:eastAsia="Arial" w:hAnsi="Arial"/>
                <w:sz w:val="27"/>
                <w:szCs w:val="27"/>
                <w:color w:val="auto"/>
                <w:vertAlign w:val="superscript"/>
              </w:rPr>
              <w:t>(b)</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303,734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296,084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102,144</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155,488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337,298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327,370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165,416</w:t>
            </w:r>
          </w:p>
        </w:tc>
        <w:tc>
          <w:tcPr>
            <w:tcW w:w="0" w:type="dxa"/>
            <w:vAlign w:val="bottom"/>
          </w:tcPr>
          <w:p>
            <w:pPr>
              <w:spacing w:after="0"/>
              <w:rPr>
                <w:sz w:val="1"/>
                <w:szCs w:val="1"/>
                <w:color w:val="auto"/>
              </w:rPr>
            </w:pPr>
          </w:p>
        </w:tc>
      </w:tr>
      <w:tr>
        <w:trPr>
          <w:trHeight w:val="311"/>
        </w:trPr>
        <w:tc>
          <w:tcPr>
            <w:tcW w:w="4640" w:type="dxa"/>
            <w:vAlign w:val="bottom"/>
            <w:tcBorders>
              <w:top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January 31, 2017</w:t>
            </w: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gridSpan w:val="3"/>
          </w:tcPr>
          <w:p>
            <w:pPr>
              <w:ind w:left="180"/>
              <w:spacing w:after="0"/>
              <w:rPr>
                <w:sz w:val="20"/>
                <w:szCs w:val="20"/>
                <w:color w:val="auto"/>
              </w:rPr>
            </w:pPr>
            <w:r>
              <w:rPr>
                <w:rFonts w:ascii="Arial" w:cs="Arial" w:eastAsia="Arial" w:hAnsi="Arial"/>
                <w:sz w:val="18"/>
                <w:szCs w:val="18"/>
                <w:color w:val="auto"/>
              </w:rPr>
              <w:t>Deducted from asset accounts</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57"/>
        </w:trPr>
        <w:tc>
          <w:tcPr>
            <w:tcW w:w="4640" w:type="dxa"/>
            <w:vAlign w:val="bottom"/>
            <w:gridSpan w:val="3"/>
          </w:tcPr>
          <w:p>
            <w:pPr>
              <w:ind w:left="360"/>
              <w:spacing w:after="0"/>
              <w:rPr>
                <w:sz w:val="20"/>
                <w:szCs w:val="20"/>
                <w:color w:val="auto"/>
              </w:rPr>
            </w:pPr>
            <w:r>
              <w:rPr>
                <w:rFonts w:ascii="Arial" w:cs="Arial" w:eastAsia="Arial" w:hAnsi="Arial"/>
                <w:sz w:val="18"/>
                <w:szCs w:val="18"/>
                <w:color w:val="auto"/>
              </w:rPr>
              <w:t>Reserve for returns</w:t>
            </w:r>
          </w:p>
        </w:tc>
        <w:tc>
          <w:tcPr>
            <w:tcW w:w="10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61,437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40,783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42,418</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59,802</w:t>
            </w:r>
          </w:p>
        </w:tc>
        <w:tc>
          <w:tcPr>
            <w:tcW w:w="0" w:type="dxa"/>
            <w:vAlign w:val="bottom"/>
          </w:tcPr>
          <w:p>
            <w:pPr>
              <w:spacing w:after="0"/>
              <w:rPr>
                <w:sz w:val="1"/>
                <w:szCs w:val="1"/>
                <w:color w:val="auto"/>
              </w:rPr>
            </w:pPr>
          </w:p>
        </w:tc>
      </w:tr>
      <w:tr>
        <w:trPr>
          <w:trHeight w:val="297"/>
        </w:trPr>
        <w:tc>
          <w:tcPr>
            <w:tcW w:w="4400" w:type="dxa"/>
            <w:vAlign w:val="bottom"/>
            <w:gridSpan w:val="2"/>
            <w:shd w:val="clear" w:color="auto" w:fill="CCEEFF"/>
          </w:tcPr>
          <w:p>
            <w:pPr>
              <w:ind w:left="360"/>
              <w:spacing w:after="0" w:line="297" w:lineRule="exact"/>
              <w:rPr>
                <w:sz w:val="20"/>
                <w:szCs w:val="20"/>
                <w:color w:val="auto"/>
              </w:rPr>
            </w:pPr>
            <w:r>
              <w:rPr>
                <w:rFonts w:ascii="Arial" w:cs="Arial" w:eastAsia="Arial" w:hAnsi="Arial"/>
                <w:sz w:val="18"/>
                <w:szCs w:val="18"/>
                <w:color w:val="auto"/>
              </w:rPr>
              <w:t>Reserve for sales allowances</w:t>
            </w:r>
            <w:r>
              <w:rPr>
                <w:rFonts w:ascii="Arial" w:cs="Arial" w:eastAsia="Arial" w:hAnsi="Arial"/>
                <w:sz w:val="27"/>
                <w:szCs w:val="27"/>
                <w:color w:val="auto"/>
                <w:vertAlign w:val="superscript"/>
              </w:rPr>
              <w:t>(b)</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266,263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244,684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94,494</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135,698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307,728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287,938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155,488</w:t>
            </w:r>
          </w:p>
        </w:tc>
        <w:tc>
          <w:tcPr>
            <w:tcW w:w="0" w:type="dxa"/>
            <w:vAlign w:val="bottom"/>
          </w:tcPr>
          <w:p>
            <w:pPr>
              <w:spacing w:after="0"/>
              <w:rPr>
                <w:sz w:val="1"/>
                <w:szCs w:val="1"/>
                <w:color w:val="auto"/>
              </w:rPr>
            </w:pPr>
          </w:p>
        </w:tc>
      </w:tr>
      <w:tr>
        <w:trPr>
          <w:trHeight w:val="325"/>
        </w:trPr>
        <w:tc>
          <w:tcPr>
            <w:tcW w:w="4640" w:type="dxa"/>
            <w:vAlign w:val="bottom"/>
            <w:tcBorders>
              <w:top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January 31, 2016</w:t>
            </w: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gridSpan w:val="3"/>
          </w:tcPr>
          <w:p>
            <w:pPr>
              <w:ind w:left="180"/>
              <w:spacing w:after="0"/>
              <w:rPr>
                <w:sz w:val="20"/>
                <w:szCs w:val="20"/>
                <w:color w:val="auto"/>
              </w:rPr>
            </w:pPr>
            <w:r>
              <w:rPr>
                <w:rFonts w:ascii="Arial" w:cs="Arial" w:eastAsia="Arial" w:hAnsi="Arial"/>
                <w:sz w:val="18"/>
                <w:szCs w:val="18"/>
                <w:color w:val="auto"/>
              </w:rPr>
              <w:t>Deducted from asset accounts</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0"/>
        </w:trPr>
        <w:tc>
          <w:tcPr>
            <w:tcW w:w="4640" w:type="dxa"/>
            <w:vAlign w:val="bottom"/>
            <w:gridSpan w:val="3"/>
          </w:tcPr>
          <w:p>
            <w:pPr>
              <w:ind w:left="360"/>
              <w:spacing w:after="0"/>
              <w:rPr>
                <w:sz w:val="20"/>
                <w:szCs w:val="20"/>
                <w:color w:val="auto"/>
              </w:rPr>
            </w:pPr>
            <w:r>
              <w:rPr>
                <w:rFonts w:ascii="Arial" w:cs="Arial" w:eastAsia="Arial" w:hAnsi="Arial"/>
                <w:sz w:val="18"/>
                <w:szCs w:val="18"/>
                <w:color w:val="auto"/>
              </w:rPr>
              <w:t>Reserve for returns</w:t>
            </w:r>
          </w:p>
        </w:tc>
        <w:tc>
          <w:tcPr>
            <w:tcW w:w="10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52,740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36,620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27,923</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61,437</w:t>
            </w:r>
          </w:p>
        </w:tc>
        <w:tc>
          <w:tcPr>
            <w:tcW w:w="0" w:type="dxa"/>
            <w:vAlign w:val="bottom"/>
          </w:tcPr>
          <w:p>
            <w:pPr>
              <w:spacing w:after="0"/>
              <w:rPr>
                <w:sz w:val="1"/>
                <w:szCs w:val="1"/>
                <w:color w:val="auto"/>
              </w:rPr>
            </w:pPr>
          </w:p>
        </w:tc>
      </w:tr>
      <w:tr>
        <w:trPr>
          <w:trHeight w:val="297"/>
        </w:trPr>
        <w:tc>
          <w:tcPr>
            <w:tcW w:w="4400" w:type="dxa"/>
            <w:vAlign w:val="bottom"/>
            <w:gridSpan w:val="2"/>
            <w:shd w:val="clear" w:color="auto" w:fill="CCEEFF"/>
          </w:tcPr>
          <w:p>
            <w:pPr>
              <w:ind w:left="360"/>
              <w:spacing w:after="0" w:line="297" w:lineRule="exact"/>
              <w:rPr>
                <w:sz w:val="20"/>
                <w:szCs w:val="20"/>
                <w:color w:val="auto"/>
              </w:rPr>
            </w:pPr>
            <w:r>
              <w:rPr>
                <w:rFonts w:ascii="Arial" w:cs="Arial" w:eastAsia="Arial" w:hAnsi="Arial"/>
                <w:sz w:val="18"/>
                <w:szCs w:val="18"/>
                <w:color w:val="auto"/>
              </w:rPr>
              <w:t>Reserve for sales allowances</w:t>
            </w:r>
            <w:r>
              <w:rPr>
                <w:rFonts w:ascii="Arial" w:cs="Arial" w:eastAsia="Arial" w:hAnsi="Arial"/>
                <w:sz w:val="27"/>
                <w:szCs w:val="27"/>
                <w:color w:val="auto"/>
                <w:vertAlign w:val="superscript"/>
              </w:rPr>
              <w:t>(b)</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212,145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191,597</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106,181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249,280</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219,763</w:t>
            </w:r>
          </w:p>
        </w:tc>
        <w:tc>
          <w:tcPr>
            <w:tcW w:w="120" w:type="dxa"/>
            <w:vAlign w:val="bottom"/>
          </w:tcPr>
          <w:p>
            <w:pPr>
              <w:ind w:left="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135,698</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-3566795</wp:posOffset>
            </wp:positionV>
            <wp:extent cx="13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-3566795</wp:posOffset>
            </wp:positionV>
            <wp:extent cx="137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-3566795</wp:posOffset>
            </wp:positionV>
            <wp:extent cx="137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620" w:hanging="35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Accounts written off as uncollectible, net of recoveries.</w:t>
      </w:r>
    </w:p>
    <w:p>
      <w:pPr>
        <w:spacing w:after="0" w:line="184"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A in the accompanying Notes to Consolidated Financial Statements for a description of sales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ind w:left="10240"/>
        <w:spacing w:after="0"/>
        <w:rPr>
          <w:sz w:val="20"/>
          <w:szCs w:val="20"/>
          <w:color w:val="auto"/>
        </w:rPr>
      </w:pPr>
      <w:r>
        <w:rPr>
          <w:rFonts w:ascii="Arial" w:cs="Arial" w:eastAsia="Arial" w:hAnsi="Arial"/>
          <w:sz w:val="17"/>
          <w:szCs w:val="17"/>
          <w:b w:val="1"/>
          <w:bCs w:val="1"/>
          <w:color w:val="auto"/>
        </w:rPr>
        <w:t>Exhibit 10.4(g)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 OF 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(2nd Floor (including mezzanine), 3rd, 4th, 5th, 21st, 22nd, 23rd, 24th, 27th, 28th, 29th, 30th, 31st, 36th, 39th and 40th Floors)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EIGHTH AMENDMENT OF LEASE </w:t>
      </w:r>
      <w:r>
        <w:rPr>
          <w:rFonts w:ascii="Arial" w:cs="Arial" w:eastAsia="Arial" w:hAnsi="Arial"/>
          <w:sz w:val="18"/>
          <w:szCs w:val="18"/>
          <w:color w:val="auto"/>
        </w:rPr>
        <w:t>(this “Agreement” or “Eighth Amendment”) is made as of June 16, 2016 (the “Effective Date”),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w:t>
      </w:r>
      <w:r>
        <w:rPr>
          <w:rFonts w:ascii="Arial" w:cs="Arial" w:eastAsia="Arial" w:hAnsi="Arial"/>
          <w:sz w:val="18"/>
          <w:szCs w:val="18"/>
          <w:b w:val="1"/>
          <w:bCs w:val="1"/>
          <w:color w:val="auto"/>
        </w:rPr>
        <w:t>500-512 SEVENTH AVENUE LIMITED PARTNERSHIP,</w:t>
      </w:r>
      <w:r>
        <w:rPr>
          <w:rFonts w:ascii="Arial" w:cs="Arial" w:eastAsia="Arial" w:hAnsi="Arial"/>
          <w:sz w:val="18"/>
          <w:szCs w:val="18"/>
          <w:color w:val="auto"/>
        </w:rPr>
        <w:t xml:space="preserve"> a New York limited partnership (“Landlord”) having an address c/o Newmark Grubb Knight Frank, 125 Park Avenue, New York, New York 10017, and </w:t>
      </w:r>
      <w:r>
        <w:rPr>
          <w:rFonts w:ascii="Arial" w:cs="Arial" w:eastAsia="Arial" w:hAnsi="Arial"/>
          <w:sz w:val="18"/>
          <w:szCs w:val="18"/>
          <w:b w:val="1"/>
          <w:bCs w:val="1"/>
          <w:color w:val="auto"/>
        </w:rPr>
        <w:t>G-III LEATHER FASHIONS, INC.,</w:t>
      </w:r>
      <w:r>
        <w:rPr>
          <w:rFonts w:ascii="Arial" w:cs="Arial" w:eastAsia="Arial" w:hAnsi="Arial"/>
          <w:sz w:val="18"/>
          <w:szCs w:val="18"/>
          <w:color w:val="auto"/>
        </w:rPr>
        <w:t xml:space="preserve"> a New York corporation, having an address at 512 Seventh Avenue, New York, New York, 10018 (“Tenant”).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500/512 Seventh Avenue Associates, Landlord’s predecessor-in-interest, and BET Studio LLC, Tenant’s predecessor-in-interest,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 certain agreement of lease dated as of April 23, 1997 (“Original Lease”), as amended by (i) the First Amendment to Lease dated as of July 1, 2000 (“First Amendment”), (ii) the Second Amendment to Lease dated as of May 1, 2001 (“Second Amendment”), (iii) the Third Amendment of Lease dated as of March 26, 2010 (“Third Amendment”), (iv) the Fourth Amendment of Lease dated as of September 1, 2010 (“Fourth Amendment”), (v) the Fifth Amendment of Lease dated as of November 2, 2010 (“Fifth Amendment”), (vi) the Sixth Amendment of Lease dated as of May 23, 2013 (“Sixth Amendment”), and (vii) the Seventh Amendment of Lease dated as of April 25, 2014 (collectively, and as amended hereby, the “Lease”) currently for the 2nd</w:t>
      </w:r>
    </w:p>
    <w:p>
      <w:pPr>
        <w:spacing w:after="0" w:line="4" w:lineRule="exact"/>
        <w:rPr>
          <w:sz w:val="20"/>
          <w:szCs w:val="20"/>
          <w:color w:val="auto"/>
        </w:rPr>
      </w:pPr>
    </w:p>
    <w:p>
      <w:pPr>
        <w:jc w:val="both"/>
        <w:ind w:right="20"/>
        <w:spacing w:after="0" w:line="219" w:lineRule="auto"/>
        <w:rPr>
          <w:sz w:val="20"/>
          <w:szCs w:val="20"/>
          <w:color w:val="auto"/>
        </w:rPr>
      </w:pPr>
      <w:r>
        <w:rPr>
          <w:rFonts w:ascii="Arial" w:cs="Arial" w:eastAsia="Arial" w:hAnsi="Arial"/>
          <w:sz w:val="17"/>
          <w:szCs w:val="17"/>
          <w:color w:val="auto"/>
        </w:rPr>
        <w:t>Floor (including mezzanine), the 21st, 22nd, 23rd, 24th, 27th, 28</w:t>
      </w:r>
      <w:r>
        <w:rPr>
          <w:rFonts w:ascii="Arial" w:cs="Arial" w:eastAsia="Arial" w:hAnsi="Arial"/>
          <w:sz w:val="28"/>
          <w:szCs w:val="28"/>
          <w:color w:val="auto"/>
          <w:vertAlign w:val="superscript"/>
        </w:rPr>
        <w:t>th</w:t>
      </w:r>
      <w:r>
        <w:rPr>
          <w:rFonts w:ascii="Arial" w:cs="Arial" w:eastAsia="Arial" w:hAnsi="Arial"/>
          <w:sz w:val="17"/>
          <w:szCs w:val="17"/>
          <w:color w:val="auto"/>
        </w:rPr>
        <w:t>, 29th, 30th, 31st, 36th, 39th and 40th Floors (collectively, the “Premises”) as more particularly described in the Lease, in the office building located at and known as 512 Seventh Avenue, New York, New York (the “Building”); and</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9" w:name="page110"/>
    <w:bookmarkEnd w:id="109"/>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 and Tenant desire to add to the Premises the entire rentable area of the 3rd, 4th, and 5th Floors of the Building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the “3, 4, 5 Floor Space”), as more fully described in Exhibit A annexed hereto and made a part hereof, for a term expiring May 31, 2026 (provided, however, if the Delivery Date (as defined below) occurs after June 1, 2016, this date shall be extended by the number of days after June 1, 2016 that the Delivery Date occurs), pursuant to the terms and conditions of the Lease;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 and Tenant desire to set forth the terms of Tenant’s option to renew the Lease (for a renewal term of five (5) years)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3, 4, 5 Floor Space;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hereinafter contained, the parties hereto by these presents do</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agree as follows:</w:t>
      </w:r>
    </w:p>
    <w:p>
      <w:pPr>
        <w:spacing w:after="0" w:line="162" w:lineRule="exact"/>
        <w:rPr>
          <w:sz w:val="20"/>
          <w:szCs w:val="20"/>
          <w:color w:val="auto"/>
        </w:rPr>
      </w:pPr>
    </w:p>
    <w:p>
      <w:pPr>
        <w:jc w:val="both"/>
        <w:ind w:firstLine="656"/>
        <w:spacing w:after="0" w:line="266" w:lineRule="auto"/>
        <w:tabs>
          <w:tab w:leader="none" w:pos="1661"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 Definitions</w:t>
      </w:r>
      <w:r>
        <w:rPr>
          <w:rFonts w:ascii="Arial" w:cs="Arial" w:eastAsia="Arial" w:hAnsi="Arial"/>
          <w:sz w:val="18"/>
          <w:szCs w:val="18"/>
          <w:color w:val="auto"/>
        </w:rPr>
        <w:t>. The Recitals set forth above are true and correct and are incorporated herein and form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defined in this Agreement, all terms used in this Agreement that are defined in the Lease shall have the meanings ascribed to them in the Lease.</w:t>
      </w:r>
    </w:p>
    <w:p>
      <w:pPr>
        <w:spacing w:after="0" w:line="176" w:lineRule="exact"/>
        <w:rPr>
          <w:rFonts w:ascii="Arial" w:cs="Arial" w:eastAsia="Arial" w:hAnsi="Arial"/>
          <w:sz w:val="18"/>
          <w:szCs w:val="18"/>
          <w:color w:val="auto"/>
        </w:rPr>
      </w:pPr>
    </w:p>
    <w:p>
      <w:pPr>
        <w:jc w:val="both"/>
        <w:ind w:firstLine="656"/>
        <w:spacing w:after="0" w:line="255" w:lineRule="auto"/>
        <w:tabs>
          <w:tab w:leader="none" w:pos="1755"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3, 4, 5 Floor Space Term</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agree that the term of the Lease is hereby extended with regard to the 3, 4, 5 Floor</w:t>
      </w:r>
      <w:r>
        <w:rPr>
          <w:rFonts w:ascii="Arial" w:cs="Arial" w:eastAsia="Arial" w:hAnsi="Arial"/>
          <w:sz w:val="18"/>
          <w:szCs w:val="18"/>
          <w:b w:val="1"/>
          <w:bCs w:val="1"/>
          <w:color w:val="auto"/>
        </w:rPr>
        <w:t xml:space="preserve"> </w:t>
      </w:r>
      <w:r>
        <w:rPr>
          <w:rFonts w:ascii="Arial" w:cs="Arial" w:eastAsia="Arial" w:hAnsi="Arial"/>
          <w:sz w:val="18"/>
          <w:szCs w:val="18"/>
          <w:color w:val="auto"/>
        </w:rPr>
        <w:t>Space only, to May 31, 2026 (provided, however, if the Delivery Date occurs after June 1, 2016, this date shall be extended by the number of days after June 1, 2016 that the Delivery Date occurs). The extension of the term of the Lease to May 31, 2026 (subject to extension as set forth above) for the 3, 4, 5 Floor Space does not extend Tenant’s right to occupy the balance of the Premises (i.e., 2nd Floor (including Mezzanine) and 21st, 22nd, 23rd, 24th, 27th, 29th, 31st, 36th, 39th and 40th Floors). Tenant acknowledges and agrees that the Tenant’s right to occupy the 2nd Floor (including Mezzanine) and 21st, 22nd, 23rd, 24th, 27th, 29th, 31st, 36th, 39th and 40th Floors) expires on March 31, 2023 and that Tenant’s right to occupy the 28th and 30th Floors expires on December 31, 2023, pursuant to the terms of the several Lease Amendments identified above, subject, however, to the options to renew set forth in such Lease Amendments.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both"/>
        <w:ind w:firstLine="656"/>
        <w:spacing w:after="0" w:line="293" w:lineRule="auto"/>
        <w:tabs>
          <w:tab w:leader="none" w:pos="1755" w:val="left"/>
        </w:tabs>
        <w:numPr>
          <w:ilvl w:val="0"/>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3, 4, 5 Floor Space</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shall be expanded to include each of the 3rd Floor, 4th Floor, and 5th Floor Spaces identified on</w:t>
      </w:r>
      <w:r>
        <w:rPr>
          <w:rFonts w:ascii="Arial" w:cs="Arial" w:eastAsia="Arial" w:hAnsi="Arial"/>
          <w:sz w:val="16"/>
          <w:szCs w:val="16"/>
          <w:b w:val="1"/>
          <w:bCs w:val="1"/>
          <w:color w:val="auto"/>
        </w:rPr>
        <w:t xml:space="preserve"> </w:t>
      </w:r>
      <w:r>
        <w:rPr>
          <w:rFonts w:ascii="Arial" w:cs="Arial" w:eastAsia="Arial" w:hAnsi="Arial"/>
          <w:sz w:val="16"/>
          <w:szCs w:val="16"/>
          <w:color w:val="auto"/>
        </w:rPr>
        <w:t>Exhibit A hereto for the period commencing on the Delivery Date and ending May 31, 2026 (subject to extension as set forth in paragraph 2 above, both dates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inclusive) (“3, 4, 5 Floor Space Term”). Tenant acknowledges that Landlord shall complete Landlord’s Work on each of the 3</w:t>
      </w:r>
      <w:r>
        <w:rPr>
          <w:rFonts w:ascii="Arial" w:cs="Arial" w:eastAsia="Arial" w:hAnsi="Arial"/>
          <w:sz w:val="26"/>
          <w:szCs w:val="26"/>
          <w:color w:val="auto"/>
          <w:vertAlign w:val="superscript"/>
        </w:rPr>
        <w:t>rd</w:t>
      </w:r>
      <w:r>
        <w:rPr>
          <w:rFonts w:ascii="Arial" w:cs="Arial" w:eastAsia="Arial" w:hAnsi="Arial"/>
          <w:sz w:val="16"/>
          <w:szCs w:val="16"/>
          <w:color w:val="auto"/>
        </w:rPr>
        <w:t>,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floors at different times, and agrees to deliver possession of each floor, in the condition required hereunder, when Landlord’s Work on such floor has been completed. For the purposes of this Agreement, the “Delivery Date” shall be the date upon which Landlord gives Tenant possession of the final floor of the 3, 4, 5 Floor Space pursuant to the terms of the Lease, in its “as is”, “where is” condition, with all faults; provided however, that (A) Landlord shall, prior to the Delivery Date, complete Landlord’s Work to each floor as set forth on Exhibit B attached hereto and made a part hereof in a good and workmanlike manner and (B) the 3, 4, 5 Floor Space shall, on the Delivery Date, be free of (i) all tenancies and occupants other than Tenant and its employees, agents and subsidiaries, (ii) violations (other than violations caused by Tenant or Tenant’s agents, contractors or employees) that would prevent Tenant from obtaining a work permit for the performance of Tenant’s Initial 3, 4, 5 Floor Work (as hereafter defined), and (iii) asbestos in friable condition. Tenant agrees that if at any time, it uncovers asbestos while making improvements to the 3, 4, 5 Floor Space and the asbestos is not in friable condition, or is or can be encapsulated, then Landlord will have no obligation to remove the asbestos. By way of example, if there is VAT tile, which is covered, or shall be covered by Tenant with other floor covering, Landlord shall have no obligation to remove the VAT tile. If Tenant elects to perform demolition work within the 3, 4, 5 Floor Space, Landlord agrees to obtain for Tenant an ACP-5 for any such work within twenty (20) days after receipt from Tenant of demolition plans for the 3, 4, 5 Floor Space.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LANDLORD AND LANDLORD’S AGENTS HAVE MADE NO REPRESENTATION OR WARRANTY TO TENANT, EXPRESS OR IMPLIED, RESPECTING THE CONDITION OF THE 3, 4, 5 FLOOR SPACE LEASED HEREUNDER OR THE BUILDING, INCLUDING WITHOUT LIMITATION (A) ANY IMPLIED OR EXPRESS WARRANTY OF QUALITY, CONDITION OR TENANTABILITY, OR (B) ANY IMPLIED OR EXPRESS WARRANTY OF FITNESS FOR A PARTICULAR PURPOSE. Except for the removal of asbestos in friable condition, if any, (as expressly required pursuant to this Article 3 of this Agreement), Landlord shall not be obligated or required to do any work or make any alterations or decorations or install any fixtures, equipment or improvements or make any repairs or replacements to the 3, 4, 5 Floor Space to prepare or fit the same for Tenant’s use or for any other reason whatsoever. Except as expressly set forth herein, Landlord shall not be obligated or required to pay any work contribution or construction allowance in connection with Tenant’s lease of the 3, 4, 5 Floor Space.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ind w:right="20" w:firstLine="656"/>
        <w:spacing w:after="0" w:line="313" w:lineRule="auto"/>
        <w:tabs>
          <w:tab w:leader="none" w:pos="1823" w:val="left"/>
        </w:tabs>
        <w:numPr>
          <w:ilvl w:val="0"/>
          <w:numId w:val="36"/>
        </w:numPr>
        <w:rPr>
          <w:rFonts w:ascii="Arial" w:cs="Arial" w:eastAsia="Arial" w:hAnsi="Arial"/>
          <w:sz w:val="17"/>
          <w:szCs w:val="17"/>
          <w:color w:val="auto"/>
        </w:rPr>
      </w:pPr>
      <w:r>
        <w:rPr>
          <w:rFonts w:ascii="Arial" w:cs="Arial" w:eastAsia="Arial" w:hAnsi="Arial"/>
          <w:sz w:val="17"/>
          <w:szCs w:val="17"/>
          <w:b w:val="1"/>
          <w:bCs w:val="1"/>
          <w:u w:val="single" w:color="auto"/>
          <w:color w:val="auto"/>
        </w:rPr>
        <w:t>Fixed Rent for 3, 4, 5 Floor Space During 3, 4, 5 Floor Space Term</w:t>
      </w:r>
      <w:r>
        <w:rPr>
          <w:rFonts w:ascii="Arial" w:cs="Arial" w:eastAsia="Arial" w:hAnsi="Arial"/>
          <w:sz w:val="17"/>
          <w:szCs w:val="17"/>
          <w:color w:val="auto"/>
        </w:rPr>
        <w:t>. During the 3, 4, 5 Floor Space Term, Tenant shall pay to</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in accordance with the terms and conditions set forth in the Lease, Fixed Rent for the 3, 4, 5 Floor Space in the amounts set forth below:</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tcBorders>
              <w:top w:val="single" w:sz="8" w:color="auto"/>
              <w:left w:val="single" w:sz="8" w:color="auto"/>
              <w:bottom w:val="single" w:sz="8" w:color="auto"/>
              <w:right w:val="single" w:sz="8" w:color="auto"/>
            </w:tcBorders>
            <w:shd w:val="clear" w:color="auto" w:fill="D9D9D9"/>
          </w:tcPr>
          <w:p>
            <w:pPr>
              <w:ind w:left="1280"/>
              <w:spacing w:after="0"/>
              <w:rPr>
                <w:sz w:val="20"/>
                <w:szCs w:val="20"/>
                <w:color w:val="auto"/>
              </w:rPr>
            </w:pPr>
            <w:r>
              <w:rPr>
                <w:rFonts w:ascii="Arial" w:cs="Arial" w:eastAsia="Arial" w:hAnsi="Arial"/>
                <w:sz w:val="18"/>
                <w:szCs w:val="18"/>
                <w:color w:val="auto"/>
              </w:rPr>
              <w:t>Time Period</w:t>
            </w:r>
          </w:p>
        </w:tc>
        <w:tc>
          <w:tcPr>
            <w:tcW w:w="7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Fixed Rent per Annum and per Month (3, 4, 5 Floor Space)</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$2,044,020.00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Delivery Date – May 31, 2017*</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($170,335.00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$2,095,120.50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2017 – May 31, 2018</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($174,593.38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$2,147,498.51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2018 – May 31, 2019</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($178,958.21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$2,294,095.98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2019 – May 31, 2020</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($191,174.66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$2,351,448.38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2020 – May 31, 2021</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($195,954.03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$2,410,234.59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2021 – May 31, 2022</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($200,852.88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$2,563,400.95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2022 – May 31, 2023</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($213,616.70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$2,627,485.46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2023 – May 31, 2024</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($218,957.12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$2,693,172.60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2024 – May 31, 2025</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($224,431.05 per month)</w:t>
            </w:r>
          </w:p>
        </w:tc>
      </w:tr>
      <w:tr>
        <w:trPr>
          <w:trHeight w:val="411"/>
        </w:trPr>
        <w:tc>
          <w:tcPr>
            <w:tcW w:w="3460" w:type="dxa"/>
            <w:vAlign w:val="bottom"/>
            <w:tcBorders>
              <w:left w:val="single" w:sz="8" w:color="auto"/>
              <w:right w:val="single" w:sz="8" w:color="auto"/>
            </w:tcBorders>
          </w:tcPr>
          <w:p>
            <w:pPr>
              <w:spacing w:after="0"/>
              <w:rPr>
                <w:sz w:val="24"/>
                <w:szCs w:val="24"/>
                <w:color w:val="auto"/>
              </w:rPr>
            </w:pPr>
          </w:p>
        </w:tc>
        <w:tc>
          <w:tcPr>
            <w:tcW w:w="7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$2,760,501.91 per annum</w:t>
            </w:r>
          </w:p>
        </w:tc>
      </w:tr>
      <w:tr>
        <w:trPr>
          <w:trHeight w:val="230"/>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June 1, 2025 – May 31, 2026*</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($230,041.83 per month)</w:t>
            </w:r>
          </w:p>
        </w:tc>
      </w:tr>
    </w:tbl>
    <w:p>
      <w:pPr>
        <w:spacing w:after="0" w:line="202" w:lineRule="exact"/>
        <w:rPr>
          <w:sz w:val="20"/>
          <w:szCs w:val="20"/>
          <w:color w:val="auto"/>
        </w:rPr>
      </w:pPr>
    </w:p>
    <w:p>
      <w:pPr>
        <w:jc w:val="both"/>
        <w:ind w:left="340" w:hanging="339"/>
        <w:spacing w:after="0" w:line="277" w:lineRule="auto"/>
        <w:tabs>
          <w:tab w:leader="none" w:pos="320" w:val="left"/>
        </w:tabs>
        <w:rPr>
          <w:sz w:val="20"/>
          <w:szCs w:val="20"/>
          <w:color w:val="auto"/>
        </w:rPr>
      </w:pPr>
      <w:r>
        <w:rPr>
          <w:rFonts w:ascii="Arial" w:cs="Arial" w:eastAsia="Arial" w:hAnsi="Arial"/>
          <w:sz w:val="18"/>
          <w:szCs w:val="18"/>
          <w:color w:val="auto"/>
        </w:rPr>
        <w:t>*If</w:t>
        <w:tab/>
        <w:t>Landlord delivers the 3, 4, 5 Floor Space to Tenant after June 1, 2016, this date shall be extended by the number of days after June 1, 2016 that the Delivery Date occurs, and Fixed Rent shall be pro-rated for partial months.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Provided and on the condition that Tenant is not then in default under the terms of the Lease beyond any applicable notice and cure periods as of the date of the application of the credit, Tenant shall be entitled to a credit against the obligation to pay Fixed Rent for the 3, 4, 5 Floor Space only, in the aggregate amount of $1,022,010.00 (“3, 4, 5 Floor Space Credit”) to be applied only against the Fixed Rent for the 3, 4, 5 Floor Space in the amount of $170,335.00 on each of June 1, 2016, July 1, 2016, June 1, 2017, July 1, 2017, June 1, 2018, and July 1, 2018. Except for the 3, 4, 5 Floor Space Credit and as otherwise may be expressly set forth herein or elsewhere in the Lease, Tenant shall not be entitled to any free rent, rent abatement, or rent credit of any kind against Tenant’s obligation to pay Fixed Rent for the 3, 4, 5 Floor Space.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both"/>
        <w:ind w:left="-60" w:firstLine="656"/>
        <w:spacing w:after="0" w:line="258" w:lineRule="auto"/>
        <w:tabs>
          <w:tab w:leader="none" w:pos="166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Electricity, Water, Sewer and Sprinkler for 3, 4, 5 Floor Space During 3, 4, 5 Floor Term</w:t>
      </w:r>
      <w:r>
        <w:rPr>
          <w:rFonts w:ascii="Arial" w:cs="Arial" w:eastAsia="Arial" w:hAnsi="Arial"/>
          <w:sz w:val="18"/>
          <w:szCs w:val="18"/>
          <w:color w:val="auto"/>
        </w:rPr>
        <w:t>. During the 3, 4, 5 Floor Space Term,</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for all of the following with respect to the 3, 4, 5 Floor Space: (i) electrical use on a ‘submetering’ basis in accordance with Article Twenty-Second of the First Amendment, (ii) water and sewer charges of $102 per month for each floor in the 3, 4, 5 Floor Space in accordance with Article Twenty-Third of the Original Lease, and (iii) a sprinkler supervisory service charge of $102 per month for each floor in the 3, 4, 5 Floor Space in accordance with Article Twenty-Fourth of the Original Lease.</w:t>
      </w:r>
    </w:p>
    <w:p>
      <w:pPr>
        <w:spacing w:after="0" w:line="183" w:lineRule="exact"/>
        <w:rPr>
          <w:rFonts w:ascii="Arial" w:cs="Arial" w:eastAsia="Arial" w:hAnsi="Arial"/>
          <w:sz w:val="18"/>
          <w:szCs w:val="18"/>
          <w:color w:val="auto"/>
        </w:rPr>
      </w:pPr>
    </w:p>
    <w:p>
      <w:pPr>
        <w:jc w:val="both"/>
        <w:ind w:left="-60" w:firstLine="656"/>
        <w:spacing w:after="0" w:line="303" w:lineRule="auto"/>
        <w:tabs>
          <w:tab w:leader="none" w:pos="1641" w:val="left"/>
        </w:tabs>
        <w:numPr>
          <w:ilvl w:val="0"/>
          <w:numId w:val="37"/>
        </w:numPr>
        <w:rPr>
          <w:rFonts w:ascii="Arial" w:cs="Arial" w:eastAsia="Arial" w:hAnsi="Arial"/>
          <w:sz w:val="16"/>
          <w:szCs w:val="16"/>
          <w:color w:val="auto"/>
        </w:rPr>
      </w:pPr>
      <w:r>
        <w:rPr>
          <w:rFonts w:ascii="Arial" w:cs="Arial" w:eastAsia="Arial" w:hAnsi="Arial"/>
          <w:sz w:val="16"/>
          <w:szCs w:val="16"/>
          <w:b w:val="1"/>
          <w:bCs w:val="1"/>
          <w:u w:val="single" w:color="auto"/>
          <w:color w:val="auto"/>
        </w:rPr>
        <w:t>Real Estate Taxes for 3, 4, 5 Floor Space During 3, 4, 5 Floor Space Term</w:t>
      </w:r>
      <w:r>
        <w:rPr>
          <w:rFonts w:ascii="Arial" w:cs="Arial" w:eastAsia="Arial" w:hAnsi="Arial"/>
          <w:sz w:val="16"/>
          <w:szCs w:val="16"/>
          <w:color w:val="auto"/>
        </w:rPr>
        <w:t>. During the 3, 4, 5 Floor Space Term, Tenant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tax escalation with respect to the 3, 4, 5 Floor Space in accordance with Article Fifty-Eighth of the Original Lease except that (i) the base tax year shall be the New York City Real Estate tax year commencing July 1, 2017 and ending June 30, 2018, (ii) the base tax year and each of the comparative years’ taxes shall be calculated without giving effect to any tax abatement or exemption, and (iii) the Percentage for the 3, 4, 5 Floor Space shall be 8.57%.</w:t>
      </w:r>
    </w:p>
    <w:p>
      <w:pPr>
        <w:spacing w:after="0" w:line="151" w:lineRule="exact"/>
        <w:rPr>
          <w:rFonts w:ascii="Arial" w:cs="Arial" w:eastAsia="Arial" w:hAnsi="Arial"/>
          <w:sz w:val="16"/>
          <w:szCs w:val="16"/>
          <w:color w:val="auto"/>
        </w:rPr>
      </w:pPr>
    </w:p>
    <w:p>
      <w:pPr>
        <w:jc w:val="both"/>
        <w:ind w:left="-60" w:firstLine="656"/>
        <w:spacing w:after="0" w:line="281" w:lineRule="auto"/>
        <w:tabs>
          <w:tab w:leader="none" w:pos="1803" w:val="left"/>
        </w:tabs>
        <w:numPr>
          <w:ilvl w:val="0"/>
          <w:numId w:val="37"/>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Rent for 3, 4, 5 Floor Space During 3, 4, 5 Floor Space Term</w:t>
      </w:r>
      <w:r>
        <w:rPr>
          <w:rFonts w:ascii="Arial" w:cs="Arial" w:eastAsia="Arial" w:hAnsi="Arial"/>
          <w:sz w:val="17"/>
          <w:szCs w:val="17"/>
          <w:color w:val="auto"/>
        </w:rPr>
        <w:t>. In addition to the Fixed Rent and specific items of</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rent set forth above, during the 3, 4, 5 Floor Space Term, Tenant shall be responsible for all additional rent with respect to the 3, 4, 5 Floor Space as set forth in the Lease. Except as otherwise may be expressly set forth herein or elsewhere in the Lease, Tenant shall not be entitled to any free rent, rent abatement, or rent credit of any kind against Tenant’s obligation to pay additional rent for the 3, 4, 5 Floor Space.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13" w:name="page114"/>
    <w:bookmarkEnd w:id="113"/>
    <w:p>
      <w:pPr>
        <w:jc w:val="both"/>
        <w:ind w:left="-60" w:firstLine="656"/>
        <w:spacing w:after="0" w:line="270" w:lineRule="auto"/>
        <w:tabs>
          <w:tab w:leader="none" w:pos="1776" w:val="left"/>
        </w:tabs>
        <w:numPr>
          <w:ilvl w:val="0"/>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Work Contribution (3, 4, 5 Floor Space)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Tenant shall not be in default under this Lease beyond the expiration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notice and cure periods, Landlord shall contribute as hereinafter provided an amount (“3, 4, 5 Floor Work Contribution”) not to exceed a maximum of $1,393,650.00 toward (a) Tenant’s actual “hard costs” of performing and completing Tenant’s build out of the 3, 4, 5 Floor Space (“Tenant’s Initial 3, 4, 5 Floor Work”), which Tenant’s Initial 3, 4, 5 Floor Work shall be subject to the Tenant alteration provisions of the Lease (including, without limitation, the requirement that Tenant obtain Landlord’s prior written consent thereto), (b) “Soft Costs” incurred in connection with Tenant’s Initial 3, 4, 5 Floor Work, including architectural and engineering fees and other soft costs incurred in connection with Tenant’s Initial 3, 4, 5 Floor Work (Soft Costs shall mean the cost of space planning, engineering and design costs, third party construction management fees, permitting, furniture, moving and other soft costs and data and voice equipment, cabling, wiring and related expenses), and (c) the actual Hard Costs and/or Soft Costs of any other alterations being performed by Tenant to the Premises on any floor of the Premises (which alterations shall be subject to Tenant alteration provisions of the Lease (including, without limitation, the requirement that Tenant obtain Landlord’s prior written consent thereto).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14" w:name="page115"/>
    <w:bookmarkEnd w:id="114"/>
    <w:p>
      <w:pPr>
        <w:jc w:val="both"/>
        <w:ind w:firstLine="648"/>
        <w:spacing w:after="0" w:line="282" w:lineRule="auto"/>
        <w:rPr>
          <w:sz w:val="20"/>
          <w:szCs w:val="20"/>
          <w:color w:val="auto"/>
        </w:rPr>
      </w:pPr>
      <w:r>
        <w:rPr>
          <w:rFonts w:ascii="Arial" w:cs="Arial" w:eastAsia="Arial" w:hAnsi="Arial"/>
          <w:sz w:val="16"/>
          <w:szCs w:val="16"/>
          <w:color w:val="auto"/>
        </w:rPr>
        <w:t xml:space="preserve">Provided that the Lease is in full force and effect and no event of default shall have occurred and is continuing hereunder beyond the expiration of any applicable notice and cure periods, and provided further that there are no outstanding mechanic’s liens, financing statements or other liens, charges or orders in existence filed against Landlord, or against all or any portion of the Premises, or the Building due to any act or omission of Tenant or any of Tenant’s contractors or affiliates that has not been actually released and discharged of record or bonded or insured over to the reasonable satisfaction of Landlord, Landlord shall make progress payments to Tenant on account of the 3, 4, 5 Floor Work Contribution on a periodic basis as set forth below in reimbursement of the cost of the work performed by or on behalf of Tenant and paid for by Tenant for Tenant’s Initial 3, 4, 5 Floor Work and/or other alterations to the Premises (and not previously reimbursed out of disbursements from the 3, 4, 5 Floor Work Contribution). Concurrently with a request by Tenant for reimbursement out of the 3, 4, 5 Floor Work Contribution, Tenant shall provide documentation to Landlord evidencing that Tenant has retained a portion of the total amounts then due to Tenant’s general contractor which portion shall not be less than (a) ten percent (10%) until at least fifty percent (50%) of the Tenant’s Initial 3, 4, 5 Floor Work and/or other alterations to the Premises have been substantially completed and (b) five percent (5%) until all of Tenant’s Initial 3, 4, 5 Floor Work have been substantially completed. Each of Landlord’s progress payments will be limited to an amount equal to (a) the aggregate amounts theretofore paid by Tenant (as certified by an authorized officer of Tenant) to Tenant’s contractors, subcontractors and material suppliers (excluding any payments for which Tenant has previously been reimbursed out of previous disbursements from 3, 4, 5 Floor Work Contribution), </w:t>
      </w:r>
      <w:r>
        <w:rPr>
          <w:rFonts w:ascii="Arial" w:cs="Arial" w:eastAsia="Arial" w:hAnsi="Arial"/>
          <w:sz w:val="16"/>
          <w:szCs w:val="16"/>
          <w:b w:val="1"/>
          <w:bCs w:val="1"/>
          <w:i w:val="1"/>
          <w:iCs w:val="1"/>
          <w:color w:val="auto"/>
        </w:rPr>
        <w:t>multiplied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by </w:t>
      </w:r>
      <w:r>
        <w:rPr>
          <w:rFonts w:ascii="Arial" w:cs="Arial" w:eastAsia="Arial" w:hAnsi="Arial"/>
          <w:sz w:val="16"/>
          <w:szCs w:val="16"/>
          <w:color w:val="auto"/>
        </w:rPr>
        <w:t>(b) a fraction (which shall not exceed 1.0), the numerator of which is the amount of 3, 4, 5 Floor Work Contribution, and the denominator of which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contract price (or, if there is no specified or fixed contract price for Tenant’s Initial 3, 4, 5 Floor Work, and/or other alterations to the Premises, then Landlord’s reasonable estimate thereof) for the performance of all of Tenant’s Initial 3, 4, 5 Floor Work and/or other alterations to the Premises shown on all plans and specifications approved by Landlord. Provided that Tenant delivers requisitions to Landlord no more than once every sixty (60) days, such progress payments shall be made within sixty (60) days after the delivery to Landlord of requisitions therefor (the date that each requisition is delivered to Landlord being referred to herein as the “Requisition Delivery Date”), signed by an officer of Tenant, which requisitions shall set forth the names of each contractor and subcontractor to whom payment is due, and the amount thereof, and shall be accompanied by (i) copies of partial waivers of lien from all contractors, subcontractors and material suppliers covering all work and materials which were the subject of previous progress payments by Landlord and Tenant, (ii) a written certification from Tenant that the work for which the requisition is being made has been completed substantially in accordance with the plans and specifications approved by Landlord, (iii) copies of canceled checks from Tenant’s general contractor evidencing the payment in full of the work for which such requisition is being made, and (iv) such other documents and information as Landlord may reasonably request. Provided true, correct and complete requisitions are made no more often than every sixty (60) days, and provided further that the required accompanying documentation as set forth in this Article 8 is delivered to Landlord with such requisition, such requisition shall be paid by Landlord within sixty (60) days after Landlord’s receipt of the applicable requisition. If only a portion of the requisition is rejected by Landlord as provided in this Article, Landlord shall cause the non-rejected portion of such requisition to be paid within the original sixty (60) day timeframe set forth above. Notwithstanding anything set forth above, Landlord shall review each requisition submitted by Tenant and, within ten (10) business days after the applicable Requisition Delivery Date, either (i) provide written notice to Tenant of Landlord’s approval of such requisition or (ii) provide written notice to Tenant setting forth in reasonable detail any items that in Landlord’s reasonable judgment would prevent payment of such requisition by Landlord in accordance with the provisions set forth herein. If Landlord fails to respond to Tenant’s requisition as set forth above within ten (10) business days after the Requisition Delivery Date, Tenant shall have the right to provide Landlord with a second written notice requesting such approval. Said second written notice shall include in bold uppercase writing that “</w:t>
      </w:r>
      <w:r>
        <w:rPr>
          <w:rFonts w:ascii="Arial" w:cs="Arial" w:eastAsia="Arial" w:hAnsi="Arial"/>
          <w:sz w:val="16"/>
          <w:szCs w:val="16"/>
          <w:b w:val="1"/>
          <w:bCs w:val="1"/>
          <w:color w:val="auto"/>
        </w:rPr>
        <w:t>PURSUANT TO THE EIGHTH</w:t>
      </w:r>
    </w:p>
    <w:p>
      <w:pPr>
        <w:spacing w:after="0" w:line="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AMENDMENT OF LEASE, LANDLORD’S FAILURE TO RESPOND TO THE ENCLOSED REQUISITION WITHIN FIVE (5) BUSINESS DAYS AFTER LANDLORD’S RECEIPT OF THIS REQUEST, SHALL BE DEEMED TO MEAN THAT THE ENCLOSED REQUISIITON IS APPROVED BY LANDLORD.” </w:t>
      </w:r>
      <w:r>
        <w:rPr>
          <w:rFonts w:ascii="Arial" w:cs="Arial" w:eastAsia="Arial" w:hAnsi="Arial"/>
          <w:sz w:val="17"/>
          <w:szCs w:val="17"/>
          <w:color w:val="auto"/>
        </w:rPr>
        <w:t>If Tenant provides the second notice in accordance herewith and Landlord fails to respond to the second notice within five</w:t>
      </w:r>
    </w:p>
    <w:p>
      <w:pPr>
        <w:spacing w:after="0" w:line="1" w:lineRule="exact"/>
        <w:rPr>
          <w:sz w:val="20"/>
          <w:szCs w:val="20"/>
          <w:color w:val="auto"/>
        </w:rPr>
      </w:pPr>
    </w:p>
    <w:p>
      <w:pPr>
        <w:jc w:val="both"/>
        <w:ind w:firstLine="8"/>
        <w:spacing w:after="0" w:line="283" w:lineRule="auto"/>
        <w:tabs>
          <w:tab w:leader="none" w:pos="27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business days after Landlord’s receipt thereof, as Tenant’s sole and exclusive remedy, such requisition shall be deemed approved, subject only to any written comments from Landlord’s lender or said lender’s servicer. All requisitions shall be submitted on AIA Form G702 and G703. All requisitions must be submitted on or before May 31, 2019 (the “3, 4, 5 Floor Final Submission Date”), </w:t>
      </w:r>
      <w:r>
        <w:rPr>
          <w:rFonts w:ascii="Arial" w:cs="Arial" w:eastAsia="Arial" w:hAnsi="Arial"/>
          <w:sz w:val="16"/>
          <w:szCs w:val="16"/>
          <w:b w:val="1"/>
          <w:bCs w:val="1"/>
          <w:i w:val="1"/>
          <w:iCs w:val="1"/>
          <w:color w:val="auto"/>
        </w:rPr>
        <w:t>time being of the essence</w:t>
      </w:r>
      <w:r>
        <w:rPr>
          <w:rFonts w:ascii="Arial" w:cs="Arial" w:eastAsia="Arial" w:hAnsi="Arial"/>
          <w:sz w:val="16"/>
          <w:szCs w:val="16"/>
          <w:color w:val="auto"/>
        </w:rPr>
        <w:t xml:space="preserve"> as to such date; provided, however, if the Delivery Date is after June 1, 2016, the 3, 4, 5 Floor Final Submission Date shall be extended by the number of days after June 1, 2016 that the Delivery Date occurs. The amounts requested under Tenant’s final requisition of the 3, 4, 5 Floor Work Contribution (which shall include, without limitation, the 5% Retainage (as hereafter defined)) shall not be disbursed until all documentation required under this Article 8, together with (A) proof of the satisfactory completion of all required inspections and issuance of any required approvals, permits and sign-offs for Tenant’s Initial 3, 4, 5 Floor Work and other alterations to the Premises by all Governmental Authorities having jurisdiction thereover (it being acknowledged that a copy of the back of the building permit with “sign-offs” from the applicable inspectors shall satisfy the requirements of this subsection (A)). Notwithstanding anything set forth above to the contrary, the requirements set forth in this subsection (A) shall not be a prerequisite to payment by Landlord of the final requisition of the 3, 4, 5 Floor Work Contribution; provided, however, should Tenant fail to submit the items required by this subsection (A), Landlord shall have the absolute right to retain an amount equal to five percent (5%) of the 3, 4, 5 Floor Work Contribution (“5% Retainage”) until such time as Tenant submits the items required by this subsection (A), (B) final “as-built” plans and specifications for Tenant’s Initial 3, 4, 5 Floor Work, (C) the issuance of final lien waivers by all contractors, subcontractors and material suppliers (in each case having contracts with a value over $10,000) covering all of Tenant’s Initial 3, 4, 5 Floor Work, and (D) copies of canceled checks from Tenant’s general contractor evidencing the payment in full of Tenant’s Initial 3, 4, 5 Floor Work. Notwithstanding anything to the contrary set forth in this Lease, the 3, 4, 5 Floor Work Contribution shall be paid by Landlord in no less than five (5) installments with each installment other than the final installment constituting no more than twenty percent (20%) of the 3, 4, 5 Floor Work Contribution. Notwithstanding anything to the contrary set forth in this Article 8, if Tenant fails to pay when due any sums due and payable to any of Tenant’s contractors or material suppliers, and Tenant shall fail to remove or bond any lien within ten (10) days after notice from Landlord of such failure, such failure shall constitute an event of default under the Lease without the requirement of any other notice of any kind, and, without limitation of Landlord’s other rights and remedies hereunder, Landlord shall have the right, but not the obligation, to promptly pay to such contractor or supplier all sums so due from Tenant, and sums so paid by Landlord shall be deemed additional rent and shall be paid by Tenant within ten (10) days after Landlord delivers to Tenant an invoice therefor. Under no circumstance shall Landlord be required pursuant to this Agreement to contribute in excess of the 3, 4, 5 Floor Work Contribution. Any costs in excess of the 3, 4, 5 Floor Work Contribution shall be the sole responsibility of Tenant. Tenant shall be entitled to receive a portion of the 3, 4, 5 Floor Work Contribution (which portion shall in no event exceed $278,730.00 (the “3, 4, 5 Floor Maximum Portion”)) not actually expended by Tenant in the performance of Tenant’s Initial 3, 4, 5 Floor Work or Tenant’s other alterations and/or Soft Costs and/or not paid by Landlord as required herein, as a credit against Fixed Rent for the 3, 4, 5 Floor Space, but not additional rent, for the period beginning June 1, 2018 and continuing thereafter until exhausted but only provided on the condition that at the time of application of such credit, (i) Tenant is not then in default under this Lease beyond the expiration of any applicable notice and cure periods, and (ii) Tenant has completed Tenant’s Initial 3, 4, 5 Floor Work and has provided to Landlord reasonable proof that Tenant has paid in full the cost of Tenant’s Initial 3, 4, 5 Floor Work and Soft Costs. For the sake of certainty, in the event that as of June 1, 2018 (subject to extension as set forth above, i.e., the day immediately following the 3, 4, 5 Floor Final Submission Date) with </w:t>
      </w:r>
      <w:r>
        <w:rPr>
          <w:rFonts w:ascii="Arial" w:cs="Arial" w:eastAsia="Arial" w:hAnsi="Arial"/>
          <w:sz w:val="16"/>
          <w:szCs w:val="16"/>
          <w:b w:val="1"/>
          <w:bCs w:val="1"/>
          <w:i w:val="1"/>
          <w:iCs w:val="1"/>
          <w:color w:val="auto"/>
        </w:rPr>
        <w:t>time being of the essence</w:t>
      </w:r>
      <w:r>
        <w:rPr>
          <w:rFonts w:ascii="Arial" w:cs="Arial" w:eastAsia="Arial" w:hAnsi="Arial"/>
          <w:sz w:val="16"/>
          <w:szCs w:val="16"/>
          <w:color w:val="auto"/>
        </w:rPr>
        <w:t>, Tenant shall have failed to requisition (in accordance with the Lease) a portion of the 3, 4, 5 Floor Work Contribution which exceeds the 3, 4, 5 Floor Maximum Portion, Tenant shall forever waive Tenant’s right to receive (in every respect, including, without limitation as a credit and/or as a work contribution) such excess portion of the 3, 4, 5 Floor Work Contribution over and above the 3, 4, 5 Floor Maximum Portion. No portion of the 3, 4, 5 Floor Work Contribution may be assigned by Tenant prior to the actual payment thereof by Landlord. Landlord has made no representations as to the projected cost of Tenant’s Initial 3, 4, 5 Floor Work or Soft Costs.</w:t>
      </w:r>
    </w:p>
    <w:p>
      <w:pPr>
        <w:sectPr>
          <w:pgSz w:w="11900" w:h="16838" w:orient="portrait"/>
          <w:cols w:equalWidth="0" w:num="1">
            <w:col w:w="11420"/>
          </w:cols>
          <w:pgMar w:left="240" w:top="909" w:right="239" w:bottom="195" w:gutter="0" w:footer="0" w:header="0"/>
        </w:sectPr>
      </w:pPr>
    </w:p>
    <w:bookmarkStart w:id="115" w:name="page116"/>
    <w:bookmarkEnd w:id="115"/>
    <w:p>
      <w:pPr>
        <w:jc w:val="center"/>
        <w:ind w:right="-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jc w:val="both"/>
        <w:ind w:left="-60" w:firstLine="656"/>
        <w:spacing w:after="0" w:line="271" w:lineRule="auto"/>
        <w:tabs>
          <w:tab w:leader="none" w:pos="1560"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Scaffolding at 512 Seventh Avenue</w:t>
      </w:r>
      <w:r>
        <w:rPr>
          <w:rFonts w:ascii="Arial" w:cs="Arial" w:eastAsia="Arial" w:hAnsi="Arial"/>
          <w:sz w:val="17"/>
          <w:szCs w:val="17"/>
          <w:color w:val="auto"/>
        </w:rPr>
        <w:t>. Landlord shall use commercially reasonable efforts to remove the existing scaffolding installed at</w:t>
      </w:r>
      <w:r>
        <w:rPr>
          <w:rFonts w:ascii="Arial" w:cs="Arial" w:eastAsia="Arial" w:hAnsi="Arial"/>
          <w:sz w:val="17"/>
          <w:szCs w:val="17"/>
          <w:b w:val="1"/>
          <w:bCs w:val="1"/>
          <w:color w:val="auto"/>
        </w:rPr>
        <w:t xml:space="preserve"> </w:t>
      </w:r>
      <w:r>
        <w:rPr>
          <w:rFonts w:ascii="Arial" w:cs="Arial" w:eastAsia="Arial" w:hAnsi="Arial"/>
          <w:sz w:val="17"/>
          <w:szCs w:val="17"/>
          <w:color w:val="auto"/>
        </w:rPr>
        <w:t>street level in front of the Seventh Avenue portion of 512 Seventh Avenue by June 1, 2017. The scaffolding on the remaining portion of 500-512 Seventh Avenue, including (i) on the 38th Street side of 512 Seventh Avenue, (ii) in front of 500 Seventh Avenue, and (iii) in front of 228 West 38th Street may remain in place after June 1, 2017 without abatement. In the event that Landlord is unable to remove the street level scaffolding in front of the Seventh Avenue portion of 512 Seventh Avenue as set forth in the first sentence above, then Tenant shall be entitled to an abatement of Fixed Rent (in addition to the abatement described paragraph 4 above) in the amount of $967.74 per day for each day that the street level scaffolding remains in front of the Seventh Avenue portion of 512 Seventh Avenue after June 1, 2017. The abatement shall end upon the removal of the scaffolding from in front of the Seventh Avenue portion of 512 Seventh Avenue. Any portion of the abatement accrued shall be credited against the next installment of Fixed Rent payable by Tenant until Tenant has received the full amount of the abatement pursuant to this paragraph.</w:t>
      </w:r>
    </w:p>
    <w:p>
      <w:pPr>
        <w:spacing w:after="0" w:line="174" w:lineRule="exact"/>
        <w:rPr>
          <w:rFonts w:ascii="Arial" w:cs="Arial" w:eastAsia="Arial" w:hAnsi="Arial"/>
          <w:sz w:val="17"/>
          <w:szCs w:val="17"/>
          <w:color w:val="auto"/>
        </w:rPr>
      </w:pPr>
    </w:p>
    <w:p>
      <w:pPr>
        <w:jc w:val="both"/>
        <w:ind w:left="-60" w:firstLine="656"/>
        <w:spacing w:after="0" w:line="289" w:lineRule="auto"/>
        <w:tabs>
          <w:tab w:leader="none" w:pos="1470"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Renewal Option with Respect to 3, 4, 5 Floor Space</w:t>
      </w:r>
      <w:r>
        <w:rPr>
          <w:rFonts w:ascii="Arial" w:cs="Arial" w:eastAsia="Arial" w:hAnsi="Arial"/>
          <w:sz w:val="16"/>
          <w:szCs w:val="16"/>
          <w:color w:val="auto"/>
        </w:rPr>
        <w:t>. Tenant’s one (1) time option to renew the term of the Lease for a term of five (5)</w:t>
      </w:r>
      <w:r>
        <w:rPr>
          <w:rFonts w:ascii="Arial" w:cs="Arial" w:eastAsia="Arial" w:hAnsi="Arial"/>
          <w:sz w:val="16"/>
          <w:szCs w:val="16"/>
          <w:b w:val="1"/>
          <w:bCs w:val="1"/>
          <w:color w:val="auto"/>
        </w:rPr>
        <w:t xml:space="preserve"> </w:t>
      </w:r>
      <w:r>
        <w:rPr>
          <w:rFonts w:ascii="Arial" w:cs="Arial" w:eastAsia="Arial" w:hAnsi="Arial"/>
          <w:sz w:val="16"/>
          <w:szCs w:val="16"/>
          <w:color w:val="auto"/>
        </w:rPr>
        <w:t>years, as set forth in Article 14 of the Third Amendment, shall apply and extend to Tenant’s lease of the 3, 4, 5 Floor Space except that the renewal term shall mean the period commencing June 1, 2026 and ending May 31, 2031 (provided, however, if the Delivery Date occurs after June 1, 2016, these dates shall be extended by the number of days after June 1, 2016 that the Delivery Date occurs) (said renewal term with respect to the 3, 4, 5 Floor Space herein being referred to as the “3, 4, 5 Floor Renewal Term”). Each such option shall be subject to Tenant’s satisfaction of all of the conditions set forth in Article 14 of the Third Amendment, including, without limitation, (i) that this Lease is in full force and effect and that no default exists hereunder beyond the expiration of any applicable notice and cure periods at the time of delivery of the Renewal Notice or on June 1, 2026, (ii) that Tenant has already renewed for a term of five (5) years leases in the Building aggregating no less than eight (8) full floors, and (iii) that Tenant delivers the Renewal Notice by no later than June 1, 2025. Once Tenant timely delivers the Renewal Notice, such Renewal Notice shall not under any circumstance be revocable by Tenant. For the sake of certainty, nothing contained herein shall in any way modify the Renewal Option with respect to portions of the Premises other than the 3, 4, 5 Floor Space.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1121" w:right="239" w:bottom="1440" w:gutter="0" w:footer="0" w:header="0"/>
        </w:sectPr>
      </w:pPr>
    </w:p>
    <w:bookmarkStart w:id="117" w:name="page118"/>
    <w:bookmarkEnd w:id="117"/>
    <w:p>
      <w:pPr>
        <w:jc w:val="both"/>
        <w:ind w:firstLine="648"/>
        <w:spacing w:after="0" w:line="276" w:lineRule="auto"/>
        <w:rPr>
          <w:sz w:val="20"/>
          <w:szCs w:val="20"/>
          <w:color w:val="auto"/>
        </w:rPr>
      </w:pPr>
      <w:r>
        <w:rPr>
          <w:rFonts w:ascii="Arial" w:cs="Arial" w:eastAsia="Arial" w:hAnsi="Arial"/>
          <w:sz w:val="17"/>
          <w:szCs w:val="17"/>
          <w:color w:val="auto"/>
        </w:rPr>
        <w:t>The Renewal Option for the 3, 4, 5 Floor Space shall be on all of the same terms, covenants and conditions set forth in the Lease except that during the 3, 4, 5 Floor Renewal Term (i) Landlord shall have no obligation to perform any work in the Premises; (ii) Tenant shall not be entitled to any Landlord work contribution or Landlord construction allowance; (iii) Tenant shall not be entitled to any free rent, rent credit, concession or abatement; (iv) Tenant shall have no option to renew or extend the term of the Lease with respect to the 3, 4, 5 Floor Space to beyond May 31, 2031 (subject to extension as set forth above); and (v) Fixed Rent during the 3, 4, 5 Floor Renewal Term for the 3, 4, 5 Floor Space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5093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7">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Fixed Rent during Renewal Term for 3, 4, 5 Floor Space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960" w:type="dxa"/>
            <w:vAlign w:val="bottom"/>
            <w:tcBorders>
              <w:top w:val="single" w:sz="8" w:color="auto"/>
              <w:bottom w:val="single" w:sz="8" w:color="auto"/>
            </w:tcBorders>
          </w:tcPr>
          <w:p>
            <w:pPr>
              <w:spacing w:after="0"/>
              <w:rPr>
                <w:sz w:val="24"/>
                <w:szCs w:val="24"/>
                <w:color w:val="auto"/>
              </w:rPr>
            </w:pPr>
          </w:p>
        </w:tc>
        <w:tc>
          <w:tcPr>
            <w:tcW w:w="376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Time Period</w:t>
            </w:r>
          </w:p>
        </w:tc>
        <w:tc>
          <w:tcPr>
            <w:tcW w:w="3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Fixed Rent Per Annum</w:t>
            </w:r>
          </w:p>
        </w:tc>
        <w:tc>
          <w:tcPr>
            <w:tcW w:w="3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Fixed Rent Per Month</w:t>
            </w:r>
          </w:p>
        </w:tc>
      </w:tr>
      <w:tr>
        <w:trPr>
          <w:trHeight w:val="318"/>
        </w:trPr>
        <w:tc>
          <w:tcPr>
            <w:tcW w:w="4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June 1, 2026* – May 31, 2027</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$2,829,514.46</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$235,792.87</w:t>
            </w:r>
          </w:p>
        </w:tc>
      </w:tr>
      <w:tr>
        <w:trPr>
          <w:trHeight w:val="31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June 1, 2027</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May 31, 2028</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$2,900,252.32</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$241,687.69</w:t>
            </w:r>
          </w:p>
        </w:tc>
      </w:tr>
      <w:tr>
        <w:trPr>
          <w:trHeight w:val="31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June 1, 2028</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May 31, 2029</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$2,972,758.63</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$247,729.89</w:t>
            </w:r>
          </w:p>
        </w:tc>
      </w:tr>
      <w:tr>
        <w:trPr>
          <w:trHeight w:val="31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June 1, 2029</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May 31, 2030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$3,047,077.60</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$253,923.13</w:t>
            </w:r>
          </w:p>
        </w:tc>
      </w:tr>
      <w:tr>
        <w:trPr>
          <w:trHeight w:val="318"/>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June 1, 2030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May 31, 2031*</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$3,123,254.54</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$260,271.21</w:t>
            </w:r>
          </w:p>
        </w:tc>
      </w:tr>
    </w:tbl>
    <w:p>
      <w:pPr>
        <w:spacing w:after="0" w:line="202" w:lineRule="exact"/>
        <w:rPr>
          <w:sz w:val="20"/>
          <w:szCs w:val="20"/>
          <w:color w:val="auto"/>
        </w:rPr>
      </w:pPr>
    </w:p>
    <w:p>
      <w:pPr>
        <w:jc w:val="both"/>
        <w:ind w:left="340" w:right="20" w:hanging="339"/>
        <w:spacing w:after="0" w:line="277" w:lineRule="auto"/>
        <w:tabs>
          <w:tab w:leader="none" w:pos="320" w:val="left"/>
        </w:tabs>
        <w:rPr>
          <w:sz w:val="20"/>
          <w:szCs w:val="20"/>
          <w:color w:val="auto"/>
        </w:rPr>
      </w:pPr>
      <w:r>
        <w:rPr>
          <w:rFonts w:ascii="Arial" w:cs="Arial" w:eastAsia="Arial" w:hAnsi="Arial"/>
          <w:sz w:val="18"/>
          <w:szCs w:val="18"/>
          <w:color w:val="auto"/>
        </w:rPr>
        <w:t>*If</w:t>
        <w:tab/>
        <w:t>the Delivery Date occurs after June 1, 2016, these dates shall be extended by the number of days after June 1, 2016 that the Delivery Date occurs, and Fixed Rent shall be pro-rated for partial months.</w:t>
      </w:r>
    </w:p>
    <w:p>
      <w:pPr>
        <w:spacing w:after="0" w:line="166" w:lineRule="exact"/>
        <w:rPr>
          <w:sz w:val="20"/>
          <w:szCs w:val="20"/>
          <w:color w:val="auto"/>
        </w:rPr>
      </w:pPr>
    </w:p>
    <w:p>
      <w:pPr>
        <w:jc w:val="both"/>
        <w:ind w:firstLine="656"/>
        <w:spacing w:after="0" w:line="256" w:lineRule="auto"/>
        <w:tabs>
          <w:tab w:leader="none" w:pos="1685"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Tenant hereby agrees to (at Tenant’s sole cost and expense) procure and maintain in full force and effect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term of the Lease (and any extension thereof) any and all additional insurance in the forms and with the minimum limits reasonably required by Landlord. All such insurance shall (i) name Landlord, Landlord’s managing agent, and such other parties as Landlord shall require as certificate holder and additional insured and (ii) extend to all floors (and partial floors) comprising the Premises. Concurrently with its execution and delivery of this Agreement, Tenant shall furnish to Landlord documentation (including, without limitation certificates and endorsements) evidencing Tenant’s having obtained such insurance and paid the premiums for such insurance.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jc w:val="both"/>
        <w:ind w:left="-60" w:firstLine="656"/>
        <w:spacing w:after="0" w:line="261" w:lineRule="auto"/>
        <w:tabs>
          <w:tab w:leader="none" w:pos="1754"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color w:val="auto"/>
        </w:rPr>
        <w:t>. Landlord and Tenant each warrant to the other that it has not dealt with any broker or agent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or execution of this Agreement. Tenant and Landlord shall each indemnify the other against all costs, expenses, reasonable attorneys’ fees, and other liability for commissions or other compensation claimed by any other broker or agent claiming the same by, through, or under the indemnifying party. The provisions of this Article shall survive the expiration or sooner termination of the Lease.</w:t>
      </w:r>
    </w:p>
    <w:p>
      <w:pPr>
        <w:spacing w:after="0" w:line="180" w:lineRule="exact"/>
        <w:rPr>
          <w:rFonts w:ascii="Arial" w:cs="Arial" w:eastAsia="Arial" w:hAnsi="Arial"/>
          <w:sz w:val="18"/>
          <w:szCs w:val="18"/>
          <w:color w:val="auto"/>
        </w:rPr>
      </w:pPr>
    </w:p>
    <w:p>
      <w:pPr>
        <w:jc w:val="both"/>
        <w:ind w:left="-60" w:firstLine="656"/>
        <w:spacing w:after="0" w:line="292" w:lineRule="auto"/>
        <w:tabs>
          <w:tab w:leader="none" w:pos="1565"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Ratification</w:t>
      </w:r>
      <w:r>
        <w:rPr>
          <w:rFonts w:ascii="Arial" w:cs="Arial" w:eastAsia="Arial" w:hAnsi="Arial"/>
          <w:sz w:val="16"/>
          <w:szCs w:val="16"/>
          <w:color w:val="auto"/>
        </w:rPr>
        <w:t>. This Agreement amends and forms a part of the Lease. Landlord and Tenant hereby ratify and confirm their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Lease and represent and warrant to each other that each has no defenses thereto. Additionally, Landlord and Tenant further confirm and ratify that, as of the date hereof, (i) the Lease is and remains in good standing and in full force and effect, (ii) each has no claims, counterclaims, set-offs or defenses against the other arising out of the Lease, and other leases for space occupied by Tenant in the Building, or in any way relating thereto or arising out of any other transaction between Landlord and Tenant, and (iii) except as may be otherwise be expressly set forth in the Lease, Tenant is not entitled to any free rent, rent abatement, Landlord’s work contribution or allowance, or Landlord’s work. Tenant acknowledges that to Tenant’s knowledge, Landlord has performed all obligations imposed on Landlord by the Lease, and other leases for space occupied by Tenant in the Building, prior to the date 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19" w:name="page120"/>
    <w:bookmarkEnd w:id="119"/>
    <w:p>
      <w:pPr>
        <w:jc w:val="both"/>
        <w:ind w:left="-60" w:firstLine="656"/>
        <w:spacing w:after="0" w:line="255" w:lineRule="auto"/>
        <w:tabs>
          <w:tab w:leader="none" w:pos="1592"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No Waiver</w:t>
      </w:r>
      <w:r>
        <w:rPr>
          <w:rFonts w:ascii="Arial" w:cs="Arial" w:eastAsia="Arial" w:hAnsi="Arial"/>
          <w:sz w:val="18"/>
          <w:szCs w:val="18"/>
          <w:color w:val="auto"/>
        </w:rPr>
        <w:t>. This Agreement, together with the Lease, constitutes the entire agreement of the parties hereto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matters stated herein, and may not be amended or modified unless such amendment or modification shall be in writing and shall have been signed by the party against whom enforcement is sought. No waiver by either party or any failure or refusal by the other party to comply with its obligations hereunder shall be deemed a waiver of any other or subsequent failure or refusal to so comply. If any provision of this Agreement shall be invalid or unenforceable, the remainder of this Agreement or the application of such provision other than to the extent that it is invalid or unenforceable shall not be affected, and each provision of this Agreement shall remain in full force and effect notwithstanding the invalidity or unenforceability of such provision, but only to the extent that application and/or enforcement, as the case may be, would be equitable and consistent with the intent of the parties in entering into this Agreement.</w:t>
      </w:r>
    </w:p>
    <w:p>
      <w:pPr>
        <w:spacing w:after="0" w:line="185" w:lineRule="exact"/>
        <w:rPr>
          <w:rFonts w:ascii="Arial" w:cs="Arial" w:eastAsia="Arial" w:hAnsi="Arial"/>
          <w:sz w:val="18"/>
          <w:szCs w:val="18"/>
          <w:color w:val="auto"/>
        </w:rPr>
      </w:pPr>
    </w:p>
    <w:p>
      <w:pPr>
        <w:jc w:val="both"/>
        <w:ind w:left="-60" w:firstLine="656"/>
        <w:spacing w:after="0" w:line="266" w:lineRule="auto"/>
        <w:tabs>
          <w:tab w:leader="none" w:pos="1551"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Submission of Amendment</w:t>
      </w:r>
      <w:r>
        <w:rPr>
          <w:rFonts w:ascii="Arial" w:cs="Arial" w:eastAsia="Arial" w:hAnsi="Arial"/>
          <w:sz w:val="18"/>
          <w:szCs w:val="18"/>
          <w:color w:val="auto"/>
        </w:rPr>
        <w:t>. The submission by Landlord to Tenant of this Agreement shall have no binding force or effect,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option for the leasing of the Premises, nor confer any rights or impose any obligations upon either party until the execution thereof by Landlord and the delivery of an executed original copy thereof to Tenant or its representative.</w:t>
      </w:r>
    </w:p>
    <w:p>
      <w:pPr>
        <w:spacing w:after="0" w:line="176" w:lineRule="exact"/>
        <w:rPr>
          <w:rFonts w:ascii="Arial" w:cs="Arial" w:eastAsia="Arial" w:hAnsi="Arial"/>
          <w:sz w:val="18"/>
          <w:szCs w:val="18"/>
          <w:color w:val="auto"/>
        </w:rPr>
      </w:pPr>
    </w:p>
    <w:p>
      <w:pPr>
        <w:jc w:val="both"/>
        <w:ind w:left="-60" w:firstLine="656"/>
        <w:spacing w:after="0" w:line="289" w:lineRule="auto"/>
        <w:tabs>
          <w:tab w:leader="none" w:pos="1646"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color w:val="auto"/>
        </w:rPr>
        <w:t>. This Agreement shall be binding upon and inure to the benefit of Landlord and Tenant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successors and assigns. In the event of any conflict or inconsistency between the terms of this Agreement and the remaining terms of this Lease, the terms of this Agreement shall govern and control. This Agreement shall be governed by the laws of the State of New York.</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20" w:name="page121"/>
    <w:bookmarkEnd w:id="120"/>
    <w:p>
      <w:pPr>
        <w:ind w:left="-60" w:right="20" w:firstLine="656"/>
        <w:spacing w:after="0" w:line="282" w:lineRule="auto"/>
        <w:tabs>
          <w:tab w:leader="none" w:pos="1578"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each of which shall constitute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document.</w:t>
      </w:r>
    </w:p>
    <w:p>
      <w:pPr>
        <w:spacing w:after="0" w:line="161" w:lineRule="exact"/>
        <w:rPr>
          <w:rFonts w:ascii="Arial" w:cs="Arial" w:eastAsia="Arial" w:hAnsi="Arial"/>
          <w:sz w:val="18"/>
          <w:szCs w:val="18"/>
          <w:color w:val="auto"/>
        </w:rPr>
      </w:pPr>
    </w:p>
    <w:p>
      <w:pPr>
        <w:ind w:left="1460" w:hanging="864"/>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Recordation</w:t>
      </w:r>
      <w:r>
        <w:rPr>
          <w:rFonts w:ascii="Arial" w:cs="Arial" w:eastAsia="Arial" w:hAnsi="Arial"/>
          <w:sz w:val="18"/>
          <w:szCs w:val="18"/>
          <w:color w:val="auto"/>
        </w:rPr>
        <w:t>. Landlord and Tenant agree that this Agreement shall not be recorded.</w:t>
      </w:r>
    </w:p>
    <w:p>
      <w:pPr>
        <w:spacing w:after="0" w:line="225" w:lineRule="exact"/>
        <w:rPr>
          <w:rFonts w:ascii="Arial" w:cs="Arial" w:eastAsia="Arial" w:hAnsi="Arial"/>
          <w:sz w:val="18"/>
          <w:szCs w:val="18"/>
          <w:color w:val="auto"/>
        </w:rPr>
      </w:pPr>
    </w:p>
    <w:p>
      <w:pPr>
        <w:jc w:val="both"/>
        <w:ind w:left="-60" w:firstLine="656"/>
        <w:spacing w:after="0" w:line="295" w:lineRule="auto"/>
        <w:tabs>
          <w:tab w:leader="none" w:pos="1727"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Should any party hereto employ an attorney for the purpose of enforcing or construing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 based on this Agreement, in any legal proceeding whatsoever between or including the parties, including, but not limited to, insolvency, bankruptcy, arbitration, declaratory relief or other litigation, the prevailing party shall be entitled to receive from the other party hereto reimbursement for all actual reasonable out-of-pocket attorneys’ fees and costs, including, but not limited to, service of process, filing fees, court and court reporter costs, investigative costs, expert witness fees and the cost of any bonds, whether taxable or not, and such reimbursement shall be included in any judgment, decree or final order issued in that proceeding. The “prevailing party” means the party in whose favor a final unappealable judgment, decree or order is rendered.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intending to be legally bound hereby, the parties hereto have duly executed this Agreement as of the date first written above.</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720"/>
        <w:spacing w:after="0"/>
        <w:tabs>
          <w:tab w:leader="none" w:pos="6640" w:val="left"/>
          <w:tab w:leader="none" w:pos="7820" w:val="left"/>
          <w:tab w:leader="none" w:pos="8900" w:val="left"/>
        </w:tabs>
        <w:rPr>
          <w:sz w:val="20"/>
          <w:szCs w:val="20"/>
          <w:color w:val="auto"/>
        </w:rPr>
      </w:pPr>
      <w:r>
        <w:rPr>
          <w:rFonts w:ascii="Arial" w:cs="Arial" w:eastAsia="Arial" w:hAnsi="Arial"/>
          <w:sz w:val="18"/>
          <w:szCs w:val="18"/>
          <w:b w:val="1"/>
          <w:bCs w:val="1"/>
          <w:color w:val="auto"/>
        </w:rPr>
        <w:t>500-512</w:t>
      </w:r>
      <w:r>
        <w:rPr>
          <w:sz w:val="20"/>
          <w:szCs w:val="20"/>
          <w:color w:val="auto"/>
        </w:rPr>
        <w:tab/>
      </w:r>
      <w:r>
        <w:rPr>
          <w:rFonts w:ascii="Arial" w:cs="Arial" w:eastAsia="Arial" w:hAnsi="Arial"/>
          <w:sz w:val="18"/>
          <w:szCs w:val="18"/>
          <w:b w:val="1"/>
          <w:bCs w:val="1"/>
          <w:color w:val="auto"/>
        </w:rPr>
        <w:t>SEVENTH</w:t>
      </w:r>
      <w:r>
        <w:rPr>
          <w:sz w:val="20"/>
          <w:szCs w:val="20"/>
          <w:color w:val="auto"/>
        </w:rPr>
        <w:tab/>
      </w:r>
      <w:r>
        <w:rPr>
          <w:rFonts w:ascii="Arial" w:cs="Arial" w:eastAsia="Arial" w:hAnsi="Arial"/>
          <w:sz w:val="18"/>
          <w:szCs w:val="18"/>
          <w:b w:val="1"/>
          <w:bCs w:val="1"/>
          <w:color w:val="auto"/>
        </w:rPr>
        <w:t>AVENUE</w:t>
      </w:r>
      <w:r>
        <w:rPr>
          <w:sz w:val="20"/>
          <w:szCs w:val="20"/>
          <w:color w:val="auto"/>
        </w:rPr>
        <w:tab/>
      </w:r>
      <w:r>
        <w:rPr>
          <w:rFonts w:ascii="Arial" w:cs="Arial" w:eastAsia="Arial" w:hAnsi="Arial"/>
          <w:sz w:val="18"/>
          <w:szCs w:val="18"/>
          <w:b w:val="1"/>
          <w:bCs w:val="1"/>
          <w:color w:val="auto"/>
        </w:rPr>
        <w:t>LIMITED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500-512 Seventh Avenue GP LLC</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Jacob Chetrit</w:t>
            </w:r>
          </w:p>
        </w:tc>
      </w:tr>
      <w:tr>
        <w:trPr>
          <w:trHeight w:val="224"/>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Jacob Chetrit, President</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G-III LEATHER FASHIONS,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S. Miller</w:t>
            </w:r>
          </w:p>
        </w:tc>
        <w:tc>
          <w:tcPr>
            <w:tcW w:w="1700" w:type="dxa"/>
            <w:vAlign w:val="bottom"/>
          </w:tcPr>
          <w:p>
            <w:pPr>
              <w:spacing w:after="0"/>
              <w:rPr>
                <w:sz w:val="20"/>
                <w:szCs w:val="20"/>
                <w:color w:val="auto"/>
              </w:rPr>
            </w:pPr>
          </w:p>
        </w:tc>
      </w:tr>
      <w:tr>
        <w:trPr>
          <w:trHeight w:val="224"/>
        </w:trPr>
        <w:tc>
          <w:tcPr>
            <w:tcW w:w="63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Wayne S. Miller, COO</w:t>
            </w:r>
          </w:p>
        </w:tc>
        <w:tc>
          <w:tcPr>
            <w:tcW w:w="1700" w:type="dxa"/>
            <w:vAlign w:val="bottom"/>
          </w:tcPr>
          <w:p>
            <w:pPr>
              <w:spacing w:after="0"/>
              <w:rPr>
                <w:sz w:val="19"/>
                <w:szCs w:val="19"/>
                <w:color w:val="auto"/>
              </w:rPr>
            </w:pPr>
          </w:p>
        </w:tc>
      </w:tr>
      <w:tr>
        <w:trPr>
          <w:trHeight w:val="634"/>
        </w:trPr>
        <w:tc>
          <w:tcPr>
            <w:tcW w:w="6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w:t>
            </w: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type w:val="continuous"/>
        </w:sectPr>
      </w:pPr>
    </w:p>
    <w:bookmarkStart w:id="122" w:name="page123"/>
    <w:bookmarkEnd w:id="122"/>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 4, 5 Floor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706755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3" w:name="page124"/>
    <w:bookmarkEnd w:id="123"/>
    <w:p>
      <w:pPr>
        <w:jc w:val="center"/>
        <w:ind w:right="-1192"/>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192"/>
        <w:spacing w:after="0"/>
        <w:rPr>
          <w:sz w:val="20"/>
          <w:szCs w:val="20"/>
          <w:color w:val="auto"/>
        </w:rPr>
      </w:pPr>
      <w:r>
        <w:rPr>
          <w:rFonts w:ascii="Arial" w:cs="Arial" w:eastAsia="Arial" w:hAnsi="Arial"/>
          <w:sz w:val="16"/>
          <w:szCs w:val="16"/>
          <w:color w:val="auto"/>
        </w:rPr>
        <w:t>Landlord’s Work</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2" w:hanging="412"/>
        <w:spacing w:after="0"/>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Demolish existing conditions within the Premises.</w:t>
      </w:r>
    </w:p>
    <w:p>
      <w:pPr>
        <w:spacing w:after="0" w:line="225" w:lineRule="exact"/>
        <w:rPr>
          <w:rFonts w:ascii="Arial" w:cs="Arial" w:eastAsia="Arial" w:hAnsi="Arial"/>
          <w:sz w:val="18"/>
          <w:szCs w:val="18"/>
          <w:color w:val="auto"/>
        </w:rPr>
      </w:pPr>
    </w:p>
    <w:p>
      <w:pPr>
        <w:ind w:left="412" w:hanging="412"/>
        <w:spacing w:after="0"/>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Deliver broom 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581025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4"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gridSpan w:val="2"/>
          </w:tcPr>
          <w:p>
            <w:pPr>
              <w:ind w:left="2300"/>
              <w:spacing w:after="0"/>
              <w:rPr>
                <w:sz w:val="20"/>
                <w:szCs w:val="20"/>
                <w:color w:val="auto"/>
              </w:rPr>
            </w:pPr>
            <w:r>
              <w:rPr>
                <w:rFonts w:ascii="Arial" w:cs="Arial" w:eastAsia="Arial" w:hAnsi="Arial"/>
                <w:sz w:val="18"/>
                <w:szCs w:val="18"/>
                <w:b w:val="1"/>
                <w:bCs w:val="1"/>
                <w:color w:val="auto"/>
              </w:rPr>
              <w:t>Exhibit 21</w:t>
            </w:r>
          </w:p>
        </w:tc>
      </w:tr>
      <w:tr>
        <w:trPr>
          <w:trHeight w:val="419"/>
        </w:trPr>
        <w:tc>
          <w:tcPr>
            <w:tcW w:w="1260" w:type="dxa"/>
            <w:vAlign w:val="bottom"/>
          </w:tcPr>
          <w:p>
            <w:pPr>
              <w:spacing w:after="0"/>
              <w:rPr>
                <w:sz w:val="24"/>
                <w:szCs w:val="24"/>
                <w:color w:val="auto"/>
              </w:rPr>
            </w:pPr>
          </w:p>
        </w:tc>
        <w:tc>
          <w:tcPr>
            <w:tcW w:w="5120" w:type="dxa"/>
            <w:vAlign w:val="bottom"/>
            <w:gridSpan w:val="3"/>
          </w:tcPr>
          <w:p>
            <w:pPr>
              <w:ind w:left="3320"/>
              <w:spacing w:after="0"/>
              <w:rPr>
                <w:sz w:val="20"/>
                <w:szCs w:val="20"/>
                <w:color w:val="auto"/>
              </w:rPr>
            </w:pPr>
            <w:r>
              <w:rPr>
                <w:rFonts w:ascii="Arial" w:cs="Arial" w:eastAsia="Arial" w:hAnsi="Arial"/>
                <w:sz w:val="18"/>
                <w:szCs w:val="18"/>
                <w:b w:val="1"/>
                <w:bCs w:val="1"/>
                <w:color w:val="auto"/>
              </w:rPr>
              <w:t>Subsidiaries of G-III</w:t>
            </w:r>
          </w:p>
        </w:tc>
        <w:tc>
          <w:tcPr>
            <w:tcW w:w="3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1260" w:type="dxa"/>
            <w:vAlign w:val="bottom"/>
          </w:tcPr>
          <w:p>
            <w:pPr>
              <w:spacing w:after="0"/>
              <w:rPr>
                <w:sz w:val="24"/>
                <w:szCs w:val="24"/>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NAME OF SUBSIDIARY</w:t>
            </w:r>
          </w:p>
        </w:tc>
        <w:tc>
          <w:tcPr>
            <w:tcW w:w="43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rPr>
              <w:t>JURISDICTION OF ORGANIZATION</w:t>
            </w:r>
          </w:p>
        </w:tc>
      </w:tr>
      <w:tr>
        <w:trPr>
          <w:trHeight w:val="26"/>
        </w:trPr>
        <w:tc>
          <w:tcPr>
            <w:tcW w:w="126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G-III Leather Fashions, Inc.</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New York</w:t>
            </w:r>
          </w:p>
        </w:tc>
      </w:tr>
      <w:tr>
        <w:trPr>
          <w:trHeight w:val="257"/>
        </w:trPr>
        <w:tc>
          <w:tcPr>
            <w:tcW w:w="1260" w:type="dxa"/>
            <w:vAlign w:val="bottom"/>
          </w:tcPr>
          <w:p>
            <w:pPr>
              <w:spacing w:after="0"/>
              <w:rPr>
                <w:sz w:val="22"/>
                <w:szCs w:val="22"/>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AM Retail Group, Inc.</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89"/>
              </w:rPr>
              <w:t>Delaware</w:t>
            </w:r>
          </w:p>
        </w:tc>
      </w:tr>
      <w:tr>
        <w:trPr>
          <w:trHeight w:val="257"/>
        </w:trPr>
        <w:tc>
          <w:tcPr>
            <w:tcW w:w="1260" w:type="dxa"/>
            <w:vAlign w:val="bottom"/>
          </w:tcPr>
          <w:p>
            <w:pPr>
              <w:spacing w:after="0"/>
              <w:rPr>
                <w:sz w:val="22"/>
                <w:szCs w:val="22"/>
                <w:color w:val="auto"/>
              </w:rPr>
            </w:pPr>
          </w:p>
        </w:tc>
        <w:tc>
          <w:tcPr>
            <w:tcW w:w="512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CK Outerwear LLC</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New York</w:t>
            </w:r>
          </w:p>
        </w:tc>
      </w:tr>
      <w:tr>
        <w:trPr>
          <w:trHeight w:val="257"/>
        </w:trPr>
        <w:tc>
          <w:tcPr>
            <w:tcW w:w="1260" w:type="dxa"/>
            <w:vAlign w:val="bottom"/>
          </w:tcPr>
          <w:p>
            <w:pPr>
              <w:spacing w:after="0"/>
              <w:rPr>
                <w:sz w:val="22"/>
                <w:szCs w:val="22"/>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G-III Apparel Canada ULC</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2"/>
              </w:rPr>
              <w:t>British Columbia, Canada</w:t>
            </w:r>
          </w:p>
        </w:tc>
      </w:tr>
      <w:tr>
        <w:trPr>
          <w:trHeight w:val="257"/>
        </w:trPr>
        <w:tc>
          <w:tcPr>
            <w:tcW w:w="1260" w:type="dxa"/>
            <w:vAlign w:val="bottom"/>
          </w:tcPr>
          <w:p>
            <w:pPr>
              <w:spacing w:after="0"/>
              <w:rPr>
                <w:sz w:val="22"/>
                <w:szCs w:val="22"/>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6"/>
              </w:rPr>
              <w:t>G-III Hong Kong Limited</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3"/>
              </w:rPr>
              <w:t>Hong Kong</w:t>
            </w:r>
          </w:p>
        </w:tc>
      </w:tr>
      <w:tr>
        <w:trPr>
          <w:trHeight w:val="257"/>
        </w:trPr>
        <w:tc>
          <w:tcPr>
            <w:tcW w:w="1260" w:type="dxa"/>
            <w:vAlign w:val="bottom"/>
          </w:tcPr>
          <w:p>
            <w:pPr>
              <w:spacing w:after="0"/>
              <w:rPr>
                <w:sz w:val="22"/>
                <w:szCs w:val="22"/>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Kostroma Limited</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3"/>
              </w:rPr>
              <w:t>Hong Kong</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G-III Asia, Limited</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3"/>
              </w:rPr>
              <w:t>Hong Kong</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Hangzhou G-III Apparel Trading Co., Ltd</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China</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Riviera Sun, Inc.</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89"/>
              </w:rPr>
              <w:t>Delaware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rPr>
              <w:t>VBQ LLC</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89"/>
              </w:rPr>
              <w:t>Delaware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VBQ Acquisition B.V.</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Netherlands</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G-III Foreign Holdings C.V.</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Netherlands</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Vilebrequin International SA</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Switzerland</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GK Holdings Coöperatief U.A.</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Netherlands</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G-III Europe Coöperatief U.A.</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Netherlands</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GKL Holdings B.V.</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8"/>
              </w:rPr>
              <w:t>Netherlands</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T.R.B. International SA</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Switzerland</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Tropezina S.L.</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1"/>
              </w:rPr>
              <w:t>Spain</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40"/>
              <w:spacing w:after="0"/>
              <w:rPr>
                <w:sz w:val="20"/>
                <w:szCs w:val="20"/>
                <w:color w:val="auto"/>
              </w:rPr>
            </w:pPr>
            <w:r>
              <w:rPr>
                <w:rFonts w:ascii="Arial" w:cs="Arial" w:eastAsia="Arial" w:hAnsi="Arial"/>
                <w:sz w:val="18"/>
                <w:szCs w:val="18"/>
                <w:color w:val="auto"/>
                <w:w w:val="91"/>
              </w:rPr>
              <w:t>Vilebrequin France SAS</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France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TRB (Singapore) S.E. Asia PTE Ltd.</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0"/>
              </w:rPr>
              <w:t>Singapore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Lobst SAS</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France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TRB Belgique SPRL</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5"/>
              </w:rPr>
              <w:t>Belgium</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Riley SA</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Switzerland</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Sole SRL</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6"/>
              </w:rPr>
              <w:t>Italy</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La Plage Ltd.</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5"/>
              </w:rPr>
              <w:t>United Kingdom</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T.R.B. Hong Kong Ltd.</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3"/>
              </w:rPr>
              <w:t>Hong Kong</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TRB Macao Ltd.</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Macao</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Riley &amp; Cie S.C.S.</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0"/>
              </w:rPr>
              <w:t>Monaco</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TRB Portugal, Comercio de Vestuario Unipessoal LDA</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Portugal</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TRB International SA, succursale Saint Bathelemy</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France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TRB International SA, succursale Serris</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France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TRB Mexico</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Mexico</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Naiman GmbH</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Switzerland</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Vilebrequin Saint Maarten</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St. Maarten</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Vilebrequin Deutschland GmbH</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Germany</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VBQ France</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89"/>
              </w:rPr>
              <w:t>France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Donna Karan International Inc.</w:t>
            </w:r>
          </w:p>
        </w:tc>
        <w:tc>
          <w:tcPr>
            <w:tcW w:w="4360" w:type="dxa"/>
            <w:vAlign w:val="bottom"/>
            <w:gridSpan w:val="2"/>
          </w:tcPr>
          <w:p>
            <w:pPr>
              <w:jc w:val="center"/>
              <w:ind w:right="1520"/>
              <w:spacing w:after="0"/>
              <w:rPr>
                <w:sz w:val="20"/>
                <w:szCs w:val="20"/>
                <w:color w:val="auto"/>
              </w:rPr>
            </w:pPr>
            <w:r>
              <w:rPr>
                <w:rFonts w:ascii="Arial" w:cs="Arial" w:eastAsia="Arial" w:hAnsi="Arial"/>
                <w:sz w:val="18"/>
                <w:szCs w:val="18"/>
                <w:color w:val="auto"/>
                <w:w w:val="89"/>
              </w:rPr>
              <w:t>Delaware</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Gabrielle Studio, Inc.</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New York</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The Donna Karan Company LLC</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New York</w:t>
            </w:r>
          </w:p>
        </w:tc>
      </w:tr>
      <w:tr>
        <w:trPr>
          <w:trHeight w:val="270"/>
        </w:trPr>
        <w:tc>
          <w:tcPr>
            <w:tcW w:w="1260" w:type="dxa"/>
            <w:vAlign w:val="bottom"/>
          </w:tcPr>
          <w:p>
            <w:pPr>
              <w:spacing w:after="0"/>
              <w:rPr>
                <w:sz w:val="23"/>
                <w:szCs w:val="23"/>
                <w:color w:val="auto"/>
              </w:rPr>
            </w:pPr>
          </w:p>
        </w:tc>
        <w:tc>
          <w:tcPr>
            <w:tcW w:w="5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The Donna Karan Company Store LLC</w:t>
            </w:r>
          </w:p>
        </w:tc>
        <w:tc>
          <w:tcPr>
            <w:tcW w:w="4360" w:type="dxa"/>
            <w:vAlign w:val="bottom"/>
            <w:gridSpan w:val="2"/>
          </w:tcPr>
          <w:p>
            <w:pPr>
              <w:jc w:val="center"/>
              <w:ind w:right="1500"/>
              <w:spacing w:after="0"/>
              <w:rPr>
                <w:sz w:val="20"/>
                <w:szCs w:val="20"/>
                <w:color w:val="auto"/>
              </w:rPr>
            </w:pPr>
            <w:r>
              <w:rPr>
                <w:rFonts w:ascii="Arial" w:cs="Arial" w:eastAsia="Arial" w:hAnsi="Arial"/>
                <w:sz w:val="18"/>
                <w:szCs w:val="18"/>
                <w:color w:val="auto"/>
                <w:w w:val="94"/>
              </w:rPr>
              <w:t>New York</w:t>
            </w:r>
          </w:p>
        </w:tc>
      </w:tr>
      <w:tr>
        <w:trPr>
          <w:trHeight w:val="912"/>
        </w:trPr>
        <w:tc>
          <w:tcPr>
            <w:tcW w:w="12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080" w:right="9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NAME OF SUBSIDIARY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rPr>
              <w:t>JURISDICTION OF ORGANIZATION</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Donna Karan Studio LLC</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Donna Karan (Italy) S.r.l</w:t>
            </w:r>
          </w:p>
        </w:tc>
        <w:tc>
          <w:tcPr>
            <w:tcW w:w="3360" w:type="dxa"/>
            <w:vAlign w:val="bottom"/>
          </w:tcPr>
          <w:p>
            <w:pPr>
              <w:jc w:val="center"/>
              <w:spacing w:after="0"/>
              <w:rPr>
                <w:sz w:val="20"/>
                <w:szCs w:val="20"/>
                <w:color w:val="auto"/>
              </w:rPr>
            </w:pPr>
            <w:r>
              <w:rPr>
                <w:rFonts w:ascii="Arial" w:cs="Arial" w:eastAsia="Arial" w:hAnsi="Arial"/>
                <w:sz w:val="18"/>
                <w:szCs w:val="18"/>
                <w:color w:val="auto"/>
                <w:w w:val="96"/>
              </w:rPr>
              <w:t>Italy</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Donna Karan Service Company B.V.</w:t>
            </w:r>
          </w:p>
        </w:tc>
        <w:tc>
          <w:tcPr>
            <w:tcW w:w="336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Donna Karan Company Store Ireland Limited</w:t>
            </w: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Donna Karan Company Stores UK Holding Ltd.</w:t>
            </w: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The Donna Karan Company Store (UK) Limited</w:t>
            </w: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Donna Karan Company Stores UK Retail Ltd.</w:t>
            </w: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Donna Karan Management Company UK Ltd.</w:t>
            </w: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4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Donna Karan Company Store (Germany) GmbH</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260" w:type="dxa"/>
            <w:vAlign w:val="bottom"/>
          </w:tcPr>
          <w:p>
            <w:pPr>
              <w:spacing w:after="0"/>
              <w:rPr>
                <w:sz w:val="23"/>
                <w:szCs w:val="23"/>
                <w:color w:val="auto"/>
              </w:rPr>
            </w:pPr>
          </w:p>
        </w:tc>
      </w:tr>
      <w:tr>
        <w:trPr>
          <w:trHeight w:val="925"/>
        </w:trPr>
        <w:tc>
          <w:tcPr>
            <w:tcW w:w="12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062" w:right="919" w:bottom="1440" w:gutter="0" w:footer="0" w:header="0"/>
        </w:sectPr>
      </w:pPr>
    </w:p>
    <w:bookmarkStart w:id="126" w:name="page127"/>
    <w:bookmarkEnd w:id="126"/>
    <w:p>
      <w:pPr>
        <w:jc w:val="right"/>
        <w:ind w:right="73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71" w:lineRule="exact"/>
        <w:rPr>
          <w:sz w:val="20"/>
          <w:szCs w:val="20"/>
          <w:color w:val="auto"/>
        </w:rPr>
      </w:pPr>
    </w:p>
    <w:p>
      <w:pPr>
        <w:ind w:left="780" w:hanging="35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333-80937) of G-III Apparel Group, Ltd.,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333-115010) of G-III Apparel Group, Ltd.,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333-125804) of G-III Apparel Group, Ltd.,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333-143974) of G-III Apparel Group, Ltd.,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333-160056) of G-III Apparel Group, Ltd.,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333-205602) of G-III Apparel Group, Ltd.</w:t>
      </w:r>
    </w:p>
    <w:p>
      <w:pPr>
        <w:spacing w:after="0" w:line="117" w:lineRule="exact"/>
        <w:rPr>
          <w:sz w:val="20"/>
          <w:szCs w:val="20"/>
          <w:color w:val="auto"/>
        </w:rPr>
      </w:pPr>
    </w:p>
    <w:p>
      <w:pPr>
        <w:jc w:val="both"/>
        <w:ind w:left="60" w:right="739"/>
        <w:spacing w:after="0" w:line="259" w:lineRule="auto"/>
        <w:rPr>
          <w:sz w:val="20"/>
          <w:szCs w:val="20"/>
          <w:color w:val="auto"/>
        </w:rPr>
      </w:pPr>
      <w:r>
        <w:rPr>
          <w:rFonts w:ascii="Arial" w:cs="Arial" w:eastAsia="Arial" w:hAnsi="Arial"/>
          <w:sz w:val="18"/>
          <w:szCs w:val="18"/>
          <w:color w:val="auto"/>
        </w:rPr>
        <w:t>of our reports dated April 2, 2018, with respect to the consolidated financial statements and schedule of G-III Apparel Group, Ltd. and subsidiaries and the effectiveness of internal control over financial reporting of G-III Apparel Group, Ltd. and subsidiaries included in this Annual Report (Form 10-K) of G-III Apparel Group, Ltd. and subsidiaries for the year ended January 31, 2018.</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558800</wp:posOffset>
            </wp:positionV>
            <wp:extent cx="68345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7" w:name="page128"/>
    <w:bookmarkEnd w:id="127"/>
    <w:p>
      <w:pPr>
        <w:jc w:val="right"/>
        <w:ind w:right="73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CERTIFICATION PURSUANT TO RULE 13a – 14(a) OR RULE 15d – 14(a)</w:t>
      </w:r>
    </w:p>
    <w:p>
      <w:pPr>
        <w:spacing w:after="0" w:line="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Morris Goldfarb, certify that:</w:t>
      </w:r>
    </w:p>
    <w:p>
      <w:pPr>
        <w:spacing w:after="0" w:line="171" w:lineRule="exact"/>
        <w:rPr>
          <w:sz w:val="20"/>
          <w:szCs w:val="20"/>
          <w:color w:val="auto"/>
        </w:rPr>
      </w:pPr>
    </w:p>
    <w:p>
      <w:pPr>
        <w:ind w:left="780" w:hanging="352"/>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G-III Apparel Group, Ltd.;</w:t>
      </w:r>
    </w:p>
    <w:p>
      <w:pPr>
        <w:spacing w:after="0" w:line="171" w:lineRule="exact"/>
        <w:rPr>
          <w:rFonts w:ascii="Arial" w:cs="Arial" w:eastAsia="Arial" w:hAnsi="Arial"/>
          <w:sz w:val="18"/>
          <w:szCs w:val="18"/>
          <w:color w:val="auto"/>
        </w:rPr>
      </w:pPr>
    </w:p>
    <w:p>
      <w:pPr>
        <w:jc w:val="both"/>
        <w:ind w:left="780" w:right="759" w:hanging="352"/>
        <w:spacing w:after="0" w:line="312"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6"/>
          <w:szCs w:val="16"/>
          <w:color w:val="auto"/>
        </w:rPr>
      </w:pPr>
    </w:p>
    <w:p>
      <w:pPr>
        <w:jc w:val="both"/>
        <w:ind w:left="780" w:right="759" w:hanging="352"/>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780" w:right="759" w:hanging="352"/>
        <w:spacing w:after="0" w:line="259"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8"/>
          <w:szCs w:val="18"/>
          <w:color w:val="auto"/>
        </w:rPr>
      </w:pPr>
    </w:p>
    <w:p>
      <w:pPr>
        <w:jc w:val="both"/>
        <w:ind w:left="1140" w:right="759" w:hanging="351"/>
        <w:spacing w:after="0" w:line="279" w:lineRule="auto"/>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7"/>
          <w:szCs w:val="17"/>
          <w:color w:val="auto"/>
        </w:rPr>
      </w:pPr>
    </w:p>
    <w:p>
      <w:pPr>
        <w:jc w:val="both"/>
        <w:ind w:left="1140" w:right="759" w:hanging="351"/>
        <w:spacing w:after="0" w:line="286" w:lineRule="auto"/>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7"/>
          <w:szCs w:val="17"/>
          <w:color w:val="auto"/>
        </w:rPr>
      </w:pPr>
    </w:p>
    <w:p>
      <w:pPr>
        <w:jc w:val="both"/>
        <w:ind w:left="780" w:right="759" w:hanging="352"/>
        <w:spacing w:after="0" w:line="286"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jc w:val="both"/>
        <w:ind w:left="1140" w:right="759" w:hanging="351"/>
        <w:spacing w:after="0" w:line="264"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 2018</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48895</wp:posOffset>
            </wp:positionV>
            <wp:extent cx="22383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567690</wp:posOffset>
            </wp:positionV>
            <wp:extent cx="683450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8" w:name="page129"/>
    <w:bookmarkEnd w:id="128"/>
    <w:p>
      <w:pPr>
        <w:jc w:val="right"/>
        <w:ind w:right="73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CERTIFICATION PURSUANT TO RULE 13a – 14(a) OR RULE 15d – 14(a)</w:t>
      </w:r>
    </w:p>
    <w:p>
      <w:pPr>
        <w:spacing w:after="0" w:line="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Neal S. Nackman, certify that:</w:t>
      </w:r>
    </w:p>
    <w:p>
      <w:pPr>
        <w:spacing w:after="0" w:line="171" w:lineRule="exact"/>
        <w:rPr>
          <w:sz w:val="20"/>
          <w:szCs w:val="20"/>
          <w:color w:val="auto"/>
        </w:rPr>
      </w:pPr>
    </w:p>
    <w:p>
      <w:pPr>
        <w:ind w:left="780" w:hanging="352"/>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G-III Apparel Group, Ltd.;</w:t>
      </w:r>
    </w:p>
    <w:p>
      <w:pPr>
        <w:spacing w:after="0" w:line="171" w:lineRule="exact"/>
        <w:rPr>
          <w:rFonts w:ascii="Arial" w:cs="Arial" w:eastAsia="Arial" w:hAnsi="Arial"/>
          <w:sz w:val="18"/>
          <w:szCs w:val="18"/>
          <w:color w:val="auto"/>
        </w:rPr>
      </w:pPr>
    </w:p>
    <w:p>
      <w:pPr>
        <w:jc w:val="both"/>
        <w:ind w:left="780" w:right="759" w:hanging="352"/>
        <w:spacing w:after="0" w:line="312"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6"/>
          <w:szCs w:val="16"/>
          <w:color w:val="auto"/>
        </w:rPr>
      </w:pPr>
    </w:p>
    <w:p>
      <w:pPr>
        <w:jc w:val="both"/>
        <w:ind w:left="780" w:right="759" w:hanging="352"/>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780" w:right="759" w:hanging="352"/>
        <w:spacing w:after="0" w:line="259"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8"/>
          <w:szCs w:val="18"/>
          <w:color w:val="auto"/>
        </w:rPr>
      </w:pPr>
    </w:p>
    <w:p>
      <w:pPr>
        <w:jc w:val="both"/>
        <w:ind w:left="1140" w:right="759" w:hanging="351"/>
        <w:spacing w:after="0" w:line="279" w:lineRule="auto"/>
        <w:tabs>
          <w:tab w:leader="none" w:pos="11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7"/>
          <w:szCs w:val="17"/>
          <w:color w:val="auto"/>
        </w:rPr>
      </w:pPr>
    </w:p>
    <w:p>
      <w:pPr>
        <w:jc w:val="both"/>
        <w:ind w:left="1140" w:right="759" w:hanging="351"/>
        <w:spacing w:after="0" w:line="286" w:lineRule="auto"/>
        <w:tabs>
          <w:tab w:leader="none" w:pos="11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7"/>
          <w:szCs w:val="17"/>
          <w:color w:val="auto"/>
        </w:rPr>
      </w:pPr>
    </w:p>
    <w:p>
      <w:pPr>
        <w:jc w:val="both"/>
        <w:ind w:left="1140" w:right="759" w:hanging="351"/>
        <w:spacing w:after="0" w:line="279" w:lineRule="auto"/>
        <w:tabs>
          <w:tab w:leader="none" w:pos="11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7"/>
          <w:szCs w:val="17"/>
          <w:color w:val="auto"/>
        </w:rPr>
      </w:pPr>
    </w:p>
    <w:p>
      <w:pPr>
        <w:jc w:val="both"/>
        <w:ind w:left="780" w:right="759" w:hanging="352"/>
        <w:spacing w:after="0" w:line="286"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7"/>
          <w:szCs w:val="17"/>
          <w:color w:val="auto"/>
        </w:rPr>
      </w:pPr>
    </w:p>
    <w:p>
      <w:pPr>
        <w:jc w:val="both"/>
        <w:ind w:left="1140" w:right="759" w:hanging="351"/>
        <w:spacing w:after="0" w:line="264"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 2018</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48895</wp:posOffset>
            </wp:positionV>
            <wp:extent cx="22383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567690</wp:posOffset>
            </wp:positionV>
            <wp:extent cx="683450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9" w:name="page130"/>
    <w:bookmarkEnd w:id="129"/>
    <w:p>
      <w:pPr>
        <w:jc w:val="right"/>
        <w:ind w:right="73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CERTIFICATION PURSUANT TO</w:t>
      </w:r>
    </w:p>
    <w:p>
      <w:pPr>
        <w:jc w:val="center"/>
        <w:ind w:right="679"/>
        <w:spacing w:after="0" w:line="221" w:lineRule="auto"/>
        <w:rPr>
          <w:sz w:val="20"/>
          <w:szCs w:val="20"/>
          <w:color w:val="auto"/>
        </w:rPr>
      </w:pPr>
      <w:r>
        <w:rPr>
          <w:rFonts w:ascii="Arial" w:cs="Arial" w:eastAsia="Arial" w:hAnsi="Arial"/>
          <w:sz w:val="18"/>
          <w:szCs w:val="18"/>
          <w:b w:val="1"/>
          <w:bCs w:val="1"/>
          <w:color w:val="auto"/>
        </w:rPr>
        <w:t>18 U.S.C. SECTION 1350,</w:t>
      </w:r>
    </w:p>
    <w:p>
      <w:pPr>
        <w:jc w:val="center"/>
        <w:ind w:right="679"/>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8" w:lineRule="exact"/>
        <w:rPr>
          <w:sz w:val="20"/>
          <w:szCs w:val="20"/>
          <w:color w:val="auto"/>
        </w:rPr>
      </w:pPr>
    </w:p>
    <w:p>
      <w:pPr>
        <w:jc w:val="both"/>
        <w:ind w:left="60" w:right="739" w:firstLine="360"/>
        <w:spacing w:after="0" w:line="312" w:lineRule="auto"/>
        <w:rPr>
          <w:sz w:val="20"/>
          <w:szCs w:val="20"/>
          <w:color w:val="auto"/>
        </w:rPr>
      </w:pPr>
      <w:r>
        <w:rPr>
          <w:rFonts w:ascii="Arial" w:cs="Arial" w:eastAsia="Arial" w:hAnsi="Arial"/>
          <w:sz w:val="16"/>
          <w:szCs w:val="16"/>
          <w:color w:val="auto"/>
        </w:rPr>
        <w:t>In connection with the Annual Report of G-III Apparel Group, Ltd. (the “Company”) on Form 10-K for the fiscal year ended January 31, 2018 (the “Report”), I, Morris Goldfarb, Chief Executive Officer of the Company, certify, pursuant to 18 U.S.C. §1350, as adopted pursuant to §906 of the Sarbanes-Oxley Act of 2002, that:</w:t>
      </w:r>
    </w:p>
    <w:p>
      <w:pPr>
        <w:spacing w:after="0" w:line="39"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14" w:lineRule="exact"/>
        <w:rPr>
          <w:sz w:val="20"/>
          <w:szCs w:val="20"/>
          <w:color w:val="auto"/>
        </w:rPr>
      </w:pPr>
    </w:p>
    <w:p>
      <w:pPr>
        <w:ind w:left="60"/>
        <w:spacing w:after="0"/>
        <w:tabs>
          <w:tab w:leader="none" w:pos="4260" w:val="left"/>
        </w:tabs>
        <w:rPr>
          <w:sz w:val="20"/>
          <w:szCs w:val="20"/>
          <w:color w:val="auto"/>
        </w:rPr>
      </w:pPr>
      <w:r>
        <w:rPr>
          <w:rFonts w:ascii="Arial" w:cs="Arial" w:eastAsia="Arial" w:hAnsi="Arial"/>
          <w:sz w:val="18"/>
          <w:szCs w:val="18"/>
          <w:color w:val="auto"/>
        </w:rPr>
        <w:t>April 2, 2018</w:t>
      </w:r>
      <w:r>
        <w:rPr>
          <w:sz w:val="20"/>
          <w:szCs w:val="20"/>
          <w:color w:val="auto"/>
        </w:rPr>
        <w:tab/>
      </w:r>
      <w:r>
        <w:rPr>
          <w:rFonts w:ascii="Arial" w:cs="Arial" w:eastAsia="Arial" w:hAnsi="Arial"/>
          <w:sz w:val="17"/>
          <w:szCs w:val="17"/>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48895</wp:posOffset>
            </wp:positionV>
            <wp:extent cx="25387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Morris Goldfarb</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jc w:val="both"/>
        <w:ind w:left="60" w:right="759" w:firstLine="360"/>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540385</wp:posOffset>
            </wp:positionV>
            <wp:extent cx="683450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30" w:name="page131"/>
    <w:bookmarkEnd w:id="130"/>
    <w:p>
      <w:pPr>
        <w:jc w:val="right"/>
        <w:ind w:right="73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CERTIFICATION PURSUANT TO</w:t>
      </w:r>
    </w:p>
    <w:p>
      <w:pPr>
        <w:jc w:val="center"/>
        <w:ind w:right="679"/>
        <w:spacing w:after="0" w:line="221" w:lineRule="auto"/>
        <w:rPr>
          <w:sz w:val="20"/>
          <w:szCs w:val="20"/>
          <w:color w:val="auto"/>
        </w:rPr>
      </w:pPr>
      <w:r>
        <w:rPr>
          <w:rFonts w:ascii="Arial" w:cs="Arial" w:eastAsia="Arial" w:hAnsi="Arial"/>
          <w:sz w:val="18"/>
          <w:szCs w:val="18"/>
          <w:b w:val="1"/>
          <w:bCs w:val="1"/>
          <w:color w:val="auto"/>
        </w:rPr>
        <w:t>18 U.S.C. SECTION 1350,</w:t>
      </w:r>
    </w:p>
    <w:p>
      <w:pPr>
        <w:jc w:val="center"/>
        <w:ind w:right="679"/>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8" w:lineRule="exact"/>
        <w:rPr>
          <w:sz w:val="20"/>
          <w:szCs w:val="20"/>
          <w:color w:val="auto"/>
        </w:rPr>
      </w:pPr>
    </w:p>
    <w:p>
      <w:pPr>
        <w:jc w:val="both"/>
        <w:ind w:left="60" w:right="739" w:firstLine="360"/>
        <w:spacing w:after="0" w:line="312" w:lineRule="auto"/>
        <w:rPr>
          <w:sz w:val="20"/>
          <w:szCs w:val="20"/>
          <w:color w:val="auto"/>
        </w:rPr>
      </w:pPr>
      <w:r>
        <w:rPr>
          <w:rFonts w:ascii="Arial" w:cs="Arial" w:eastAsia="Arial" w:hAnsi="Arial"/>
          <w:sz w:val="16"/>
          <w:szCs w:val="16"/>
          <w:color w:val="auto"/>
        </w:rPr>
        <w:t>In connection with the Annual Report of G-III Apparel Group, Ltd. (the “Company”) on Form 10-K for the fiscal year ended January 31, 2018 (the “Report”), I, Neal S. Nackman, Chief Financial Officer of the Company, certify, pursuant to 18 U.S.C. §1350, as adopted pursuant to §906 of the Sarbanes-Oxley Act of 2002, that:</w:t>
      </w:r>
    </w:p>
    <w:p>
      <w:pPr>
        <w:spacing w:after="0" w:line="39"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14" w:lineRule="exact"/>
        <w:rPr>
          <w:sz w:val="20"/>
          <w:szCs w:val="20"/>
          <w:color w:val="auto"/>
        </w:rPr>
      </w:pPr>
    </w:p>
    <w:p>
      <w:pPr>
        <w:ind w:left="60"/>
        <w:spacing w:after="0"/>
        <w:tabs>
          <w:tab w:leader="none" w:pos="4260" w:val="left"/>
        </w:tabs>
        <w:rPr>
          <w:sz w:val="20"/>
          <w:szCs w:val="20"/>
          <w:color w:val="auto"/>
        </w:rPr>
      </w:pPr>
      <w:r>
        <w:rPr>
          <w:rFonts w:ascii="Arial" w:cs="Arial" w:eastAsia="Arial" w:hAnsi="Arial"/>
          <w:sz w:val="18"/>
          <w:szCs w:val="18"/>
          <w:color w:val="auto"/>
        </w:rPr>
        <w:t>April 2, 2018</w:t>
      </w:r>
      <w:r>
        <w:rPr>
          <w:sz w:val="20"/>
          <w:szCs w:val="20"/>
          <w:color w:val="auto"/>
        </w:rPr>
        <w:tab/>
      </w:r>
      <w:r>
        <w:rPr>
          <w:rFonts w:ascii="Arial" w:cs="Arial" w:eastAsia="Arial" w:hAnsi="Arial"/>
          <w:sz w:val="16"/>
          <w:szCs w:val="16"/>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48895</wp:posOffset>
            </wp:positionV>
            <wp:extent cx="25387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Neal S. Nackman</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jc w:val="both"/>
        <w:ind w:left="60" w:right="759" w:firstLine="360"/>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540385</wp:posOffset>
            </wp:positionV>
            <wp:extent cx="683450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9019"/>
      </w:cols>
      <w:pgMar w:left="1440" w:top="10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emdash "/>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Roman"/>
      <w:start w:val="2"/>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3"/>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1."/>
      <w:numFmt w:val="decimal"/>
      <w:start w:val="4"/>
    </w:lvl>
  </w:abstractNum>
  <w:abstractNum w:abstractNumId="36">
    <w:nsid w:val="6A2342EC"/>
    <w:multiLevelType w:val="hybridMultilevel"/>
    <w:lvl w:ilvl="0">
      <w:lvlJc w:val="left"/>
      <w:lvlText w:val="%1."/>
      <w:numFmt w:val="decimal"/>
      <w:start w:val="5"/>
    </w:lvl>
  </w:abstractNum>
  <w:abstractNum w:abstractNumId="37">
    <w:nsid w:val="2A487CB0"/>
    <w:multiLevelType w:val="hybridMultilevel"/>
    <w:lvl w:ilvl="0">
      <w:lvlJc w:val="left"/>
      <w:lvlText w:val="%1."/>
      <w:numFmt w:val="decimal"/>
      <w:start w:val="8"/>
    </w:lvl>
  </w:abstractNum>
  <w:abstractNum w:abstractNumId="38">
    <w:nsid w:val="1D4ED43B"/>
    <w:multiLevelType w:val="hybridMultilevel"/>
    <w:lvl w:ilvl="0">
      <w:lvlJc w:val="left"/>
      <w:lvlText w:val="(%1)"/>
      <w:numFmt w:val="decimal"/>
      <w:start w:val="5"/>
    </w:lvl>
  </w:abstractNum>
  <w:abstractNum w:abstractNumId="39">
    <w:nsid w:val="725A06FB"/>
    <w:multiLevelType w:val="hybridMultilevel"/>
    <w:lvl w:ilvl="0">
      <w:lvlJc w:val="left"/>
      <w:lvlText w:val="%1."/>
      <w:numFmt w:val="decimal"/>
      <w:start w:val="9"/>
    </w:lvl>
  </w:abstractNum>
  <w:abstractNum w:abstractNumId="40">
    <w:nsid w:val="2CD89A32"/>
    <w:multiLevelType w:val="hybridMultilevel"/>
    <w:lvl w:ilvl="0">
      <w:lvlJc w:val="left"/>
      <w:lvlText w:val="%1."/>
      <w:numFmt w:val="decimal"/>
      <w:start w:val="11"/>
    </w:lvl>
  </w:abstractNum>
  <w:abstractNum w:abstractNumId="41">
    <w:nsid w:val="57E4CCAF"/>
    <w:multiLevelType w:val="hybridMultilevel"/>
    <w:lvl w:ilvl="0">
      <w:lvlJc w:val="left"/>
      <w:lvlText w:val="%1."/>
      <w:numFmt w:val="decimal"/>
      <w:start w:val="12"/>
    </w:lvl>
  </w:abstractNum>
  <w:abstractNum w:abstractNumId="42">
    <w:nsid w:val="7A6D8D3C"/>
    <w:multiLevelType w:val="hybridMultilevel"/>
    <w:lvl w:ilvl="0">
      <w:lvlJc w:val="left"/>
      <w:lvlText w:val="%1."/>
      <w:numFmt w:val="decimal"/>
      <w:start w:val="14"/>
    </w:lvl>
  </w:abstractNum>
  <w:abstractNum w:abstractNumId="43">
    <w:nsid w:val="4B588F54"/>
    <w:multiLevelType w:val="hybridMultilevel"/>
    <w:lvl w:ilvl="0">
      <w:lvlJc w:val="left"/>
      <w:lvlText w:val="%1."/>
      <w:numFmt w:val="decimal"/>
      <w:start w:val="17"/>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266" Type="http://schemas.openxmlformats.org/officeDocument/2006/relationships/image" Target="media/image200.png"/><Relationship Id="rId267" Type="http://schemas.openxmlformats.org/officeDocument/2006/relationships/image" Target="media/image201.png"/><Relationship Id="rId268" Type="http://schemas.openxmlformats.org/officeDocument/2006/relationships/image" Target="media/image202.png"/><Relationship Id="rId269" Type="http://schemas.openxmlformats.org/officeDocument/2006/relationships/image" Target="media/image203.png"/><Relationship Id="rId270" Type="http://schemas.openxmlformats.org/officeDocument/2006/relationships/image" Target="media/image204.png"/><Relationship Id="rId271" Type="http://schemas.openxmlformats.org/officeDocument/2006/relationships/image" Target="media/image205.png"/><Relationship Id="rId272" Type="http://schemas.openxmlformats.org/officeDocument/2006/relationships/image" Target="media/image206.png"/><Relationship Id="rId273" Type="http://schemas.openxmlformats.org/officeDocument/2006/relationships/image" Target="media/image207.png"/><Relationship Id="rId274" Type="http://schemas.openxmlformats.org/officeDocument/2006/relationships/image" Target="media/image208.png"/><Relationship Id="rId275" Type="http://schemas.openxmlformats.org/officeDocument/2006/relationships/image" Target="media/image209.png"/><Relationship Id="rId276" Type="http://schemas.openxmlformats.org/officeDocument/2006/relationships/image" Target="media/image210.png"/><Relationship Id="rId277" Type="http://schemas.openxmlformats.org/officeDocument/2006/relationships/image" Target="media/image211.png"/><Relationship Id="rId278"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1" Type="http://schemas.openxmlformats.org/officeDocument/2006/relationships/image" Target="media/image215.png"/><Relationship Id="rId282" Type="http://schemas.openxmlformats.org/officeDocument/2006/relationships/image" Target="media/image216.png"/><Relationship Id="rId283" Type="http://schemas.openxmlformats.org/officeDocument/2006/relationships/image" Target="media/image217.png"/><Relationship Id="rId284" Type="http://schemas.openxmlformats.org/officeDocument/2006/relationships/image" Target="media/image218.png"/><Relationship Id="rId285" Type="http://schemas.openxmlformats.org/officeDocument/2006/relationships/image" Target="media/image219.png"/><Relationship Id="rId286" Type="http://schemas.openxmlformats.org/officeDocument/2006/relationships/image" Target="media/image220.png"/><Relationship Id="rId287" Type="http://schemas.openxmlformats.org/officeDocument/2006/relationships/image" Target="media/image221.png"/><Relationship Id="rId288" Type="http://schemas.openxmlformats.org/officeDocument/2006/relationships/image" Target="media/image222.png"/><Relationship Id="rId289" Type="http://schemas.openxmlformats.org/officeDocument/2006/relationships/image" Target="media/image223.png"/><Relationship Id="rId290" Type="http://schemas.openxmlformats.org/officeDocument/2006/relationships/image" Target="media/image224.png"/><Relationship Id="rId291" Type="http://schemas.openxmlformats.org/officeDocument/2006/relationships/image" Target="media/image225.png"/><Relationship Id="rId292" Type="http://schemas.openxmlformats.org/officeDocument/2006/relationships/image" Target="media/image226.png"/><Relationship Id="rId293" Type="http://schemas.openxmlformats.org/officeDocument/2006/relationships/image" Target="media/image227.png"/><Relationship Id="rId294" Type="http://schemas.openxmlformats.org/officeDocument/2006/relationships/image" Target="media/image228.png"/><Relationship Id="rId295" Type="http://schemas.openxmlformats.org/officeDocument/2006/relationships/image" Target="media/image229.png"/><Relationship Id="rId296" Type="http://schemas.openxmlformats.org/officeDocument/2006/relationships/image" Target="media/image230.png"/><Relationship Id="rId297" Type="http://schemas.openxmlformats.org/officeDocument/2006/relationships/image" Target="media/image231.png"/><Relationship Id="rId298" Type="http://schemas.openxmlformats.org/officeDocument/2006/relationships/image" Target="media/image232.png"/><Relationship Id="rId299" Type="http://schemas.openxmlformats.org/officeDocument/2006/relationships/image" Target="media/image233.png"/><Relationship Id="rId300" Type="http://schemas.openxmlformats.org/officeDocument/2006/relationships/image" Target="media/image234.png"/><Relationship Id="rId301" Type="http://schemas.openxmlformats.org/officeDocument/2006/relationships/image" Target="media/image235.png"/><Relationship Id="rId302" Type="http://schemas.openxmlformats.org/officeDocument/2006/relationships/image" Target="media/image236.png"/><Relationship Id="rId303" Type="http://schemas.openxmlformats.org/officeDocument/2006/relationships/image" Target="media/image237.png"/><Relationship Id="rId304" Type="http://schemas.openxmlformats.org/officeDocument/2006/relationships/image" Target="media/image238.png"/><Relationship Id="rId305" Type="http://schemas.openxmlformats.org/officeDocument/2006/relationships/image" Target="media/image239.png"/><Relationship Id="rId306" Type="http://schemas.openxmlformats.org/officeDocument/2006/relationships/image" Target="media/image240.png"/><Relationship Id="rId307" Type="http://schemas.openxmlformats.org/officeDocument/2006/relationships/image" Target="media/image241.png"/><Relationship Id="rId308" Type="http://schemas.openxmlformats.org/officeDocument/2006/relationships/image" Target="media/image242.png"/><Relationship Id="rId309" Type="http://schemas.openxmlformats.org/officeDocument/2006/relationships/image" Target="media/image243.png"/><Relationship Id="rId310" Type="http://schemas.openxmlformats.org/officeDocument/2006/relationships/image" Target="media/image244.png"/><Relationship Id="rId311" Type="http://schemas.openxmlformats.org/officeDocument/2006/relationships/image" Target="media/image245.png"/><Relationship Id="rId312" Type="http://schemas.openxmlformats.org/officeDocument/2006/relationships/image" Target="media/image246.png"/><Relationship Id="rId313" Type="http://schemas.openxmlformats.org/officeDocument/2006/relationships/image" Target="media/image247.png"/><Relationship Id="rId314" Type="http://schemas.openxmlformats.org/officeDocument/2006/relationships/image" Target="media/image248.png"/><Relationship Id="rId315" Type="http://schemas.openxmlformats.org/officeDocument/2006/relationships/image" Target="media/image249.png"/><Relationship Id="rId316" Type="http://schemas.openxmlformats.org/officeDocument/2006/relationships/image" Target="media/image250.png"/><Relationship Id="rId317" Type="http://schemas.openxmlformats.org/officeDocument/2006/relationships/image" Target="media/image251.png"/><Relationship Id="rId318" Type="http://schemas.openxmlformats.org/officeDocument/2006/relationships/image" Target="media/image252.png"/><Relationship Id="rId319" Type="http://schemas.openxmlformats.org/officeDocument/2006/relationships/image" Target="media/image253.png"/><Relationship Id="rId320" Type="http://schemas.openxmlformats.org/officeDocument/2006/relationships/image" Target="media/image254.png"/><Relationship Id="rId321" Type="http://schemas.openxmlformats.org/officeDocument/2006/relationships/image" Target="media/image255.png"/><Relationship Id="rId322" Type="http://schemas.openxmlformats.org/officeDocument/2006/relationships/image" Target="media/image256.png"/><Relationship Id="rId323" Type="http://schemas.openxmlformats.org/officeDocument/2006/relationships/image" Target="media/image257.png"/><Relationship Id="rId324" Type="http://schemas.openxmlformats.org/officeDocument/2006/relationships/image" Target="media/image258.png"/><Relationship Id="rId325" Type="http://schemas.openxmlformats.org/officeDocument/2006/relationships/image" Target="media/image259.png"/><Relationship Id="rId326" Type="http://schemas.openxmlformats.org/officeDocument/2006/relationships/image" Target="media/image260.png"/><Relationship Id="rId327" Type="http://schemas.openxmlformats.org/officeDocument/2006/relationships/image" Target="media/image261.png"/><Relationship Id="rId328" Type="http://schemas.openxmlformats.org/officeDocument/2006/relationships/image" Target="media/image262.png"/><Relationship Id="rId329" Type="http://schemas.openxmlformats.org/officeDocument/2006/relationships/image" Target="media/image263.png"/><Relationship Id="rId330" Type="http://schemas.openxmlformats.org/officeDocument/2006/relationships/image" Target="media/image264.png"/><Relationship Id="rId331" Type="http://schemas.openxmlformats.org/officeDocument/2006/relationships/image" Target="media/image265.png"/><Relationship Id="rId332" Type="http://schemas.openxmlformats.org/officeDocument/2006/relationships/image" Target="media/image266.png"/><Relationship Id="rId333" Type="http://schemas.openxmlformats.org/officeDocument/2006/relationships/image" Target="media/image267.png"/><Relationship Id="rId334" Type="http://schemas.openxmlformats.org/officeDocument/2006/relationships/image" Target="media/image268.png"/><Relationship Id="rId335" Type="http://schemas.openxmlformats.org/officeDocument/2006/relationships/image" Target="media/image269.png"/><Relationship Id="rId336" Type="http://schemas.openxmlformats.org/officeDocument/2006/relationships/image" Target="media/image270.png"/><Relationship Id="rId337" Type="http://schemas.openxmlformats.org/officeDocument/2006/relationships/image" Target="media/image271.png"/><Relationship Id="rId338" Type="http://schemas.openxmlformats.org/officeDocument/2006/relationships/image" Target="media/image272.png"/><Relationship Id="rId339" Type="http://schemas.openxmlformats.org/officeDocument/2006/relationships/image" Target="media/image273.png"/><Relationship Id="rId340" Type="http://schemas.openxmlformats.org/officeDocument/2006/relationships/image" Target="media/image274.png"/><Relationship Id="rId341" Type="http://schemas.openxmlformats.org/officeDocument/2006/relationships/image" Target="media/image275.png"/><Relationship Id="rId342" Type="http://schemas.openxmlformats.org/officeDocument/2006/relationships/image" Target="media/image276.png"/><Relationship Id="rId343" Type="http://schemas.openxmlformats.org/officeDocument/2006/relationships/image" Target="media/image277.png"/><Relationship Id="rId344" Type="http://schemas.openxmlformats.org/officeDocument/2006/relationships/image" Target="media/image278.png"/><Relationship Id="rId345" Type="http://schemas.openxmlformats.org/officeDocument/2006/relationships/image" Target="media/image279.png"/><Relationship Id="rId346" Type="http://schemas.openxmlformats.org/officeDocument/2006/relationships/image" Target="media/image280.png"/><Relationship Id="rId347" Type="http://schemas.openxmlformats.org/officeDocument/2006/relationships/image" Target="media/image281.png"/><Relationship Id="rId348" Type="http://schemas.openxmlformats.org/officeDocument/2006/relationships/image" Target="media/image282.png"/><Relationship Id="rId349" Type="http://schemas.openxmlformats.org/officeDocument/2006/relationships/image" Target="media/image283.png"/><Relationship Id="rId350" Type="http://schemas.openxmlformats.org/officeDocument/2006/relationships/image" Target="media/image284.png"/><Relationship Id="rId351" Type="http://schemas.openxmlformats.org/officeDocument/2006/relationships/image" Target="media/image285.png"/><Relationship Id="rId352" Type="http://schemas.openxmlformats.org/officeDocument/2006/relationships/image" Target="media/image286.png"/><Relationship Id="rId353" Type="http://schemas.openxmlformats.org/officeDocument/2006/relationships/image" Target="media/image287.png"/><Relationship Id="rId354" Type="http://schemas.openxmlformats.org/officeDocument/2006/relationships/image" Target="media/image288.png"/><Relationship Id="rId355" Type="http://schemas.openxmlformats.org/officeDocument/2006/relationships/image" Target="media/image289.png"/><Relationship Id="rId356" Type="http://schemas.openxmlformats.org/officeDocument/2006/relationships/image" Target="media/image290.png"/><Relationship Id="rId357" Type="http://schemas.openxmlformats.org/officeDocument/2006/relationships/image" Target="media/image291.png"/><Relationship Id="rId358" Type="http://schemas.openxmlformats.org/officeDocument/2006/relationships/image" Target="media/image292.png"/><Relationship Id="rId359" Type="http://schemas.openxmlformats.org/officeDocument/2006/relationships/image" Target="media/image293.png"/><Relationship Id="rId360" Type="http://schemas.openxmlformats.org/officeDocument/2006/relationships/image" Target="media/image294.png"/><Relationship Id="rId361" Type="http://schemas.openxmlformats.org/officeDocument/2006/relationships/image" Target="media/image295.png"/><Relationship Id="rId362" Type="http://schemas.openxmlformats.org/officeDocument/2006/relationships/image" Target="media/image296.png"/><Relationship Id="rId363" Type="http://schemas.openxmlformats.org/officeDocument/2006/relationships/image" Target="media/image297.png"/><Relationship Id="rId364" Type="http://schemas.openxmlformats.org/officeDocument/2006/relationships/image" Target="media/image298.png"/><Relationship Id="rId365" Type="http://schemas.openxmlformats.org/officeDocument/2006/relationships/image" Target="media/image299.png"/><Relationship Id="rId366" Type="http://schemas.openxmlformats.org/officeDocument/2006/relationships/image" Target="media/image300.png"/><Relationship Id="rId367" Type="http://schemas.openxmlformats.org/officeDocument/2006/relationships/image" Target="media/image301.png"/><Relationship Id="rId368" Type="http://schemas.openxmlformats.org/officeDocument/2006/relationships/image" Target="media/image302.png"/><Relationship Id="rId369" Type="http://schemas.openxmlformats.org/officeDocument/2006/relationships/image" Target="media/image303.png"/><Relationship Id="rId370" Type="http://schemas.openxmlformats.org/officeDocument/2006/relationships/image" Target="media/image304.png"/><Relationship Id="rId371" Type="http://schemas.openxmlformats.org/officeDocument/2006/relationships/image" Target="media/image305.png"/><Relationship Id="rId372" Type="http://schemas.openxmlformats.org/officeDocument/2006/relationships/image" Target="media/image306.png"/><Relationship Id="rId373" Type="http://schemas.openxmlformats.org/officeDocument/2006/relationships/image" Target="media/image307.png"/><Relationship Id="rId374" Type="http://schemas.openxmlformats.org/officeDocument/2006/relationships/image" Target="media/image308.png"/><Relationship Id="rId375" Type="http://schemas.openxmlformats.org/officeDocument/2006/relationships/image" Target="media/image309.png"/><Relationship Id="rId376" Type="http://schemas.openxmlformats.org/officeDocument/2006/relationships/image" Target="media/image310.png"/><Relationship Id="rId377" Type="http://schemas.openxmlformats.org/officeDocument/2006/relationships/image" Target="media/image311.png"/><Relationship Id="rId378" Type="http://schemas.openxmlformats.org/officeDocument/2006/relationships/image" Target="media/image312.png"/><Relationship Id="rId379" Type="http://schemas.openxmlformats.org/officeDocument/2006/relationships/image" Target="media/image313.png"/><Relationship Id="rId380" Type="http://schemas.openxmlformats.org/officeDocument/2006/relationships/image" Target="media/image314.png"/><Relationship Id="rId381" Type="http://schemas.openxmlformats.org/officeDocument/2006/relationships/image" Target="media/image315.png"/><Relationship Id="rId382" Type="http://schemas.openxmlformats.org/officeDocument/2006/relationships/image" Target="media/image316.png"/><Relationship Id="rId383" Type="http://schemas.openxmlformats.org/officeDocument/2006/relationships/image" Target="media/image317.png"/><Relationship Id="rId384" Type="http://schemas.openxmlformats.org/officeDocument/2006/relationships/image" Target="media/image318.png"/><Relationship Id="rId385" Type="http://schemas.openxmlformats.org/officeDocument/2006/relationships/image" Target="media/image319.png"/><Relationship Id="rId386" Type="http://schemas.openxmlformats.org/officeDocument/2006/relationships/image" Target="media/image320.png"/><Relationship Id="rId387" Type="http://schemas.openxmlformats.org/officeDocument/2006/relationships/image" Target="media/image321.png"/><Relationship Id="rId388" Type="http://schemas.openxmlformats.org/officeDocument/2006/relationships/image" Target="media/image322.png"/><Relationship Id="rId389" Type="http://schemas.openxmlformats.org/officeDocument/2006/relationships/image" Target="media/image323.png"/><Relationship Id="rId390" Type="http://schemas.openxmlformats.org/officeDocument/2006/relationships/image" Target="media/image324.png"/><Relationship Id="rId391" Type="http://schemas.openxmlformats.org/officeDocument/2006/relationships/image" Target="media/image325.png"/><Relationship Id="rId392" Type="http://schemas.openxmlformats.org/officeDocument/2006/relationships/image" Target="media/image326.png"/><Relationship Id="rId393" Type="http://schemas.openxmlformats.org/officeDocument/2006/relationships/image" Target="media/image327.png"/><Relationship Id="rId394" Type="http://schemas.openxmlformats.org/officeDocument/2006/relationships/image" Target="media/image328.png"/><Relationship Id="rId395" Type="http://schemas.openxmlformats.org/officeDocument/2006/relationships/image" Target="media/image329.png"/><Relationship Id="rId396" Type="http://schemas.openxmlformats.org/officeDocument/2006/relationships/image" Target="media/image330.png"/><Relationship Id="rId122" Type="http://schemas.openxmlformats.org/officeDocument/2006/relationships/hyperlink" Target="http://www.sec.gov/Archives/edgar/data/821002/000157104916016885/t1601856_ex2-1.htm" TargetMode="External"/><Relationship Id="rId123" Type="http://schemas.openxmlformats.org/officeDocument/2006/relationships/hyperlink" Target="http://www.sec.gov/Archives/edgar/data/821002/000157104916020381/t1603005_ex10-1.htm" TargetMode="External"/><Relationship Id="rId124" Type="http://schemas.openxmlformats.org/officeDocument/2006/relationships/hyperlink" Target="http://www.sec.gov/Archives/edgar/data/821002/000095013606007680/file2.htm" TargetMode="External"/><Relationship Id="rId127" Type="http://schemas.openxmlformats.org/officeDocument/2006/relationships/hyperlink" Target="http://www.sec.gov/Archives/edgar/data/821002/000095012311057737/y04932exv3w1.htm" TargetMode="External"/><Relationship Id="rId128" Type="http://schemas.openxmlformats.org/officeDocument/2006/relationships/hyperlink" Target="http://www.sec.gov/Archives/edgar/data/821002/000157104915005420/t1501536_ex3-1.htm" TargetMode="External"/><Relationship Id="rId129" Type="http://schemas.openxmlformats.org/officeDocument/2006/relationships/hyperlink" Target="http://www.sec.gov/Archives/edgar/data/821002/000119312513107874/d503217dex31.htm" TargetMode="External"/><Relationship Id="rId130" Type="http://schemas.openxmlformats.org/officeDocument/2006/relationships/hyperlink" Target="http://www.sec.gov/Archives/edgar/data/821002/000157104916020381/t1603005_ex10-4.htm" TargetMode="External"/><Relationship Id="rId131" Type="http://schemas.openxmlformats.org/officeDocument/2006/relationships/hyperlink" Target="http://www.sec.gov/Archives/edgar/data/821002/000095013606003565/file003.htm" TargetMode="External"/><Relationship Id="rId132" Type="http://schemas.openxmlformats.org/officeDocument/2006/relationships/hyperlink" Target="http://www.sec.gov/Archives/edgar/data/821002/000095013606003565/file004.htm" TargetMode="External"/><Relationship Id="rId133" Type="http://schemas.openxmlformats.org/officeDocument/2006/relationships/hyperlink" Target="http://www.sec.gov/Archives/edgar/data/821002/000095012309001831/y01044exv10w1.htm" TargetMode="External"/><Relationship Id="rId134" Type="http://schemas.openxmlformats.org/officeDocument/2006/relationships/hyperlink" Target="http://www.sec.gov/Archives/edgar/data/821002/000119312513107874/d503217dex102.htm" TargetMode="External"/><Relationship Id="rId135" Type="http://schemas.openxmlformats.org/officeDocument/2006/relationships/hyperlink" Target="http://www.sec.gov/Archives/edgar/data/821002/000157104914001406/t1400776_ex10-1.htm" TargetMode="External"/><Relationship Id="rId136" Type="http://schemas.openxmlformats.org/officeDocument/2006/relationships/hyperlink" Target="http://www.sec.gov/Archives/edgar/data/821002/000157104916020381/t1603005_ex10-2.htm" TargetMode="External"/><Relationship Id="rId137" Type="http://schemas.openxmlformats.org/officeDocument/2006/relationships/hyperlink" Target="http://www.sec.gov/Archives/edgar/data/821002/000157104916020381/t1603005_ex10-3.htm" TargetMode="External"/><Relationship Id="rId138" Type="http://schemas.openxmlformats.org/officeDocument/2006/relationships/hyperlink" Target="http://www.sec.gov/Archives/edgar/data/821002/000095013606003565/file007.htm" TargetMode="External"/><Relationship Id="rId139" Type="http://schemas.openxmlformats.org/officeDocument/2006/relationships/hyperlink" Target="http://www.sec.gov/Archives/edgar/data/821002/000095013606003565/file008.htm" TargetMode="External"/><Relationship Id="rId140" Type="http://schemas.openxmlformats.org/officeDocument/2006/relationships/hyperlink" Target="http://www.sec.gov/Archives/edgar/data/821002/000095012310112815/y04204exv10w6.htm" TargetMode="External"/><Relationship Id="rId143" Type="http://schemas.openxmlformats.org/officeDocument/2006/relationships/hyperlink" Target="http://www.sec.gov/Archives/edgar/data/821002/000095013606003565/file009.htm" TargetMode="External"/><Relationship Id="rId144" Type="http://schemas.openxmlformats.org/officeDocument/2006/relationships/hyperlink" Target="http://www.sec.gov/Archives/edgar/data/821002/000095013606003565/file010.htm" TargetMode="External"/><Relationship Id="rId145" Type="http://schemas.openxmlformats.org/officeDocument/2006/relationships/hyperlink" Target="http://www.sec.gov/Archives/edgar/data/821002/000095012310112815/y04204exv10w5.htm" TargetMode="External"/><Relationship Id="rId146" Type="http://schemas.openxmlformats.org/officeDocument/2006/relationships/hyperlink" Target="http://www.sec.gov/Archives/edgar/data/821002/000095012310112815/y04204exv10w4.htm" TargetMode="External"/><Relationship Id="rId147" Type="http://schemas.openxmlformats.org/officeDocument/2006/relationships/hyperlink" Target="http://www.sec.gov/Archives/edgar/data/821002/000095012310112815/y04204exv10w7.htm" TargetMode="External"/><Relationship Id="rId148" Type="http://schemas.openxmlformats.org/officeDocument/2006/relationships/hyperlink" Target="http://www.sec.gov/Archives/edgar/data/821002/000119312513253469/d529922dex105e.htm" TargetMode="External"/><Relationship Id="rId149" Type="http://schemas.openxmlformats.org/officeDocument/2006/relationships/hyperlink" Target="http://www.sec.gov/Archives/edgar/data/821002/000157104914002294/t1401027_ex10-5xe.htm" TargetMode="External"/><Relationship Id="rId150" Type="http://schemas.openxmlformats.org/officeDocument/2006/relationships/hyperlink" Target="http://www.sec.gov/Archives/edgar/data/821002/000095012310112815/y04204exv10w8.htm" TargetMode="External"/><Relationship Id="rId151" Type="http://schemas.openxmlformats.org/officeDocument/2006/relationships/hyperlink" Target="http://www.sec.gov/Archives/edgar/data/821002/000095013606003332/file002.htm" TargetMode="External"/><Relationship Id="rId152" Type="http://schemas.openxmlformats.org/officeDocument/2006/relationships/hyperlink" Target="http://www.sec.gov/Archives/edgar/data/821002/000095012309006668/y01491exv10w9wa.htm" TargetMode="External"/><Relationship Id="rId153" Type="http://schemas.openxmlformats.org/officeDocument/2006/relationships/hyperlink" Target="http://www.sec.gov/Archives/edgar/data/821002/000119312513107874/d503217dex101.htm" TargetMode="External"/><Relationship Id="rId154" Type="http://schemas.openxmlformats.org/officeDocument/2006/relationships/hyperlink" Target="http://www.sec.gov/Archives/edgar/data/821002/000095012309006668/y01491exv10w10wa.htm" TargetMode="External"/><Relationship Id="rId155" Type="http://schemas.openxmlformats.org/officeDocument/2006/relationships/hyperlink" Target="http://www.sec.gov/Archives/edgar/data/821002/000095013605003512/file002.htm" TargetMode="External"/><Relationship Id="rId159" Type="http://schemas.openxmlformats.org/officeDocument/2006/relationships/hyperlink" Target="http://www.sec.gov/Archives/edgar/data/821002/000095012308007547/y62474exv10w1.htm" TargetMode="External"/><Relationship Id="rId160" Type="http://schemas.openxmlformats.org/officeDocument/2006/relationships/hyperlink" Target="http://www.sec.gov/Archives/edgar/data/821002/000095012309006927/y01531exv10w1.htm" TargetMode="External"/><Relationship Id="rId161" Type="http://schemas.openxmlformats.org/officeDocument/2006/relationships/hyperlink" Target="http://www.sec.gov/Archives/edgar/data/821002/000095012310027117/c98179exv10w1.htm" TargetMode="External"/><Relationship Id="rId162" Type="http://schemas.openxmlformats.org/officeDocument/2006/relationships/hyperlink" Target="http://www.sec.gov/Archives/edgar/data/821002/000095012311063592/c19506exv10w1.htm" TargetMode="External"/><Relationship Id="rId163" Type="http://schemas.openxmlformats.org/officeDocument/2006/relationships/hyperlink" Target="http://www.sec.gov/Archives/edgar/data/821002/000119312512420616/d423466dex101.htm" TargetMode="External"/><Relationship Id="rId164" Type="http://schemas.openxmlformats.org/officeDocument/2006/relationships/hyperlink" Target="http://www.sec.gov/Archives/edgar/data/821002/000157104913000915/t1300491_ex10-1.htm" TargetMode="External"/><Relationship Id="rId165" Type="http://schemas.openxmlformats.org/officeDocument/2006/relationships/hyperlink" Target="http://www.sec.gov/Archives/edgar/data/821002/000157104914005486/t1402027_ex10-1.htm" TargetMode="External"/><Relationship Id="rId166" Type="http://schemas.openxmlformats.org/officeDocument/2006/relationships/hyperlink" Target="http://www.sec.gov/Archives/edgar/data/821002/000157104915004196/t1501166_ex10-1.htm" TargetMode="External"/><Relationship Id="rId167" Type="http://schemas.openxmlformats.org/officeDocument/2006/relationships/hyperlink" Target="http://www.sec.gov/Archives/edgar/data/821002/000157104915004196/t1501166_ex10-2.htm" TargetMode="External"/><Relationship Id="rId168" Type="http://schemas.openxmlformats.org/officeDocument/2006/relationships/hyperlink" Target="http://www.sec.gov/Archives/edgar/data/821002/000157104916020647/t1603077_ex10-1.htm" TargetMode="External"/><Relationship Id="rId169" Type="http://schemas.openxmlformats.org/officeDocument/2006/relationships/hyperlink" Target="http://www.sec.gov/Archives/edgar/data/821002/000157104915009960/t1502937_ex10-1.htm" TargetMode="External"/><Relationship Id="rId170" Type="http://schemas.openxmlformats.org/officeDocument/2006/relationships/hyperlink" Target="http://www.sec.gov/Archives/edgar/data/821002/000157104917000901/t1700280_ex10-1.htm" TargetMode="External"/><Relationship Id="rId171" Type="http://schemas.openxmlformats.org/officeDocument/2006/relationships/hyperlink" Target="http://www.sec.gov/Archives/edgar/data/821002/000157104917002552/t1700771_ex10-1.htm" TargetMode="External"/><Relationship Id="rId172" Type="http://schemas.openxmlformats.org/officeDocument/2006/relationships/hyperlink" Target="http://www.sec.gov/Archives/edgar/data/821002/000095012311014727/c12756exv10w1.htm" TargetMode="External"/><Relationship Id="rId173" Type="http://schemas.openxmlformats.org/officeDocument/2006/relationships/hyperlink" Target="http://www.sec.gov/Archives/edgar/data/821002/000095012310112815/y04204exv10w10.htm" TargetMode="External"/><Relationship Id="rId174" Type="http://schemas.openxmlformats.org/officeDocument/2006/relationships/hyperlink" Target="http://www.sec.gov/Archives/edgar/data/821002/000095012308012173/y00256exv10w1.htm" TargetMode="External"/><Relationship Id="rId175" Type="http://schemas.openxmlformats.org/officeDocument/2006/relationships/hyperlink" Target="http://www.sec.gov/Archives/edgar/data/821002/000095012309001831/y01044exv10w2.htm" TargetMode="External"/><Relationship Id="rId176" Type="http://schemas.openxmlformats.org/officeDocument/2006/relationships/hyperlink" Target="http://www.sec.gov/Archives/edgar/data/821002/000119312513107874/d503217dex103.htm" TargetMode="External"/><Relationship Id="rId179" Type="http://schemas.openxmlformats.org/officeDocument/2006/relationships/hyperlink" Target="http://www.sec.gov/Archives/edgar/data/821002/000157104914001406/t1400776_ex10-2.htm" TargetMode="External"/><Relationship Id="rId180" Type="http://schemas.openxmlformats.org/officeDocument/2006/relationships/hyperlink" Target="http://www.sec.gov/Archives/edgar/data/821002/000095013606007680/file3.htm" TargetMode="External"/><Relationship Id="rId181" Type="http://schemas.openxmlformats.org/officeDocument/2006/relationships/hyperlink" Target="http://www.sec.gov/Archives/edgar/data/821002/000095012310112815/y04204exv10w9.htm" TargetMode="External"/><Relationship Id="rId182" Type="http://schemas.openxmlformats.org/officeDocument/2006/relationships/hyperlink" Target="http://www.sec.gov/Archives/edgar/data/821002/000095012310112815/y04204exv10w1.htm" TargetMode="External"/><Relationship Id="rId183" Type="http://schemas.openxmlformats.org/officeDocument/2006/relationships/hyperlink" Target="http://www.sec.gov/Archives/edgar/data/821002/000119312513011014/d466845dex101.htm" TargetMode="External"/><Relationship Id="rId184" Type="http://schemas.openxmlformats.org/officeDocument/2006/relationships/hyperlink" Target="http://www.sec.gov/Archives/edgar/data/821002/000157104916020647/t1603077_ex10-2.htm" TargetMode="External"/><Relationship Id="rId185" Type="http://schemas.openxmlformats.org/officeDocument/2006/relationships/hyperlink" Target="http://www.sec.gov/Archives/edgar/data/821002/000157104916020647/t1603077_ex10-3.htm" TargetMode="External"/><Relationship Id="rId186" Type="http://schemas.openxmlformats.org/officeDocument/2006/relationships/hyperlink" Target="http://www.sec.gov/Archives/edgar/data/821002/000157104916020647/t1603077_ex10-4.htm" TargetMode="External"/><Relationship Id="rId187" Type="http://schemas.openxmlformats.org/officeDocument/2006/relationships/hyperlink" Target="http://www.sec.gov/Archives/edgar/data/821002/000157104916020647/t1603077_ex10-5.htm" TargetMode="External"/><Relationship Id="rId188" Type="http://schemas.openxmlformats.org/officeDocument/2006/relationships/hyperlink" Target="http://www.sec.gov/Archives/edgar/data/821002/000157104917003132/t1700141_ex10-18.htm" TargetMode="External"/><Relationship Id="rId189" Type="http://schemas.openxmlformats.org/officeDocument/2006/relationships/hyperlink" Target="http://www.sec.gov/Archives/edgar/data/821002/000157104917003132/t1700141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2019-12-28T23:23:41Z</dcterms:created>
  <dcterms:modified xsi:type="dcterms:W3CDTF">2019-12-28T23:23:41Z</dcterms:modified>
</cp:coreProperties>
</file>