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46"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Washington, D.C. 20549</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32"/>
          <w:szCs w:val="32"/>
          <w:b w:val="1"/>
          <w:bCs w:val="1"/>
          <w:color w:val="auto"/>
        </w:rPr>
        <w:t>FORM 10-K</w:t>
      </w:r>
    </w:p>
    <w:p>
      <w:pPr>
        <w:spacing w:after="0" w:line="29" w:lineRule="exact"/>
        <w:rPr>
          <w:sz w:val="24"/>
          <w:szCs w:val="24"/>
          <w:color w:val="auto"/>
        </w:rPr>
      </w:pPr>
    </w:p>
    <w:p>
      <w:pPr>
        <w:ind w:left="970" w:right="40" w:hanging="970"/>
        <w:spacing w:after="0" w:line="248" w:lineRule="auto"/>
        <w:tabs>
          <w:tab w:leader="none" w:pos="97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For the fiscal year ended January 31, 2020</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970" w:right="900" w:hanging="970"/>
        <w:spacing w:after="0" w:line="249" w:lineRule="auto"/>
        <w:tabs>
          <w:tab w:leader="none" w:pos="97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950" w:type="dxa"/>
        <w:tblCellMar>
          <w:top w:w="0" w:type="dxa"/>
          <w:left w:w="0" w:type="dxa"/>
          <w:bottom w:w="0" w:type="dxa"/>
          <w:right w:w="0" w:type="dxa"/>
        </w:tblCellMar>
      </w:tblPr>
      <w:tr>
        <w:trPr>
          <w:trHeight w:val="280"/>
        </w:trPr>
        <w:tc>
          <w:tcPr>
            <w:tcW w:w="6060" w:type="dxa"/>
            <w:vAlign w:val="bottom"/>
          </w:tcPr>
          <w:p>
            <w:pPr>
              <w:ind w:left="2060"/>
              <w:spacing w:after="0"/>
              <w:rPr>
                <w:sz w:val="20"/>
                <w:szCs w:val="20"/>
                <w:color w:val="auto"/>
              </w:rPr>
            </w:pPr>
            <w:r>
              <w:rPr>
                <w:rFonts w:ascii="Arial" w:cs="Arial" w:eastAsia="Arial" w:hAnsi="Arial"/>
                <w:sz w:val="22"/>
                <w:szCs w:val="22"/>
                <w:b w:val="1"/>
                <w:bCs w:val="1"/>
                <w:color w:val="auto"/>
              </w:rPr>
              <w:t>For the transition period from</w:t>
            </w:r>
          </w:p>
        </w:tc>
        <w:tc>
          <w:tcPr>
            <w:tcW w:w="1480" w:type="dxa"/>
            <w:vAlign w:val="bottom"/>
          </w:tcPr>
          <w:p>
            <w:pPr>
              <w:ind w:left="40"/>
              <w:spacing w:after="0"/>
              <w:rPr>
                <w:sz w:val="20"/>
                <w:szCs w:val="20"/>
                <w:color w:val="auto"/>
              </w:rPr>
            </w:pPr>
            <w:r>
              <w:rPr>
                <w:rFonts w:ascii="Arial" w:cs="Arial" w:eastAsia="Arial" w:hAnsi="Arial"/>
                <w:sz w:val="22"/>
                <w:szCs w:val="22"/>
                <w:b w:val="1"/>
                <w:bCs w:val="1"/>
                <w:color w:val="auto"/>
              </w:rPr>
              <w:t>to</w:t>
            </w:r>
          </w:p>
        </w:tc>
      </w:tr>
      <w:tr>
        <w:trPr>
          <w:trHeight w:val="244"/>
        </w:trPr>
        <w:tc>
          <w:tcPr>
            <w:tcW w:w="6060" w:type="dxa"/>
            <w:vAlign w:val="bottom"/>
          </w:tcPr>
          <w:p>
            <w:pPr>
              <w:jc w:val="center"/>
              <w:ind w:left="2174"/>
              <w:spacing w:after="0"/>
              <w:rPr>
                <w:sz w:val="20"/>
                <w:szCs w:val="20"/>
                <w:color w:val="auto"/>
              </w:rPr>
            </w:pPr>
            <w:r>
              <w:rPr>
                <w:rFonts w:ascii="Arial" w:cs="Arial" w:eastAsia="Arial" w:hAnsi="Arial"/>
                <w:sz w:val="18"/>
                <w:szCs w:val="18"/>
                <w:b w:val="1"/>
                <w:bCs w:val="1"/>
                <w:color w:val="auto"/>
                <w:w w:val="90"/>
              </w:rPr>
              <w:t>Commission file number 0-18183</w:t>
            </w:r>
          </w:p>
        </w:tc>
        <w:tc>
          <w:tcPr>
            <w:tcW w:w="1480" w:type="dxa"/>
            <w:vAlign w:val="bottom"/>
          </w:tcPr>
          <w:p>
            <w:pPr>
              <w:spacing w:after="0"/>
              <w:rPr>
                <w:sz w:val="21"/>
                <w:szCs w:val="21"/>
                <w:color w:val="auto"/>
              </w:rPr>
            </w:pPr>
          </w:p>
        </w:tc>
      </w:tr>
      <w:tr>
        <w:trPr>
          <w:trHeight w:val="529"/>
        </w:trPr>
        <w:tc>
          <w:tcPr>
            <w:tcW w:w="7540" w:type="dxa"/>
            <w:vAlign w:val="bottom"/>
            <w:gridSpan w:val="2"/>
          </w:tcPr>
          <w:p>
            <w:pPr>
              <w:jc w:val="center"/>
              <w:ind w:left="694"/>
              <w:spacing w:after="0"/>
              <w:rPr>
                <w:sz w:val="20"/>
                <w:szCs w:val="20"/>
                <w:color w:val="auto"/>
              </w:rPr>
            </w:pPr>
            <w:r>
              <w:rPr>
                <w:rFonts w:ascii="Arial" w:cs="Arial" w:eastAsia="Arial" w:hAnsi="Arial"/>
                <w:sz w:val="43"/>
                <w:szCs w:val="43"/>
                <w:b w:val="1"/>
                <w:bCs w:val="1"/>
                <w:color w:val="auto"/>
                <w:w w:val="99"/>
              </w:rPr>
              <w:t>G-III APPAREL GROUP, LTD.</w:t>
            </w:r>
          </w:p>
        </w:tc>
      </w:tr>
      <w:tr>
        <w:trPr>
          <w:trHeight w:val="230"/>
        </w:trPr>
        <w:tc>
          <w:tcPr>
            <w:tcW w:w="6060" w:type="dxa"/>
            <w:vAlign w:val="bottom"/>
          </w:tcPr>
          <w:p>
            <w:pPr>
              <w:jc w:val="center"/>
              <w:ind w:left="2154"/>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480" w:type="dxa"/>
            <w:vAlign w:val="bottom"/>
          </w:tcPr>
          <w:p>
            <w:pPr>
              <w:spacing w:after="0"/>
              <w:rPr>
                <w:sz w:val="20"/>
                <w:szCs w:val="20"/>
                <w:color w:val="auto"/>
              </w:rPr>
            </w:pPr>
          </w:p>
        </w:tc>
      </w:tr>
      <w:tr>
        <w:trPr>
          <w:trHeight w:val="229"/>
        </w:trPr>
        <w:tc>
          <w:tcPr>
            <w:tcW w:w="6060" w:type="dxa"/>
            <w:vAlign w:val="bottom"/>
          </w:tcPr>
          <w:p>
            <w:pPr>
              <w:jc w:val="center"/>
              <w:ind w:right="2734"/>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187"/>
              <w:spacing w:after="0"/>
              <w:rPr>
                <w:sz w:val="20"/>
                <w:szCs w:val="20"/>
                <w:color w:val="auto"/>
              </w:rPr>
            </w:pPr>
            <w:r>
              <w:rPr>
                <w:rFonts w:ascii="Arial" w:cs="Arial" w:eastAsia="Arial" w:hAnsi="Arial"/>
                <w:sz w:val="18"/>
                <w:szCs w:val="18"/>
                <w:b w:val="1"/>
                <w:bCs w:val="1"/>
                <w:color w:val="auto"/>
              </w:rPr>
              <w:t>41-1590959</w:t>
            </w:r>
          </w:p>
        </w:tc>
      </w:tr>
      <w:tr>
        <w:trPr>
          <w:trHeight w:val="216"/>
        </w:trPr>
        <w:tc>
          <w:tcPr>
            <w:tcW w:w="6060" w:type="dxa"/>
            <w:vAlign w:val="bottom"/>
          </w:tcPr>
          <w:p>
            <w:pPr>
              <w:jc w:val="center"/>
              <w:ind w:right="2594"/>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27"/>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060" w:type="dxa"/>
            <w:vAlign w:val="bottom"/>
          </w:tcPr>
          <w:p>
            <w:pPr>
              <w:jc w:val="center"/>
              <w:ind w:right="2614"/>
              <w:spacing w:after="0"/>
              <w:rPr>
                <w:sz w:val="20"/>
                <w:szCs w:val="20"/>
                <w:color w:val="auto"/>
              </w:rPr>
            </w:pPr>
            <w:r>
              <w:rPr>
                <w:rFonts w:ascii="Arial" w:cs="Arial" w:eastAsia="Arial" w:hAnsi="Arial"/>
                <w:sz w:val="18"/>
                <w:szCs w:val="18"/>
                <w:i w:val="1"/>
                <w:iCs w:val="1"/>
                <w:color w:val="auto"/>
                <w:w w:val="94"/>
              </w:rPr>
              <w:t>incorporation or organization)</w:t>
            </w:r>
          </w:p>
        </w:tc>
        <w:tc>
          <w:tcPr>
            <w:tcW w:w="1480" w:type="dxa"/>
            <w:vAlign w:val="bottom"/>
          </w:tcPr>
          <w:p>
            <w:pPr>
              <w:jc w:val="center"/>
              <w:ind w:left="67"/>
              <w:spacing w:after="0"/>
              <w:rPr>
                <w:sz w:val="20"/>
                <w:szCs w:val="20"/>
                <w:color w:val="auto"/>
              </w:rPr>
            </w:pPr>
            <w:r>
              <w:rPr>
                <w:rFonts w:ascii="Arial" w:cs="Arial" w:eastAsia="Arial" w:hAnsi="Arial"/>
                <w:sz w:val="18"/>
                <w:szCs w:val="18"/>
                <w:i w:val="1"/>
                <w:iCs w:val="1"/>
                <w:color w:val="auto"/>
                <w:w w:val="94"/>
              </w:rPr>
              <w:t>Identification No.)</w:t>
            </w:r>
          </w:p>
        </w:tc>
      </w:tr>
      <w:tr>
        <w:trPr>
          <w:trHeight w:val="256"/>
        </w:trPr>
        <w:tc>
          <w:tcPr>
            <w:tcW w:w="6060" w:type="dxa"/>
            <w:vAlign w:val="bottom"/>
          </w:tcPr>
          <w:p>
            <w:pPr>
              <w:jc w:val="center"/>
              <w:ind w:right="2714"/>
              <w:spacing w:after="0"/>
              <w:rPr>
                <w:sz w:val="20"/>
                <w:szCs w:val="20"/>
                <w:color w:val="auto"/>
              </w:rPr>
            </w:pPr>
            <w:r>
              <w:rPr>
                <w:rFonts w:ascii="Arial" w:cs="Arial" w:eastAsia="Arial" w:hAnsi="Arial"/>
                <w:sz w:val="18"/>
                <w:szCs w:val="18"/>
                <w:b w:val="1"/>
                <w:bCs w:val="1"/>
                <w:color w:val="auto"/>
                <w:w w:val="90"/>
              </w:rPr>
              <w:t>512 Seventh Avenue, New York, New York</w:t>
            </w:r>
          </w:p>
        </w:tc>
        <w:tc>
          <w:tcPr>
            <w:tcW w:w="1480" w:type="dxa"/>
            <w:vAlign w:val="bottom"/>
          </w:tcPr>
          <w:p>
            <w:pPr>
              <w:jc w:val="right"/>
              <w:ind w:right="427"/>
              <w:spacing w:after="0"/>
              <w:rPr>
                <w:sz w:val="20"/>
                <w:szCs w:val="20"/>
                <w:color w:val="auto"/>
              </w:rPr>
            </w:pPr>
            <w:r>
              <w:rPr>
                <w:rFonts w:ascii="Arial" w:cs="Arial" w:eastAsia="Arial" w:hAnsi="Arial"/>
                <w:sz w:val="18"/>
                <w:szCs w:val="18"/>
                <w:b w:val="1"/>
                <w:bCs w:val="1"/>
                <w:color w:val="auto"/>
              </w:rPr>
              <w:t>10018</w:t>
            </w:r>
          </w:p>
        </w:tc>
      </w:tr>
      <w:tr>
        <w:trPr>
          <w:trHeight w:val="230"/>
        </w:trPr>
        <w:tc>
          <w:tcPr>
            <w:tcW w:w="6060" w:type="dxa"/>
            <w:vAlign w:val="bottom"/>
          </w:tcPr>
          <w:p>
            <w:pPr>
              <w:jc w:val="center"/>
              <w:ind w:right="2594"/>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480" w:type="dxa"/>
            <w:vAlign w:val="bottom"/>
          </w:tcPr>
          <w:p>
            <w:pPr>
              <w:jc w:val="center"/>
              <w:ind w:left="67"/>
              <w:spacing w:after="0"/>
              <w:rPr>
                <w:sz w:val="20"/>
                <w:szCs w:val="20"/>
                <w:color w:val="auto"/>
              </w:rPr>
            </w:pPr>
            <w:r>
              <w:rPr>
                <w:rFonts w:ascii="Arial" w:cs="Arial" w:eastAsia="Arial" w:hAnsi="Arial"/>
                <w:sz w:val="18"/>
                <w:szCs w:val="18"/>
                <w:i w:val="1"/>
                <w:iCs w:val="1"/>
                <w:color w:val="auto"/>
                <w:w w:val="94"/>
              </w:rPr>
              <w:t>(Zip Code)</w:t>
            </w:r>
          </w:p>
        </w:tc>
      </w:tr>
    </w:tbl>
    <w:p>
      <w:pPr>
        <w:spacing w:after="0" w:line="14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50"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(212) 403-0500</w:t>
      </w:r>
    </w:p>
    <w:p>
      <w:pPr>
        <w:spacing w:after="0" w:line="3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6"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0"/>
              </w:rPr>
              <w:t>Title of each class</w:t>
            </w:r>
          </w:p>
        </w:tc>
        <w:tc>
          <w:tcPr>
            <w:tcW w:w="2700" w:type="dxa"/>
            <w:vAlign w:val="bottom"/>
          </w:tcPr>
          <w:p>
            <w:pPr>
              <w:jc w:val="center"/>
              <w:spacing w:after="0"/>
              <w:rPr>
                <w:sz w:val="20"/>
                <w:szCs w:val="20"/>
                <w:color w:val="auto"/>
              </w:rPr>
            </w:pPr>
            <w:r>
              <w:rPr>
                <w:rFonts w:ascii="Arial" w:cs="Arial" w:eastAsia="Arial" w:hAnsi="Arial"/>
                <w:sz w:val="14"/>
                <w:szCs w:val="14"/>
                <w:color w:val="auto"/>
                <w:w w:val="96"/>
              </w:rPr>
              <w:t>Trading Symbol(s)</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240" w:type="dxa"/>
            <w:vAlign w:val="bottom"/>
          </w:tcPr>
          <w:p>
            <w:pPr>
              <w:jc w:val="center"/>
              <w:ind w:right="748"/>
              <w:spacing w:after="0"/>
              <w:rPr>
                <w:sz w:val="20"/>
                <w:szCs w:val="20"/>
                <w:color w:val="auto"/>
              </w:rPr>
            </w:pPr>
            <w:r>
              <w:rPr>
                <w:rFonts w:ascii="Arial" w:cs="Arial" w:eastAsia="Arial" w:hAnsi="Arial"/>
                <w:sz w:val="14"/>
                <w:szCs w:val="14"/>
                <w:color w:val="auto"/>
                <w:w w:val="91"/>
              </w:rPr>
              <w:t>Common Stock, $0.01 par value per share</w:t>
            </w:r>
          </w:p>
        </w:tc>
        <w:tc>
          <w:tcPr>
            <w:tcW w:w="2700" w:type="dxa"/>
            <w:vAlign w:val="bottom"/>
          </w:tcPr>
          <w:p>
            <w:pPr>
              <w:jc w:val="center"/>
              <w:spacing w:after="0"/>
              <w:rPr>
                <w:sz w:val="20"/>
                <w:szCs w:val="20"/>
                <w:color w:val="auto"/>
              </w:rPr>
            </w:pPr>
            <w:r>
              <w:rPr>
                <w:rFonts w:ascii="Arial" w:cs="Arial" w:eastAsia="Arial" w:hAnsi="Arial"/>
                <w:sz w:val="14"/>
                <w:szCs w:val="14"/>
                <w:color w:val="auto"/>
              </w:rPr>
              <w:t>GIII</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2"/>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648906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214630"/>
                    </a:xfrm>
                    <a:prstGeom prst="rect">
                      <a:avLst/>
                    </a:prstGeom>
                    <a:noFill/>
                  </pic:spPr>
                </pic:pic>
              </a:graphicData>
            </a:graphic>
          </wp:anchor>
        </w:drawing>
      </w:r>
    </w:p>
    <w:p>
      <w:pPr>
        <w:spacing w:after="0" w:line="82"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None.</w:t>
      </w:r>
    </w:p>
    <w:p>
      <w:pPr>
        <w:spacing w:after="0" w:line="17" w:lineRule="exact"/>
        <w:rPr>
          <w:sz w:val="24"/>
          <w:szCs w:val="24"/>
          <w:color w:val="auto"/>
        </w:rPr>
      </w:pPr>
    </w:p>
    <w:p>
      <w:pPr>
        <w:ind w:left="10" w:right="258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10"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ind w:left="10"/>
        <w:spacing w:after="0" w:line="141" w:lineRule="exact"/>
        <w:rPr>
          <w:sz w:val="20"/>
          <w:szCs w:val="20"/>
          <w:color w:val="auto"/>
        </w:rPr>
      </w:pPr>
      <w:r>
        <w:rPr>
          <w:rFonts w:ascii="MS PGothic" w:cs="MS PGothic" w:eastAsia="MS PGothic" w:hAnsi="MS PGothic"/>
          <w:sz w:val="14"/>
          <w:szCs w:val="14"/>
          <w:color w:val="auto"/>
        </w:rPr>
        <w:t>☐</w:t>
      </w:r>
    </w:p>
    <w:p>
      <w:pPr>
        <w:spacing w:after="0" w:line="69" w:lineRule="exact"/>
        <w:rPr>
          <w:sz w:val="24"/>
          <w:szCs w:val="24"/>
          <w:color w:val="auto"/>
        </w:rPr>
      </w:pPr>
    </w:p>
    <w:p>
      <w:pPr>
        <w:ind w:left="10" w:right="6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9" w:lineRule="exact"/>
        <w:rPr>
          <w:sz w:val="24"/>
          <w:szCs w:val="24"/>
          <w:color w:val="auto"/>
        </w:rPr>
      </w:pPr>
    </w:p>
    <w:p>
      <w:pPr>
        <w:ind w:left="10" w:right="4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10"/>
          </w:cols>
          <w:pgMar w:left="830" w:top="846" w:right="859" w:bottom="1440" w:gutter="0" w:footer="0" w:header="0"/>
        </w:sectPr>
      </w:pPr>
    </w:p>
    <w:p>
      <w:pPr>
        <w:spacing w:after="0" w:line="1" w:lineRule="exact"/>
        <w:rPr>
          <w:sz w:val="24"/>
          <w:szCs w:val="24"/>
          <w:color w:val="auto"/>
        </w:rPr>
      </w:pPr>
    </w:p>
    <w:p>
      <w:pPr>
        <w:ind w:left="33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5030" w:space="720"/>
            <w:col w:w="4460"/>
          </w:cols>
          <w:pgMar w:left="830" w:top="846" w:right="859" w:bottom="1440" w:gutter="0" w:footer="0" w:header="0"/>
          <w:type w:val="continuous"/>
        </w:sectPr>
      </w:pPr>
    </w:p>
    <w:p>
      <w:pPr>
        <w:ind w:left="33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sectPr>
          <w:pgSz w:w="11900" w:h="16838" w:orient="portrait"/>
          <w:cols w:equalWidth="0" w:num="2">
            <w:col w:w="5030" w:space="720"/>
            <w:col w:w="4460"/>
          </w:cols>
          <w:pgMar w:left="830" w:top="846" w:right="859" w:bottom="1440" w:gutter="0" w:footer="0" w:header="0"/>
          <w:type w:val="continuous"/>
        </w:sectPr>
      </w:pPr>
    </w:p>
    <w:p>
      <w:pPr>
        <w:ind w:left="33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210"/>
          </w:cols>
          <w:pgMar w:left="830" w:top="846" w:right="859" w:bottom="1440" w:gutter="0" w:footer="0" w:header="0"/>
          <w:type w:val="continuous"/>
        </w:sectPr>
      </w:pPr>
    </w:p>
    <w:p>
      <w:pPr>
        <w:spacing w:after="0" w:line="57" w:lineRule="exact"/>
        <w:rPr>
          <w:sz w:val="24"/>
          <w:szCs w:val="24"/>
          <w:color w:val="auto"/>
        </w:rPr>
      </w:pPr>
    </w:p>
    <w:p>
      <w:pPr>
        <w:ind w:left="1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1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left="10" w:right="220"/>
        <w:spacing w:after="0" w:line="258" w:lineRule="auto"/>
        <w:rPr>
          <w:sz w:val="20"/>
          <w:szCs w:val="20"/>
          <w:color w:val="auto"/>
        </w:rPr>
      </w:pPr>
      <w:r>
        <w:rPr>
          <w:rFonts w:ascii="Arial" w:cs="Arial" w:eastAsia="Arial" w:hAnsi="Arial"/>
          <w:sz w:val="14"/>
          <w:szCs w:val="14"/>
          <w:b w:val="1"/>
          <w:bCs w:val="1"/>
          <w:color w:val="auto"/>
        </w:rPr>
        <w:t>As of July 31, 2019, the aggregate market value of the registrant’s voting stock held by non-affiliates of the registrant (based on the last sale price for such shares as quoted by the Nasdaq Global Select Market) was approximately $1,302,446,621.</w:t>
      </w:r>
    </w:p>
    <w:p>
      <w:pPr>
        <w:spacing w:after="0" w:line="9" w:lineRule="exact"/>
        <w:rPr>
          <w:sz w:val="24"/>
          <w:szCs w:val="24"/>
          <w:color w:val="auto"/>
        </w:rPr>
      </w:pPr>
    </w:p>
    <w:p>
      <w:pPr>
        <w:ind w:left="10"/>
        <w:spacing w:after="0"/>
        <w:rPr>
          <w:sz w:val="20"/>
          <w:szCs w:val="20"/>
          <w:color w:val="auto"/>
        </w:rPr>
      </w:pPr>
      <w:r>
        <w:rPr>
          <w:rFonts w:ascii="Arial" w:cs="Arial" w:eastAsia="Arial" w:hAnsi="Arial"/>
          <w:sz w:val="14"/>
          <w:szCs w:val="14"/>
          <w:color w:val="auto"/>
        </w:rPr>
        <w:t>The number of outstanding shares of the registrant’s Common Stock as of March 23, 2020 was 48,009,346.</w:t>
      </w:r>
    </w:p>
    <w:p>
      <w:pPr>
        <w:spacing w:after="0" w:line="42" w:lineRule="exact"/>
        <w:rPr>
          <w:sz w:val="24"/>
          <w:szCs w:val="24"/>
          <w:color w:val="auto"/>
        </w:rPr>
      </w:pPr>
    </w:p>
    <w:p>
      <w:pPr>
        <w:jc w:val="both"/>
        <w:ind w:left="10"/>
        <w:spacing w:after="0" w:line="238" w:lineRule="auto"/>
        <w:rPr>
          <w:sz w:val="20"/>
          <w:szCs w:val="20"/>
          <w:color w:val="auto"/>
        </w:rPr>
      </w:pPr>
      <w:r>
        <w:rPr>
          <w:rFonts w:ascii="Arial" w:cs="Arial" w:eastAsia="Arial" w:hAnsi="Arial"/>
          <w:sz w:val="14"/>
          <w:szCs w:val="14"/>
          <w:color w:val="auto"/>
        </w:rPr>
        <w:t>Documents incorporated by reference: Certain portions of the registrant’s definitive Proxy Statement relating to the registrant’s Annual Meeting of Stockholders to be held on or about June 11, 2020, to be filed pursuant to Regulation 14A of the Securities Exchange Act of 1934 with the Securities and Exchange Commission,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539115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67945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102235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10"/>
          </w:cols>
          <w:pgMar w:left="830" w:top="846" w:right="85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Various statements contained in this Annual Report on Form 10-K or incorporated by reference into this Annual Report on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those described in Part I, “Item 1A. Risk Factors” and the following:</w:t>
      </w:r>
    </w:p>
    <w:p>
      <w:pPr>
        <w:spacing w:after="0" w:line="60"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jc w:val="both"/>
        <w:ind w:left="720" w:right="15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operating enhancements and cost reductions from the restructuring of our retail operations, as well as the impact on our business and financial statements resulting from any related costs and charges which may be dilutive to our earnings;</w:t>
      </w:r>
    </w:p>
    <w:p>
      <w:pPr>
        <w:spacing w:after="0" w:line="1" w:lineRule="exact"/>
        <w:rPr>
          <w:rFonts w:ascii="Arial" w:cs="Arial" w:eastAsia="Arial" w:hAnsi="Arial"/>
          <w:sz w:val="18"/>
          <w:szCs w:val="18"/>
          <w:color w:val="auto"/>
        </w:rPr>
      </w:pPr>
    </w:p>
    <w:p>
      <w:pPr>
        <w:ind w:left="720" w:right="43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and financial statements related to the early closure of stores or the termination of long-term leases;</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current economic and credit environment on us, our customers, suppliers and vendors;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9" w:lineRule="exact"/>
        <w:rPr>
          <w:rFonts w:ascii="Arial" w:cs="Arial" w:eastAsia="Arial" w:hAnsi="Arial"/>
          <w:sz w:val="18"/>
          <w:szCs w:val="18"/>
          <w:color w:val="auto"/>
        </w:rPr>
      </w:pPr>
    </w:p>
    <w:p>
      <w:pPr>
        <w:ind w:left="720" w:right="49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redefinition of the retail store landscape in light of widespread retail store closings, the bankruptcy of a number of prominent retailers and the impact of online apparel purchases and innovations from e-commerce retailers;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720" w:right="159" w:hanging="319"/>
        <w:spacing w:after="0" w:line="281"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outbreak of the coronavirus and the numerous adverse effects, including the impact on our supply chain, restrictions on travel and group gatherings, the closing of stores and shopping malls, the reduction of consumer purchases of the types of products we sell and the general material adverse effect on the economy in the U.S. and around the world, all of which negatively impact our business, sales and results of operations;</w:t>
      </w:r>
    </w:p>
    <w:p>
      <w:pPr>
        <w:spacing w:after="0" w:line="2" w:lineRule="exact"/>
        <w:rPr>
          <w:rFonts w:ascii="Arial" w:cs="Arial" w:eastAsia="Arial" w:hAnsi="Arial"/>
          <w:sz w:val="16"/>
          <w:szCs w:val="16"/>
          <w:color w:val="auto"/>
        </w:rPr>
      </w:pPr>
    </w:p>
    <w:p>
      <w:pPr>
        <w:ind w:left="720" w:right="9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effect on the price of our common stock if actual results are worse than financial forecasts; and</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“Risk Factors.” We undertake no obligation to publicly update or revise any forward-looking statements, whether as a result of new information, future events or otherwise, except as required by law.</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website is www.g-iii.com. We make available, free of charge, on our website (under the heading “Investors”) our Annual Reports on Form 10-K, Quarterly Reports on Form 10-Q, Current Reports on Form 8-K and amendments to those reports as soon as reasonably practicable after we electronically file such material with, or furnish it to, the SEC. No information contained on our website is intended to be included as part of, or incorporated by reference into, this Annual Report on Form 10-K. Information relating to our corporate governance, including copies of our Code of Ethics and Conduct, Audit, Compensation and Nominating and Corporate Governance Committee Charters, and other policies and guidelines, are available at our website under “Investors.” Paper copies of these filings and corporate governance documents are available to stockholders free of charge by written request to Investor Relations, G-III Apparel Group, Ltd., 512 Seventh Avenue, 31st Floor, New York, New York 10018. The SEC maintains an Internet site that contains reports, proxy and information statements, and other information regarding issuers that file electronically with the SEC. The address of the SEC’s website is http://www.sec.gov.</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r>
        <w:rPr>
          <w:rFonts w:ascii="Arial" w:cs="Arial" w:eastAsia="Arial" w:hAnsi="Arial"/>
          <w:sz w:val="16"/>
          <w:szCs w:val="16"/>
          <w:b w:val="1"/>
          <w:bCs w:val="1"/>
          <w:color w:val="auto"/>
        </w:rPr>
        <w: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Unless the context otherwise requires, “G-III,” “us,” “we” and “our” refer to G-III Apparel Group, Ltd. and its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References to fiscal years refer to the year ended or ending on January 31 of that year. For example, our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31, 2020 is referred to as “fiscal 2020.”</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G-III Apparel Group, Ltd. is a Delaware corporation that was formed in 1989. We and our predecessors have conducted our business since 1974.</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All share and per share data in this Annual Report on Form 10-K have been retroactively adjusted to reflect our two-for-one stock split effected on May 1, 2015.</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own proprietary brands include DKNY, Donna Karan, Vilebrequin, G.H. Bass, Eliza J, Jessica Howard, Andrew Marc and Marc New York.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products are sold through a cross section of leading retailers such as Macy’s, Dillard’s, Lord &amp; Taylor, Hudson’s Bay Company, including their Saks Fifth Avenue division, Nordstrom, Kohl’s, TJX Companies, Ross Stores and Burlington. We also sell our products over the web through retail partners such as macys.com and nordstrom.com, each of which has a substantial online business. In addition, we sell to pure play online retail partners such as Amazon and Fanatics.</w:t>
      </w:r>
    </w:p>
    <w:p>
      <w:pPr>
        <w:spacing w:after="0" w:line="15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also distribute apparel and other products through our own retail stores. Substantially all of our DKNY, Wilsons Leather and G.H. Bass stores are operated as outlet stores. As of January 31, 2020, we operated 124 Wilsons Leather stores, 99 G.H. Bass stores, 43 DKNY stores, 12 Karl Lagerfeld Paris stores and 4 Calvin Klein Performance stores, of which 275 were located in the continental United States and 7 are located internationally. Wilsons Leather, G.H. Bass, Andrew Marc, DKNY and Karl Lagerfeld Paris each operates its own online store. We are currently in the process of restructuring our retail operations segment which is expected to substantially reduce the number of stores we operate. In addition, as of January 31, 2020, Vilebrequin products were distributed through 106 company-operated stores, 58 franchised locations and e-commerce stores located internationally and in the United States.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retail operations segment consists primarily of direct sales to consumers through our company-operated stores, composed primarily of Wilsons Leather, G.H. Bass and DKNY stores, substantially all of which are operated as outlet stores, as well as a smaller number of Karl Lagerfeld Paris and Calvin Klein Performance stores. This segment also includes sales through our owned websites for the DKNY, Donna Karan, Karl Lagerfeld Paris, Andrew Marc, Wilsons Leather and G.H. Bass businesses.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Initiatives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focused on the following strategic initiatives, which we believe are critical to our long-term success:</w:t>
      </w:r>
    </w:p>
    <w:p>
      <w:pPr>
        <w:spacing w:after="0" w:line="225" w:lineRule="exact"/>
        <w:rPr>
          <w:sz w:val="20"/>
          <w:szCs w:val="20"/>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Owning brands: </w:t>
      </w:r>
      <w:r>
        <w:rPr>
          <w:rFonts w:ascii="Arial" w:cs="Arial" w:eastAsia="Arial" w:hAnsi="Arial"/>
          <w:sz w:val="18"/>
          <w:szCs w:val="18"/>
          <w:color w:val="auto"/>
        </w:rPr>
        <w:t>We now own a portfolio of proprietary brands, including DKNY, Donna Karan, Vilebrequin,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Eliza J, Jessica Howard, G.H. Bass and Andrew Marc. Owning our own brands is advantageous to us for several reasons:</w:t>
      </w:r>
    </w:p>
    <w:p>
      <w:pPr>
        <w:spacing w:after="0" w:line="183" w:lineRule="exact"/>
        <w:rPr>
          <w:rFonts w:ascii="Arial" w:cs="Arial" w:eastAsia="Arial" w:hAnsi="Arial"/>
          <w:sz w:val="18"/>
          <w:szCs w:val="18"/>
          <w:color w:val="auto"/>
        </w:rPr>
      </w:pPr>
    </w:p>
    <w:p>
      <w:pPr>
        <w:jc w:val="both"/>
        <w:ind w:left="1380" w:right="79" w:hanging="331"/>
        <w:spacing w:after="0" w:line="264" w:lineRule="auto"/>
        <w:tabs>
          <w:tab w:leader="none" w:pos="1380" w:val="left"/>
        </w:tabs>
        <w:numPr>
          <w:ilvl w:val="1"/>
          <w:numId w:val="4"/>
        </w:numPr>
        <w:rPr>
          <w:rFonts w:ascii="Courier New" w:cs="Courier New" w:eastAsia="Courier New" w:hAnsi="Courier New"/>
          <w:sz w:val="17"/>
          <w:szCs w:val="17"/>
          <w:color w:val="auto"/>
        </w:rPr>
      </w:pPr>
      <w:r>
        <w:rPr>
          <w:rFonts w:ascii="Arial" w:cs="Arial" w:eastAsia="Arial" w:hAnsi="Arial"/>
          <w:sz w:val="17"/>
          <w:szCs w:val="17"/>
          <w:color w:val="auto"/>
        </w:rPr>
        <w:t>We can realize significantly higher operating margins because we are not required to pay licensing fees on sales by us of our proprietary products and can also generate licensing revenues (which have no related cost of goods sold) for classes of products not manufactured by us.</w:t>
      </w:r>
    </w:p>
    <w:p>
      <w:pPr>
        <w:ind w:left="1380" w:right="79" w:hanging="331"/>
        <w:spacing w:after="0" w:line="241" w:lineRule="auto"/>
        <w:tabs>
          <w:tab w:leader="none" w:pos="138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There are no channel restrictions, permitting us to market our products internationally, and to utilize a variety of different distribution channels, including online and off-price channels.</w:t>
      </w:r>
    </w:p>
    <w:p>
      <w:pPr>
        <w:ind w:left="1380" w:right="79" w:hanging="331"/>
        <w:spacing w:after="0" w:line="241" w:lineRule="auto"/>
        <w:tabs>
          <w:tab w:leader="none" w:pos="138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We are able to license our proprietary brands in new categories and geographies to best in class licensees.</w:t>
      </w:r>
    </w:p>
    <w:p>
      <w:pPr>
        <w:ind w:left="1380" w:hanging="331"/>
        <w:spacing w:after="0"/>
        <w:tabs>
          <w:tab w:leader="none" w:pos="1380" w:val="left"/>
        </w:tabs>
        <w:numPr>
          <w:ilvl w:val="1"/>
          <w:numId w:val="4"/>
        </w:numPr>
        <w:rPr>
          <w:rFonts w:ascii="Courier New" w:cs="Courier New" w:eastAsia="Courier New" w:hAnsi="Courier New"/>
          <w:sz w:val="17"/>
          <w:szCs w:val="17"/>
          <w:color w:val="auto"/>
        </w:rPr>
      </w:pPr>
      <w:r>
        <w:rPr>
          <w:rFonts w:ascii="Arial" w:cs="Arial" w:eastAsia="Arial" w:hAnsi="Arial"/>
          <w:sz w:val="17"/>
          <w:szCs w:val="17"/>
          <w:color w:val="auto"/>
        </w:rPr>
        <w:t>We are able to build equity in these brands to benefit the long-term interests of our stockholders.</w:t>
      </w:r>
    </w:p>
    <w:p>
      <w:pPr>
        <w:spacing w:after="0" w:line="193" w:lineRule="exact"/>
        <w:rPr>
          <w:rFonts w:ascii="Courier New" w:cs="Courier New" w:eastAsia="Courier New" w:hAnsi="Courier New"/>
          <w:sz w:val="17"/>
          <w:szCs w:val="17"/>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Focusing on our five global power brands: </w:t>
      </w:r>
      <w:r>
        <w:rPr>
          <w:rFonts w:ascii="Arial" w:cs="Arial" w:eastAsia="Arial" w:hAnsi="Arial"/>
          <w:sz w:val="16"/>
          <w:szCs w:val="16"/>
          <w:color w:val="auto"/>
        </w:rPr>
        <w:t>While we sell products under more than 30 licensed and proprietary</w:t>
      </w:r>
    </w:p>
    <w:p>
      <w:pPr>
        <w:spacing w:after="0" w:line="46" w:lineRule="exact"/>
        <w:rPr>
          <w:rFonts w:ascii="Arial" w:cs="Arial" w:eastAsia="Arial" w:hAnsi="Arial"/>
          <w:sz w:val="16"/>
          <w:szCs w:val="16"/>
          <w:color w:val="auto"/>
        </w:rPr>
      </w:pPr>
    </w:p>
    <w:p>
      <w:pPr>
        <w:jc w:val="both"/>
        <w:ind w:left="720" w:right="79"/>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brands, five global power brands anchor our business: DKNY, Donna Karan, Calvin Klein, Tommy Hilfiger and Karl Lagerfeld Paris. Each of these brands has substantial name recognition and is well-known in the marketplace. We believe each brand also provides us with significant growth opportunities. We have leveraged the strength of our power brands to become a supplier of choice in a diversified range of product categories. This year, we expanded our expertise into the denim category and launched our first </w:t>
      </w:r>
      <w:r>
        <w:rPr>
          <w:rFonts w:ascii="Arial" w:cs="Arial" w:eastAsia="Arial" w:hAnsi="Arial"/>
          <w:sz w:val="17"/>
          <w:szCs w:val="17"/>
          <w:i w:val="1"/>
          <w:iCs w:val="1"/>
          <w:color w:val="auto"/>
        </w:rPr>
        <w:t>Calvin Klein Jeans</w:t>
      </w:r>
      <w:r>
        <w:rPr>
          <w:rFonts w:ascii="Arial" w:cs="Arial" w:eastAsia="Arial" w:hAnsi="Arial"/>
          <w:sz w:val="17"/>
          <w:szCs w:val="17"/>
          <w:color w:val="auto"/>
        </w:rPr>
        <w:t xml:space="preserve"> denim collection during our third quarter of fiscal 2020. We expect to launch our Tommy Hilfiger Jeans and DKNY Jeans denim collections in fiscal 2021. We believe that our ability to add new product categories to our portfolio is one of our core competencies and that denim will provide another area of growth for us.</w:t>
      </w:r>
    </w:p>
    <w:p>
      <w:pPr>
        <w:spacing w:after="0" w:line="183" w:lineRule="exact"/>
        <w:rPr>
          <w:rFonts w:ascii="Arial" w:cs="Arial" w:eastAsia="Arial" w:hAnsi="Arial"/>
          <w:sz w:val="16"/>
          <w:szCs w:val="16"/>
          <w:color w:val="auto"/>
        </w:rPr>
      </w:pPr>
    </w:p>
    <w:p>
      <w:pPr>
        <w:jc w:val="both"/>
        <w:ind w:left="720" w:right="79" w:hanging="319"/>
        <w:spacing w:after="0" w:line="25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our international business: </w:t>
      </w:r>
      <w:r>
        <w:rPr>
          <w:rFonts w:ascii="Arial" w:cs="Arial" w:eastAsia="Arial" w:hAnsi="Arial"/>
          <w:sz w:val="18"/>
          <w:szCs w:val="18"/>
          <w:color w:val="auto"/>
        </w:rPr>
        <w:t>We continue to expand our international business and enter into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worldwide. We believe that the international sales and profit opportunity is quite significant for our DKNY and Donna Karan businesses. We are expanding our DKNY business globally through our distribution partners in key regions. The key markets in which our DKNY merchandise is currently distributed include the Middle East, Russia, Indonesia, the Philippines, South East Asia and Korea, as well as in China where we operate through a joint venture. Continued growth, brand development and marketing in these key markets is critical to driving global brand recognition.</w:t>
      </w:r>
    </w:p>
    <w:p>
      <w:pPr>
        <w:spacing w:after="0" w:line="194" w:lineRule="exact"/>
        <w:rPr>
          <w:rFonts w:ascii="Arial" w:cs="Arial" w:eastAsia="Arial" w:hAnsi="Arial"/>
          <w:sz w:val="18"/>
          <w:szCs w:val="18"/>
          <w:color w:val="auto"/>
        </w:rPr>
      </w:pPr>
    </w:p>
    <w:p>
      <w:pPr>
        <w:jc w:val="both"/>
        <w:ind w:left="720" w:right="79" w:hanging="319"/>
        <w:spacing w:after="0" w:line="290"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online business opportunities: </w:t>
      </w:r>
      <w:r>
        <w:rPr>
          <w:rFonts w:ascii="Arial" w:cs="Arial" w:eastAsia="Arial" w:hAnsi="Arial"/>
          <w:sz w:val="16"/>
          <w:szCs w:val="16"/>
          <w:color w:val="auto"/>
        </w:rPr>
        <w:t>We are continuing to make changes to our business to address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challenges and opportunities created by the evolving role of the online marketplace in the retail sector and expect to increase the sale of our products in an omni-channel environment. We are investing in digital personnel, marketing, logistics, planning and distribution. We believe that consumers are increasingly engaging with brands through online channels, and that this trend will continue to grow in the coming years. The five global power brands that serve as the anchor of our business position us to be the direct beneficiaries of this trend, whether by continuing to leverage our partnerships with the online businesses operated by our licensors and major retailers to facilitate customer engagement or by building out our own online capabilities.</w:t>
      </w:r>
    </w:p>
    <w:p>
      <w:pPr>
        <w:spacing w:after="0" w:line="165" w:lineRule="exact"/>
        <w:rPr>
          <w:rFonts w:ascii="Arial" w:cs="Arial" w:eastAsia="Arial" w:hAnsi="Arial"/>
          <w:sz w:val="16"/>
          <w:szCs w:val="16"/>
          <w:color w:val="auto"/>
        </w:rPr>
      </w:pPr>
    </w:p>
    <w:p>
      <w:pPr>
        <w:jc w:val="both"/>
        <w:ind w:left="720" w:right="79" w:hanging="319"/>
        <w:spacing w:after="0" w:line="29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Reducing the losses in our retail operations: </w:t>
      </w:r>
      <w:r>
        <w:rPr>
          <w:rFonts w:ascii="Arial" w:cs="Arial" w:eastAsia="Arial" w:hAnsi="Arial"/>
          <w:sz w:val="16"/>
          <w:szCs w:val="16"/>
          <w:color w:val="auto"/>
        </w:rPr>
        <w:t>We are working towards the restructuring of our retail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would greatly reduce the number of stores we operate and the losses we are incurring. We are working diligently with our landlords and outside advisors with a view to closing a significant number of stores in order to reshape and right-size our retail operations. Our ongoing plan for our retail business focuses on the operations and growth of our DKNY and Karl Lagerfeld Paris stores, as well as our e-commerce business. Our plan is based on the assumed continued strength of the DKNY and Karl Lagerfeld brands, improved store productivity, changes in planning and allocation and improvements in gross margin and payroll leverage.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ongoing development of the DKI businesses serves as a pillar of our strategic efforts. The acquisition of DKI added two proprietary power brands to our growing portfolio and the ability to expand our footprint globally, while enabling us to compete more effectively in omni-channel retail. The acquisition of DKI fit squarely into our strategy to diversify and expand our business and to increase our ownership of brands. We believe that DKNY and Donna Karan are two of the most iconic and recognizable power brands and that we are well positioned to unlock their potential, resulting in a much bigger opportunity than their previous management had realized. We are focusing on the expansion of the DKNY brand, while continuing to re-establish Donna Karan and other associated brands. We are leveraging our demonstrated ability to drive organic growth and develop talent throughout our company to maximize the potential of the DKNY and Donna Karan brands.</w:t>
      </w:r>
    </w:p>
    <w:p>
      <w:pPr>
        <w:spacing w:after="0" w:line="19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fiscal 2018 and fiscal 2019, we restructured and repositioned the DKNY and Donna Karan brands. We re-launched the DKNY apparel line and also re-launched Donna Karan as an aspirational luxury brand that is priced above DKNY and targeted to fine department stores globally. These steps began paying off in the second half of fiscal 2018 and through fiscal 2019. Our strategy is for DKNY and Donna Karan to be more accessible brands, both designed and priced to reach a wider range of customers. We believe there is untapped global licensing and distribution potential for these brands and intend to grow royalty streams in the DKNY and Donna Karan businesses through expansion of additional categories with existing licensees, as well as new categories with new licensees. We are committed to making DKNY the premier fashion and lifestyle brand. We expect to launch our DKNY Jeans denim collection during fiscal 2021.</w:t>
      </w:r>
    </w:p>
    <w:p>
      <w:pPr>
        <w:spacing w:after="0" w:line="16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The acquisition of DKI was not our only recent important strategic initiative. We have continually expanded our relationship with Calvin Klein, our most important license relationship representing over $1 billion of our sales in fiscal 2020. Initially, we had licenses for Calvin Klein men’s and women’s outerwear. We subsequently added licenses for women’s suits, dresses, women’s performance wear, women’s better sportswear, men’s and women’s swimwear, women’s handbags and small leather goods and luggage. In June 2019, we expanded our relationship with Calvin Klein by entering into a license agreement with an initial term of five years for the design, production and wholesale distribution of </w:t>
      </w:r>
      <w:r>
        <w:rPr>
          <w:rFonts w:ascii="Arial" w:cs="Arial" w:eastAsia="Arial" w:hAnsi="Arial"/>
          <w:sz w:val="17"/>
          <w:szCs w:val="17"/>
          <w:i w:val="1"/>
          <w:iCs w:val="1"/>
          <w:color w:val="auto"/>
        </w:rPr>
        <w:t>Calvin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Klein Jeans </w:t>
      </w:r>
      <w:r>
        <w:rPr>
          <w:rFonts w:ascii="Arial" w:cs="Arial" w:eastAsia="Arial" w:hAnsi="Arial"/>
          <w:sz w:val="17"/>
          <w:szCs w:val="17"/>
          <w:color w:val="auto"/>
        </w:rPr>
        <w:t>women’s jeanswear in the United States and Canada. Shipments of our first</w:t>
      </w:r>
      <w:r>
        <w:rPr>
          <w:rFonts w:ascii="Arial" w:cs="Arial" w:eastAsia="Arial" w:hAnsi="Arial"/>
          <w:sz w:val="17"/>
          <w:szCs w:val="17"/>
          <w:i w:val="1"/>
          <w:iCs w:val="1"/>
          <w:color w:val="auto"/>
        </w:rPr>
        <w:t xml:space="preserve"> Calvin Klein Jeans </w:t>
      </w:r>
      <w:r>
        <w:rPr>
          <w:rFonts w:ascii="Arial" w:cs="Arial" w:eastAsia="Arial" w:hAnsi="Arial"/>
          <w:sz w:val="17"/>
          <w:szCs w:val="17"/>
          <w:color w:val="auto"/>
        </w:rPr>
        <w:t>women’s</w:t>
      </w:r>
      <w:r>
        <w:rPr>
          <w:rFonts w:ascii="Arial" w:cs="Arial" w:eastAsia="Arial" w:hAnsi="Arial"/>
          <w:sz w:val="17"/>
          <w:szCs w:val="17"/>
          <w:i w:val="1"/>
          <w:iCs w:val="1"/>
          <w:color w:val="auto"/>
        </w:rPr>
        <w:t xml:space="preserve"> </w:t>
      </w:r>
      <w:r>
        <w:rPr>
          <w:rFonts w:ascii="Arial" w:cs="Arial" w:eastAsia="Arial" w:hAnsi="Arial"/>
          <w:sz w:val="17"/>
          <w:szCs w:val="17"/>
          <w:color w:val="auto"/>
        </w:rPr>
        <w:t>jeanswear line began during our third quarter of fiscal 2020.</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also have a significant relationship with Tommy Hilfiger, with whom we have a multi-category womenswear license in the United States and Canada. This license for women’s sportswear, dresses, suit separates, performance and denim is in addition to our Tommy Hilfiger men’s and women’s outerwear license and Tommy Hilfiger luggage license, both also in the United States and Canada. We expect to launch our Tommy Hilfiger Jeans denim collection in fiscal 2021.</w:t>
      </w:r>
    </w:p>
    <w:p>
      <w:pPr>
        <w:spacing w:after="0" w:line="15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own a 49% interest in a joint venture that owns the trademarks for the Karl Lagerfeld brand in North America. As part of that relationship, we have a long-term license agreement with the joint venture for the Karl Lagerfeld Paris brand in North America, pursuant to which we produce and distribute women’s apparel, women’s footwear, women’s handbags, men’s apparel, men’s footwear and luggage under the Karl Lagerfeld Paris brand.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believe that retailers today are seeking resources with the size and power to partner effectively on all aspects of the supply chain, from design, sourcing and quality control to logistics and warehousing. We believe that G-III is a partner of choice in these endeavors, and that we are able to capitalize on the following competitive strengths to expand our position as an all-season diversified apparel company:</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 xml:space="preserve">Broad portfolio of recognized brands. </w:t>
      </w:r>
      <w:r>
        <w:rPr>
          <w:rFonts w:ascii="Arial" w:cs="Arial" w:eastAsia="Arial" w:hAnsi="Arial"/>
          <w:sz w:val="17"/>
          <w:szCs w:val="17"/>
          <w:color w:val="auto"/>
        </w:rPr>
        <w:t>In an environment of rapidly changing consumer fashion trends, we benefit from a</w:t>
      </w:r>
      <w:r>
        <w:rPr>
          <w:rFonts w:ascii="Arial" w:cs="Arial" w:eastAsia="Arial" w:hAnsi="Arial"/>
          <w:sz w:val="17"/>
          <w:szCs w:val="17"/>
          <w:i w:val="1"/>
          <w:iCs w:val="1"/>
          <w:color w:val="auto"/>
        </w:rPr>
        <w:t xml:space="preserve"> </w:t>
      </w:r>
      <w:r>
        <w:rPr>
          <w:rFonts w:ascii="Arial" w:cs="Arial" w:eastAsia="Arial" w:hAnsi="Arial"/>
          <w:sz w:val="17"/>
          <w:szCs w:val="17"/>
          <w:color w:val="auto"/>
        </w:rPr>
        <w:t>balanced mix of more than 30 licensed and proprietary brands anchored by five global power brands: DKNY, Donna Karan, Calvin Klein, Tommy Hilfiger and Karl Lagerfeld Paris. We believe we are a licensee of choice for well-known brands, as demonstrated by our partnerships with such brands as Calvin Klein, Tommy Hilfiger, Karl Lagerfeld Paris, Kenneth Cole, Cole Haan, Guess?, Vince Camuto, Levi’s and Dockers that have built a loyal following of both fashion-conscious consumers and retailers who desire high quality, well designed products. In addition to our licensed brands, we own a number of proprietary brands, including DKNY, Donna Karan, Vilebrequin, G.H. Bass, Eliza J, Jessica Howard, Andrew Marc and Marc New York. Our experience in developing and acquiring licensed brands and proprietary labels, as well as our reputation for producing high quality, well-designed apparel, has led major department stores and retailers to select us as a designer and manufacturer for their own private label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currently market apparel and other products under, among others, the following licensed and proprietary brand names: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40" w:type="dxa"/>
            <w:vAlign w:val="bottom"/>
            <w:gridSpan w:val="2"/>
          </w:tcPr>
          <w:p>
            <w:pPr>
              <w:ind w:left="20"/>
              <w:spacing w:after="0"/>
              <w:rPr>
                <w:sz w:val="20"/>
                <w:szCs w:val="20"/>
                <w:color w:val="auto"/>
              </w:rPr>
            </w:pPr>
            <w:r>
              <w:rPr>
                <w:rFonts w:ascii="Arial" w:cs="Arial" w:eastAsia="Arial" w:hAnsi="Arial"/>
                <w:sz w:val="14"/>
                <w:szCs w:val="14"/>
                <w:b w:val="1"/>
                <w:bCs w:val="1"/>
                <w:color w:val="auto"/>
              </w:rPr>
              <w:t>Women's</w:t>
            </w:r>
          </w:p>
        </w:tc>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Men's</w:t>
            </w:r>
          </w:p>
        </w:tc>
        <w:tc>
          <w:tcPr>
            <w:tcW w:w="2780" w:type="dxa"/>
            <w:vAlign w:val="bottom"/>
          </w:tcPr>
          <w:p>
            <w:pPr>
              <w:spacing w:after="0"/>
              <w:rPr>
                <w:sz w:val="20"/>
                <w:szCs w:val="20"/>
                <w:color w:val="auto"/>
              </w:rPr>
            </w:pPr>
            <w:r>
              <w:rPr>
                <w:rFonts w:ascii="Arial" w:cs="Arial" w:eastAsia="Arial" w:hAnsi="Arial"/>
                <w:sz w:val="14"/>
                <w:szCs w:val="14"/>
                <w:b w:val="1"/>
                <w:bCs w:val="1"/>
                <w:color w:val="auto"/>
              </w:rPr>
              <w:t>Team Sports</w:t>
            </w:r>
          </w:p>
        </w:tc>
      </w:tr>
      <w:tr>
        <w:trPr>
          <w:trHeight w:val="209"/>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Licensed Brands</w:t>
            </w:r>
          </w:p>
        </w:tc>
        <w:tc>
          <w:tcPr>
            <w:tcW w:w="22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Calvin Klein</w:t>
            </w:r>
          </w:p>
        </w:tc>
        <w:tc>
          <w:tcPr>
            <w:tcW w:w="3080" w:type="dxa"/>
            <w:vAlign w:val="bottom"/>
            <w:gridSpan w:val="2"/>
          </w:tcPr>
          <w:p>
            <w:pPr>
              <w:spacing w:after="0"/>
              <w:rPr>
                <w:sz w:val="20"/>
                <w:szCs w:val="20"/>
                <w:color w:val="auto"/>
              </w:rPr>
            </w:pPr>
            <w:r>
              <w:rPr>
                <w:rFonts w:ascii="Arial" w:cs="Arial" w:eastAsia="Arial" w:hAnsi="Arial"/>
                <w:sz w:val="18"/>
                <w:szCs w:val="18"/>
                <w:color w:val="auto"/>
              </w:rPr>
              <w:t>Calvin Klein</w:t>
            </w:r>
          </w:p>
        </w:tc>
        <w:tc>
          <w:tcPr>
            <w:tcW w:w="2780" w:type="dxa"/>
            <w:vAlign w:val="bottom"/>
          </w:tcPr>
          <w:p>
            <w:pPr>
              <w:spacing w:after="0"/>
              <w:rPr>
                <w:sz w:val="20"/>
                <w:szCs w:val="20"/>
                <w:color w:val="auto"/>
              </w:rPr>
            </w:pPr>
            <w:r>
              <w:rPr>
                <w:rFonts w:ascii="Arial" w:cs="Arial" w:eastAsia="Arial" w:hAnsi="Arial"/>
                <w:sz w:val="18"/>
                <w:szCs w:val="18"/>
                <w:color w:val="auto"/>
              </w:rPr>
              <w:t>National Football League</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Calvin Klein Jeans</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Tommy Hilfiger</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Major League Baseball</w:t>
            </w: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Tommy Hilfiger</w:t>
            </w:r>
          </w:p>
        </w:tc>
        <w:tc>
          <w:tcPr>
            <w:tcW w:w="3080" w:type="dxa"/>
            <w:vAlign w:val="bottom"/>
            <w:gridSpan w:val="2"/>
          </w:tcPr>
          <w:p>
            <w:pPr>
              <w:spacing w:after="0"/>
              <w:rPr>
                <w:sz w:val="20"/>
                <w:szCs w:val="20"/>
                <w:color w:val="auto"/>
              </w:rPr>
            </w:pPr>
            <w:r>
              <w:rPr>
                <w:rFonts w:ascii="Arial" w:cs="Arial" w:eastAsia="Arial" w:hAnsi="Arial"/>
                <w:sz w:val="18"/>
                <w:szCs w:val="18"/>
                <w:color w:val="auto"/>
              </w:rPr>
              <w:t>Karl Lagerfeld Paris</w:t>
            </w:r>
          </w:p>
        </w:tc>
        <w:tc>
          <w:tcPr>
            <w:tcW w:w="2780" w:type="dxa"/>
            <w:vAlign w:val="bottom"/>
          </w:tcPr>
          <w:p>
            <w:pPr>
              <w:spacing w:after="0"/>
              <w:rPr>
                <w:sz w:val="20"/>
                <w:szCs w:val="20"/>
                <w:color w:val="auto"/>
              </w:rPr>
            </w:pPr>
            <w:r>
              <w:rPr>
                <w:rFonts w:ascii="Arial" w:cs="Arial" w:eastAsia="Arial" w:hAnsi="Arial"/>
                <w:sz w:val="18"/>
                <w:szCs w:val="18"/>
                <w:color w:val="auto"/>
              </w:rPr>
              <w:t>National Basketball Association</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 Lagerfeld Paris</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Guess?</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National Hockey League</w:t>
            </w: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Guess?</w:t>
            </w:r>
          </w:p>
        </w:tc>
        <w:tc>
          <w:tcPr>
            <w:tcW w:w="3080" w:type="dxa"/>
            <w:vAlign w:val="bottom"/>
            <w:gridSpan w:val="2"/>
          </w:tcPr>
          <w:p>
            <w:pPr>
              <w:spacing w:after="0"/>
              <w:rPr>
                <w:sz w:val="20"/>
                <w:szCs w:val="20"/>
                <w:color w:val="auto"/>
              </w:rPr>
            </w:pPr>
            <w:r>
              <w:rPr>
                <w:rFonts w:ascii="Arial" w:cs="Arial" w:eastAsia="Arial" w:hAnsi="Arial"/>
                <w:sz w:val="18"/>
                <w:szCs w:val="18"/>
                <w:color w:val="auto"/>
              </w:rPr>
              <w:t>Kenneth Cole</w:t>
            </w:r>
          </w:p>
        </w:tc>
        <w:tc>
          <w:tcPr>
            <w:tcW w:w="2780" w:type="dxa"/>
            <w:vAlign w:val="bottom"/>
          </w:tcPr>
          <w:p>
            <w:pPr>
              <w:spacing w:after="0"/>
              <w:rPr>
                <w:sz w:val="20"/>
                <w:szCs w:val="20"/>
                <w:color w:val="auto"/>
              </w:rPr>
            </w:pPr>
            <w:r>
              <w:rPr>
                <w:rFonts w:ascii="Arial" w:cs="Arial" w:eastAsia="Arial" w:hAnsi="Arial"/>
                <w:sz w:val="18"/>
                <w:szCs w:val="18"/>
                <w:color w:val="auto"/>
              </w:rPr>
              <w:t>Touch</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Kenneth Cole</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Cole Haan</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7"/>
              </w:rPr>
              <w:t>IMG Collegiate Licensing Company</w:t>
            </w: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Cole Haan</w:t>
            </w:r>
          </w:p>
        </w:tc>
        <w:tc>
          <w:tcPr>
            <w:tcW w:w="3080" w:type="dxa"/>
            <w:vAlign w:val="bottom"/>
            <w:gridSpan w:val="2"/>
          </w:tcPr>
          <w:p>
            <w:pPr>
              <w:spacing w:after="0"/>
              <w:rPr>
                <w:sz w:val="20"/>
                <w:szCs w:val="20"/>
                <w:color w:val="auto"/>
              </w:rPr>
            </w:pPr>
            <w:r>
              <w:rPr>
                <w:rFonts w:ascii="Arial" w:cs="Arial" w:eastAsia="Arial" w:hAnsi="Arial"/>
                <w:sz w:val="18"/>
                <w:szCs w:val="18"/>
                <w:color w:val="auto"/>
              </w:rPr>
              <w:t>Levi's</w:t>
            </w:r>
          </w:p>
        </w:tc>
        <w:tc>
          <w:tcPr>
            <w:tcW w:w="2780" w:type="dxa"/>
            <w:vAlign w:val="bottom"/>
          </w:tcPr>
          <w:p>
            <w:pPr>
              <w:spacing w:after="0"/>
              <w:rPr>
                <w:sz w:val="20"/>
                <w:szCs w:val="20"/>
                <w:color w:val="auto"/>
              </w:rPr>
            </w:pPr>
            <w:r>
              <w:rPr>
                <w:rFonts w:ascii="Arial" w:cs="Arial" w:eastAsia="Arial" w:hAnsi="Arial"/>
                <w:sz w:val="18"/>
                <w:szCs w:val="18"/>
                <w:color w:val="auto"/>
              </w:rPr>
              <w:t>Starter</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Levi's</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Dockers</w:t>
            </w:r>
          </w:p>
        </w:tc>
        <w:tc>
          <w:tcPr>
            <w:tcW w:w="278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Vince Camuto</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Kensie</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Chaps</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i w:val="1"/>
                <w:iCs w:val="1"/>
                <w:color w:val="auto"/>
              </w:rPr>
              <w:t>Proprietary Brands</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DKNY</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DKNY</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G-III Sports by Carl Banks</w:t>
            </w: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Donna Karan</w:t>
            </w:r>
          </w:p>
        </w:tc>
        <w:tc>
          <w:tcPr>
            <w:tcW w:w="3080" w:type="dxa"/>
            <w:vAlign w:val="bottom"/>
            <w:gridSpan w:val="2"/>
          </w:tcPr>
          <w:p>
            <w:pPr>
              <w:spacing w:after="0"/>
              <w:rPr>
                <w:sz w:val="20"/>
                <w:szCs w:val="20"/>
                <w:color w:val="auto"/>
              </w:rPr>
            </w:pPr>
            <w:r>
              <w:rPr>
                <w:rFonts w:ascii="Arial" w:cs="Arial" w:eastAsia="Arial" w:hAnsi="Arial"/>
                <w:sz w:val="18"/>
                <w:szCs w:val="18"/>
                <w:color w:val="auto"/>
              </w:rPr>
              <w:t>Andrew Marc</w:t>
            </w:r>
          </w:p>
        </w:tc>
        <w:tc>
          <w:tcPr>
            <w:tcW w:w="2780" w:type="dxa"/>
            <w:vAlign w:val="bottom"/>
          </w:tcPr>
          <w:p>
            <w:pPr>
              <w:spacing w:after="0"/>
              <w:rPr>
                <w:sz w:val="20"/>
                <w:szCs w:val="20"/>
                <w:color w:val="auto"/>
              </w:rPr>
            </w:pPr>
            <w:r>
              <w:rPr>
                <w:rFonts w:ascii="Arial" w:cs="Arial" w:eastAsia="Arial" w:hAnsi="Arial"/>
                <w:sz w:val="18"/>
                <w:szCs w:val="18"/>
                <w:color w:val="auto"/>
              </w:rPr>
              <w:t>G-III for Her</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Marc</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New York</w:t>
            </w:r>
          </w:p>
        </w:tc>
        <w:tc>
          <w:tcPr>
            <w:tcW w:w="278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Marc New York</w:t>
            </w:r>
          </w:p>
        </w:tc>
        <w:tc>
          <w:tcPr>
            <w:tcW w:w="3080" w:type="dxa"/>
            <w:vAlign w:val="bottom"/>
            <w:gridSpan w:val="2"/>
          </w:tcPr>
          <w:p>
            <w:pPr>
              <w:spacing w:after="0"/>
              <w:rPr>
                <w:sz w:val="20"/>
                <w:szCs w:val="20"/>
                <w:color w:val="auto"/>
              </w:rPr>
            </w:pPr>
            <w:r>
              <w:rPr>
                <w:rFonts w:ascii="Arial" w:cs="Arial" w:eastAsia="Arial" w:hAnsi="Arial"/>
                <w:sz w:val="18"/>
                <w:szCs w:val="18"/>
                <w:color w:val="auto"/>
              </w:rPr>
              <w:t>Vilebrequin</w:t>
            </w:r>
          </w:p>
        </w:tc>
        <w:tc>
          <w:tcPr>
            <w:tcW w:w="278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Vilebrequin</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H. Bass</w:t>
            </w:r>
          </w:p>
        </w:tc>
        <w:tc>
          <w:tcPr>
            <w:tcW w:w="278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G. H. Bass</w:t>
            </w:r>
          </w:p>
        </w:tc>
        <w:tc>
          <w:tcPr>
            <w:tcW w:w="3080" w:type="dxa"/>
            <w:vAlign w:val="bottom"/>
            <w:gridSpan w:val="2"/>
          </w:tcPr>
          <w:p>
            <w:pPr>
              <w:spacing w:after="0"/>
              <w:rPr>
                <w:sz w:val="20"/>
                <w:szCs w:val="20"/>
                <w:color w:val="auto"/>
              </w:rPr>
            </w:pPr>
            <w:r>
              <w:rPr>
                <w:rFonts w:ascii="Arial" w:cs="Arial" w:eastAsia="Arial" w:hAnsi="Arial"/>
                <w:sz w:val="18"/>
                <w:szCs w:val="18"/>
                <w:color w:val="auto"/>
              </w:rPr>
              <w:t>Black Rivet</w:t>
            </w:r>
          </w:p>
        </w:tc>
        <w:tc>
          <w:tcPr>
            <w:tcW w:w="278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Eliza J</w:t>
            </w: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Wilsons Leather</w:t>
            </w:r>
          </w:p>
        </w:tc>
        <w:tc>
          <w:tcPr>
            <w:tcW w:w="278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Jessica Howard</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Black Rivet</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Wilsons Leather</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Diversified distribution base. </w:t>
      </w:r>
      <w:r>
        <w:rPr>
          <w:rFonts w:ascii="Arial" w:cs="Arial" w:eastAsia="Arial" w:hAnsi="Arial"/>
          <w:sz w:val="17"/>
          <w:szCs w:val="17"/>
          <w:color w:val="auto"/>
        </w:rPr>
        <w:t>We market our products at multiple price points and across multiple channels of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allowing us to provide products to a broad range of consumers. Our products are sold to approximately 1,800 customers, including a cross section of retailers such as Macy’s, Dillard’s, Lord &amp; Taylor, Hudson’s Bay Company, including their Saks Fifth Avenue division, Nordstrom, Kohl’s, TJX Companies, Ross Stores and Burlington, as well as membership clubs such as Costco and Sam’s Club. We also sell to pure play online retail partners such as Amazon and Fanatics. Our strong relationships with retailers have been established through many years of personal customer service and adherence to meeting or exceeding retailer expectations. In addition, we continue to make changes to our business to address the additional challenges and opportunities created by the evolving role of the online marketplace in the retail sector and expect to expand the sale of our products in an omni-channel environment.</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Superior design, sourcing and quality control. </w:t>
      </w:r>
      <w:r>
        <w:rPr>
          <w:rFonts w:ascii="Arial" w:cs="Arial" w:eastAsia="Arial" w:hAnsi="Arial"/>
          <w:sz w:val="18"/>
          <w:szCs w:val="18"/>
          <w:color w:val="auto"/>
        </w:rPr>
        <w:t>Our in-house design and merchandising teams design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licensed, proprietary and private label products. Our designers work closely with our licensors and private label customers to create designs and styles that represent the look they want. We have a network of worldwide suppliers that allows us to negotiate competitive terms without relying on any single vendor. In addition, we employ a quality control team and a sourcing group in China to ensure the quality of our products. We believe we have developed a significant customer following and positive reputation in the industry as a result of our design capabilities, sourcing expertise, on-time delivery and high standards of quality control.</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Leadership position in the wholesale business. </w:t>
      </w:r>
      <w:r>
        <w:rPr>
          <w:rFonts w:ascii="Arial" w:cs="Arial" w:eastAsia="Arial" w:hAnsi="Arial"/>
          <w:sz w:val="18"/>
          <w:szCs w:val="18"/>
          <w:color w:val="auto"/>
        </w:rPr>
        <w:t>As one of the largest wholesalers of outerwear, dresses and sportswear, we</w:t>
      </w:r>
      <w:r>
        <w:rPr>
          <w:rFonts w:ascii="Arial" w:cs="Arial" w:eastAsia="Arial" w:hAnsi="Arial"/>
          <w:sz w:val="18"/>
          <w:szCs w:val="18"/>
          <w:i w:val="1"/>
          <w:iCs w:val="1"/>
          <w:color w:val="auto"/>
        </w:rPr>
        <w:t xml:space="preserve"> </w:t>
      </w:r>
      <w:r>
        <w:rPr>
          <w:rFonts w:ascii="Arial" w:cs="Arial" w:eastAsia="Arial" w:hAnsi="Arial"/>
          <w:sz w:val="18"/>
          <w:szCs w:val="18"/>
          <w:color w:val="auto"/>
        </w:rPr>
        <w:t>are widely recognized within the apparel industry for our high-quality and well-designed products. Our expertise and reputation in designing, sourcing and marketing apparel has enabled us to build strong customer relationships and to become one of the leading dress and sportswear suppliers in the United States over the past several years, in addition to our long-term leadership position with respect to outerwear. We have also expanded into other women’s and men’s apparel categories, as well as to non-apparel categories such as handbags, footwear, small leather goods, cold weather accessories and luggage.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executive management team has worked together for a significant period of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extensive experience in the apparel industry. Morris Goldfarb, our Chairman and Chief Executive Officer, has been with us for over 45 years. Sammy Aaron, our Vice Chairman and President, joined us in 2005 when we acquired Marvin Richards, Wayne S. Miller, our Chief Operating Officer, has been with us for over 20 years, Neal S. Nackman, our Chief Financial Officer, has been with us for over 15 years and Jeffrey Goldfarb, our Executive Vice President, has been with us for over 15 years. Our leadership team has demonstrated experience in successfully acquiring, managing, integrating and positioning new businesses having completed nine acquisitions and several joint ventures over the last 15 years, while also adding numerous new licenses and licensed products.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Wholesale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Licensed Products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sale of licensed products is a key element of our strategy and we have continually expanded our offerings of licensed products for the past 25 years. Sales of licensed products accounted for 59.4% of our net sales in fiscal 2020, 57.4% of our net sales in fiscal 2019 and 58.6% of our net sales in fiscal 2018.</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Our most significant licensor is Calvin Klein with whom we have ten different license agreements in the United States and Canada. We have also entered into distribution agreements with respect to Calvin Klein luggage in a number of foreign countries. In June 2019, we expanded our relationship with Calvin Klein by entering into a license agreement with an initial term of five years for the design, production and wholesale distribution of </w:t>
      </w:r>
      <w:r>
        <w:rPr>
          <w:rFonts w:ascii="Arial" w:cs="Arial" w:eastAsia="Arial" w:hAnsi="Arial"/>
          <w:sz w:val="17"/>
          <w:szCs w:val="17"/>
          <w:i w:val="1"/>
          <w:iCs w:val="1"/>
          <w:color w:val="auto"/>
        </w:rPr>
        <w:t>Calvin Klein Jeans</w:t>
      </w:r>
      <w:r>
        <w:rPr>
          <w:rFonts w:ascii="Arial" w:cs="Arial" w:eastAsia="Arial" w:hAnsi="Arial"/>
          <w:sz w:val="17"/>
          <w:szCs w:val="17"/>
          <w:color w:val="auto"/>
        </w:rPr>
        <w:t xml:space="preserve"> women’s jeanswear in the United States and Canada. This was our eleventh license agreement with Calvin Klein. Shipments of our first </w:t>
      </w:r>
      <w:r>
        <w:rPr>
          <w:rFonts w:ascii="Arial" w:cs="Arial" w:eastAsia="Arial" w:hAnsi="Arial"/>
          <w:sz w:val="17"/>
          <w:szCs w:val="17"/>
          <w:i w:val="1"/>
          <w:iCs w:val="1"/>
          <w:color w:val="auto"/>
        </w:rPr>
        <w:t>Calvin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Klein Jeans </w:t>
      </w:r>
      <w:r>
        <w:rPr>
          <w:rFonts w:ascii="Arial" w:cs="Arial" w:eastAsia="Arial" w:hAnsi="Arial"/>
          <w:sz w:val="17"/>
          <w:szCs w:val="17"/>
          <w:color w:val="auto"/>
        </w:rPr>
        <w:t>women’s jeanswear line began during our third quarter of fiscal 2020.</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also have a significant relationship with Tommy Hilfiger, with whom we have a multi-category womenswear license in the United States and Canada. This license for women’s sportswear, dresses, suit separates, performance and denim is in addition to our Tommy Hilfiger men’s and women’s outerwear license and Tommy Hilfiger luggage license, both also in the United States and Canada. We expect to launch our Tommy Hilfiger Jeans denim collection in fiscal 2021.</w:t>
      </w:r>
    </w:p>
    <w:p>
      <w:pPr>
        <w:spacing w:after="0" w:line="15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own a 49% interest in a joint venture that owns the trademarks for the Karl Lagerfeld brand in North America. As part of that relationship, we have a long-term license agreement with the joint venture for the Karl Lagerfeld Paris brand in North America, pursuant to which we produce and distribute women’s apparel, women’s footwear, women’s handbags, men’s apparel, men’s footwear and luggage under the Karl Lagerfeld Paris brand.</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November 2019, we renewed our license agreement with the National Football League for an additional three-year term. In September 2018, we renewed our license agreement with Kenneth Cole for an additional four-year term and, in August 2018, we renewed our license agreement with Guess! for an additional five-year term.</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License</w:t>
            </w:r>
          </w:p>
        </w:tc>
        <w:tc>
          <w:tcPr>
            <w:tcW w:w="170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 Current</w:t>
            </w:r>
          </w:p>
        </w:tc>
        <w:tc>
          <w:tcPr>
            <w:tcW w:w="1500" w:type="dxa"/>
            <w:vAlign w:val="bottom"/>
          </w:tcPr>
          <w:p>
            <w:pPr>
              <w:ind w:left="40"/>
              <w:spacing w:after="0"/>
              <w:rPr>
                <w:sz w:val="20"/>
                <w:szCs w:val="20"/>
                <w:color w:val="auto"/>
              </w:rPr>
            </w:pPr>
            <w:r>
              <w:rPr>
                <w:rFonts w:ascii="Arial" w:cs="Arial" w:eastAsia="Arial" w:hAnsi="Arial"/>
                <w:sz w:val="14"/>
                <w:szCs w:val="14"/>
                <w:b w:val="1"/>
                <w:bCs w:val="1"/>
                <w:color w:val="auto"/>
                <w:w w:val="93"/>
              </w:rPr>
              <w:t>Date Potential Renewal</w:t>
            </w: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Term Ends</w:t>
            </w:r>
          </w:p>
        </w:tc>
        <w:tc>
          <w:tcPr>
            <w:tcW w:w="1500" w:type="dxa"/>
            <w:vAlign w:val="bottom"/>
          </w:tcPr>
          <w:p>
            <w:pPr>
              <w:ind w:left="420"/>
              <w:spacing w:after="0"/>
              <w:rPr>
                <w:sz w:val="20"/>
                <w:szCs w:val="20"/>
                <w:color w:val="auto"/>
              </w:rPr>
            </w:pPr>
            <w:r>
              <w:rPr>
                <w:rFonts w:ascii="Arial" w:cs="Arial" w:eastAsia="Arial" w:hAnsi="Arial"/>
                <w:sz w:val="14"/>
                <w:szCs w:val="14"/>
                <w:b w:val="1"/>
                <w:bCs w:val="1"/>
                <w:color w:val="auto"/>
              </w:rPr>
              <w:t>Term Ends</w:t>
            </w:r>
          </w:p>
        </w:tc>
        <w:tc>
          <w:tcPr>
            <w:tcW w:w="0" w:type="dxa"/>
            <w:vAlign w:val="bottom"/>
          </w:tcPr>
          <w:p>
            <w:pPr>
              <w:spacing w:after="0"/>
              <w:rPr>
                <w:sz w:val="1"/>
                <w:szCs w:val="1"/>
                <w:color w:val="auto"/>
              </w:rPr>
            </w:pPr>
          </w:p>
        </w:tc>
      </w:tr>
      <w:tr>
        <w:trPr>
          <w:trHeight w:val="196"/>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Fashion Licenses</w:t>
            </w:r>
          </w:p>
        </w:tc>
        <w:tc>
          <w:tcPr>
            <w:tcW w:w="2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Calvin Klein (Men's outerwear)</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Calvin Klein (Women's outerwear)</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2023</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Calvin Klein (Women's dresses)</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Calvin Klein (Women's suits)</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2023</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Calvin Klein (Women's performance wear)</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Calvin Klein (Women's better sportswear)</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2023</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Calvin Klein (Better luggage)</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Calvin Klein (Women's handbags and small leather goods)</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2023</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Calvin Klein (Men's and women's swimwear)</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Calvin Klein Jeans (Women's jeanswear)</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2024</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Cole Haan (Men's and women's outerwear)</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2020</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Dockers (Men's outerwear)</w:t>
            </w:r>
          </w:p>
        </w:tc>
        <w:tc>
          <w:tcPr>
            <w:tcW w:w="1700" w:type="dxa"/>
            <w:vAlign w:val="bottom"/>
            <w:gridSpan w:val="2"/>
          </w:tcPr>
          <w:p>
            <w:pPr>
              <w:spacing w:after="0"/>
              <w:rPr>
                <w:sz w:val="20"/>
                <w:szCs w:val="20"/>
                <w:color w:val="auto"/>
              </w:rPr>
            </w:pPr>
            <w:r>
              <w:rPr>
                <w:rFonts w:ascii="Arial" w:cs="Arial" w:eastAsia="Arial" w:hAnsi="Arial"/>
                <w:sz w:val="16"/>
                <w:szCs w:val="16"/>
                <w:color w:val="auto"/>
              </w:rPr>
              <w:t>November 30, 2021</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Guess/Guess? (Men's and women's outerwear)</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Guess/Guess? (Women's dresses)</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2023</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9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7"/>
              </w:rPr>
              <w:t>Karl Lagerfeld Paris (Women's and men's apparel, women's handbags, women's</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2020</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December 31, 2030</w:t>
            </w:r>
          </w:p>
        </w:tc>
        <w:tc>
          <w:tcPr>
            <w:tcW w:w="0" w:type="dxa"/>
            <w:vAlign w:val="bottom"/>
          </w:tcPr>
          <w:p>
            <w:pPr>
              <w:spacing w:after="0"/>
              <w:rPr>
                <w:sz w:val="1"/>
                <w:szCs w:val="1"/>
                <w:color w:val="auto"/>
              </w:rPr>
            </w:pPr>
          </w:p>
        </w:tc>
      </w:tr>
      <w:tr>
        <w:trPr>
          <w:trHeight w:val="212"/>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and men's footwear)</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Kenneth Cole NY/Reaction Kenneth Cole (Men's and women's outerwear)</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2022</w:t>
            </w:r>
          </w:p>
        </w:tc>
        <w:tc>
          <w:tcPr>
            <w:tcW w:w="1500" w:type="dxa"/>
            <w:vAlign w:val="bottom"/>
          </w:tcPr>
          <w:p>
            <w:pPr>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Kensie (Women's dresses)</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Levi's (Men's and women's outerwear)</w:t>
            </w:r>
          </w:p>
        </w:tc>
        <w:tc>
          <w:tcPr>
            <w:tcW w:w="1700" w:type="dxa"/>
            <w:vAlign w:val="bottom"/>
            <w:gridSpan w:val="2"/>
          </w:tcPr>
          <w:p>
            <w:pPr>
              <w:spacing w:after="0"/>
              <w:rPr>
                <w:sz w:val="20"/>
                <w:szCs w:val="20"/>
                <w:color w:val="auto"/>
              </w:rPr>
            </w:pPr>
            <w:r>
              <w:rPr>
                <w:rFonts w:ascii="Arial" w:cs="Arial" w:eastAsia="Arial" w:hAnsi="Arial"/>
                <w:sz w:val="16"/>
                <w:szCs w:val="16"/>
                <w:color w:val="auto"/>
              </w:rPr>
              <w:t>November 30, 2021</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Tommy Hilfiger (Men's and women's outerwear)</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2021</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r>
        <w:trPr>
          <w:trHeight w:val="202"/>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Tommy Hilfiger (Luggage)</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Tommy Hilfiger (Women's apparel)</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2021</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Vince Camuto (Women's dresses)</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1500" w:type="dxa"/>
            <w:vAlign w:val="bottom"/>
          </w:tcPr>
          <w:p>
            <w:pPr>
              <w:spacing w:after="0"/>
              <w:rPr>
                <w:sz w:val="20"/>
                <w:szCs w:val="20"/>
                <w:color w:val="auto"/>
              </w:rPr>
            </w:pPr>
            <w:r>
              <w:rPr>
                <w:rFonts w:ascii="Arial" w:cs="Arial" w:eastAsia="Arial" w:hAnsi="Arial"/>
                <w:sz w:val="16"/>
                <w:szCs w:val="16"/>
                <w:color w:val="auto"/>
              </w:rPr>
              <w:t>December 31, 2025</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Team Sports Licenses</w:t>
            </w: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IMG Collegiate Licensing Company</w:t>
            </w:r>
          </w:p>
        </w:tc>
        <w:tc>
          <w:tcPr>
            <w:tcW w:w="170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Major League Baseball</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National Basketball Association</w:t>
            </w:r>
          </w:p>
        </w:tc>
        <w:tc>
          <w:tcPr>
            <w:tcW w:w="1700" w:type="dxa"/>
            <w:vAlign w:val="bottom"/>
            <w:gridSpan w:val="2"/>
          </w:tcPr>
          <w:p>
            <w:pPr>
              <w:spacing w:after="0"/>
              <w:rPr>
                <w:sz w:val="20"/>
                <w:szCs w:val="20"/>
                <w:color w:val="auto"/>
              </w:rPr>
            </w:pPr>
            <w:r>
              <w:rPr>
                <w:rFonts w:ascii="Arial" w:cs="Arial" w:eastAsia="Arial" w:hAnsi="Arial"/>
                <w:sz w:val="16"/>
                <w:szCs w:val="16"/>
                <w:color w:val="auto"/>
              </w:rPr>
              <w:t>September 30, 2020</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National Football League</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tcPr>
          <w:p>
            <w:pPr>
              <w:ind w:left="120"/>
              <w:spacing w:after="0"/>
              <w:rPr>
                <w:sz w:val="20"/>
                <w:szCs w:val="20"/>
                <w:color w:val="auto"/>
              </w:rPr>
            </w:pPr>
            <w:r>
              <w:rPr>
                <w:rFonts w:ascii="Arial" w:cs="Arial" w:eastAsia="Arial" w:hAnsi="Arial"/>
                <w:sz w:val="16"/>
                <w:szCs w:val="16"/>
                <w:color w:val="auto"/>
              </w:rPr>
              <w:t>National Hockey League</w:t>
            </w:r>
          </w:p>
        </w:tc>
        <w:tc>
          <w:tcPr>
            <w:tcW w:w="1700" w:type="dxa"/>
            <w:vAlign w:val="bottom"/>
            <w:gridSpan w:val="2"/>
          </w:tcPr>
          <w:p>
            <w:pPr>
              <w:spacing w:after="0"/>
              <w:rPr>
                <w:sz w:val="20"/>
                <w:szCs w:val="20"/>
                <w:color w:val="auto"/>
              </w:rPr>
            </w:pPr>
            <w:r>
              <w:rPr>
                <w:rFonts w:ascii="Arial" w:cs="Arial" w:eastAsia="Arial" w:hAnsi="Arial"/>
                <w:sz w:val="16"/>
                <w:szCs w:val="16"/>
                <w:color w:val="auto"/>
              </w:rPr>
              <w:t>June 30, 2022</w:t>
            </w:r>
          </w:p>
        </w:tc>
        <w:tc>
          <w:tcPr>
            <w:tcW w:w="1500" w:type="dxa"/>
            <w:vAlign w:val="bottom"/>
          </w:tcPr>
          <w:p>
            <w:pPr>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Starter</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December 31, 2028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have continually sought to increase our portfolio of name brands, product offerings and tiers of distribution because we believe that consumers prefer to buy brands they know and brand owners prefer to engage licensees who have a successful track record of developing brands.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Under our license agreements, we are generally required to achieve minimum net sales of licensed products, pay guaranteed minimum royalties, make specified royalty and advertising payments (usually based on a percentage of net sales of licensed products), and receive prior approval of the licensor as to all design and other elements of a product prior to production. License agreements may also restrict our ability to enter into other license agreements for competing products or acquire businesses that produce competing products without the consent of the licensor. If we do not satisfy any of these requirements or otherwise fail to meet our obligations under a license agreement, a licensor usually will have the right to terminate our license. License agreements also typically restrict our ability to assign or transfer the agreement without the prior written consent of a licensor and generally provide that a change in control, including as a result of the acquisition of us by another company, is considered to be a transfer of the license agreement that would give a licensor the right to terminate the license unless it has approved the transaction. Our ability to renew the current term of a license agreement may be subject to the discretion of the licensor or to attaining minimum sales and/or royalty levels and to our compliance with the provisions of the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Proprietary Brands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Dating back to the beginning of our company, G-III has sold apparel under its own proprietary brands. Over the years, we developed or acquired brands such as G-III Sports by Carl Banks, Eliza J and Jessica Howard. We acquired Andrew Marc, an aspirational luxury outerwear brand, G.H. Bass, a well-known heritage brand, and Vilebrequin, which provides us with a premier brand selling status products worldwide. In our most significant acquisition, we acquired DKI, which owns DKNY and Donna Karan, two of the world’s most iconic and recognizable power brands. We currently design, manufacture, distribute and sell products under our own proprietary brands, as well as license our proprietary brands in a variety of categories. We continue to seek new licensing opportunities to broaden the reach of these brands.</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DKNY and Donna Karan</w:t>
      </w:r>
    </w:p>
    <w:p>
      <w:pPr>
        <w:spacing w:after="0" w:line="14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DKI business has a portfolio of some of the world’s most iconic fashion brands, including DKNY and Donna Karan. First launched in 1984, DKI designs, sources, markets, retails and distributes collections of women’s and men’s clothing, sportswear, accessories and shoes under the DKNY and Donna Karan brand names. We acquired DKI in 2016.</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Based on DKNY’s and Donna Karan’s significant brand equity, we believe there are opportunities to expand existing categories, launch new initiatives and develop an even stronger licensing and distribution base. We believe that both the DKNY and Donna Karan brands have the potential for significant growth. In addition, we expect additional revenues from licensing and from sales growth across many categories of the business.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DKNY products are designed to provide a total wardrobe for a woman’s active, modern lifestyle. Products developed reflect the DKNY brand DNA and emphasize a strong price-value relationship. We believe that DKNY has the potential to be the premier fashion and lifestyle brand. DKNY products produced by us or by our various licensees are sold through department stores, specialty retailers and online retailers worldwide, as well as through company-operated retail stores, e-commerce sites and international brand partners and distributors. We expect to launch our DKNY Jeans collection in fiscal 2021.</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believe that the Donna Karan brand offers significant growth potential. We re-launched Donna Karan as an aspirational luxury brand that is priced above DKNY and targeted to fine department stores located in the United States, such as Dillard’s, Lord &amp; Taylor, Saks Fifth Avenue, Nordstrom and Bloomingdales, as well as fine department stores internationally.</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acquisition of DKI provided us an opportunity to expand our online retail channels. We believe there are significant opportunities to focus and enhance the DKNY and Donna Karan websites, prudently expand retail stores over the long term and capitalize on industry relationships to ensure premium placement for certain product categories in department and other retail stores nationwide.</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Vilebrequin</w:t>
      </w:r>
    </w:p>
    <w:p>
      <w:pPr>
        <w:spacing w:after="0" w:line="14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Vilebrequin is a premier provider of status swimwear, resort wear and related accessories. Vilebrequin sells its products in over 90 countries around the world. We believe that Vilebrequin has the potential to significantly develop its distribution network worldwide and expand its product offerings. A majority of Vilebrequin’s current revenues are derived from sales in Europe and the United States. As of January 31, 2020, Vilebrequin products were distributed through 106 company-operated stores, plus e-commerce websites located internationally and in the United States, as well as through 58 franchised locations and e-commerce stores and select wholesale distribution.</w:t>
      </w:r>
    </w:p>
    <w:p>
      <w:pPr>
        <w:spacing w:after="0" w:line="9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Vilebrequin’s iconic designs and reputation are linked to its French Riviera heritage arising from its founding in St. Tropez over forty years ago. Vilebrequin’s men’s swimwear, which accounts for the majority of its sales, is known for its exclusive prints, wide range of colors, attention to detail, fabric quality and well-designed cuts. In addition to men’s swimwear, Vilebrequin sells a collection of women’s swimwear, children’s swimwear, men’s resort wear products, women’s resort wear products, children’s resort wear products and related accessories including hats, beach bags, beach towels, shoes, sunglasses, watches and pool floats. Vilebrequin also offers a collection of women’s swimwear and resort wear. We believe that Vilebrequin is a powerful brand. We plan to continue adding more company operated and franchised retail locations and increase our wholesale distribution of Vilebrequin product throughout the world, as well as develop the business beyond its heritage in men’s swimwear, resort wear and related accessories.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Licensing of Proprietary Brands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our portfolio of propriety brands has grown, we have licensed these brands in new categories. We began licensing Andrew Marc, Vilebrequin and G.H. Bass in selected categories after acquiring these brands. Our licensing program has significantly increased as a result of owning the DKNY and Donna Karan brands. We currently license our proprietary brands in a variety of categories and continue to seek new licensing opportunities to broaden the reach of these brands.</w:t>
      </w:r>
    </w:p>
    <w:p>
      <w:pPr>
        <w:spacing w:after="0" w:line="15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have strong relationships with category leading license partners, including, but not limited to, Estee Lauder, Fossil, Marchon and Komar. The DKNY and Donna Karan brands have worldwide license agreements for a broad array of products including fragrance, hosiery, intimates, eyewear, bedding and bath products and women’s sleepwear and loungewear. Additionally, we license the DKNY brand in the United States and internationally for children’s clothing, children’s footwear, men’s and women’s watches, jewelry, men’s tailored clothing, men’s sportswear, men’s dress shirts, men’s neckwear, men’s underwear, men’s loungewear, men’s swimwear, men’s belts and small leather goods, women’s belts and cold weather accessories and men’s and women’s socks. We have also licensed the DKNY and Donna Karan brands for men’s and women’s apparel and accessories in China pursuant to a long-term license agreement with a joint venture of which we are a 49% owner. In July 2019, we signed a new license for DKNY furniture in the United States, Canada, Mexico and China.</w:t>
      </w:r>
    </w:p>
    <w:p>
      <w:pPr>
        <w:spacing w:after="0" w:line="18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license the G.H. Bass brand in the United States and internationally for men’s, women’s and children’s footwear, men’s sportswear, men’s socks, women’s hosiery and men’s accessories, men’s belts and small leather goods, men’s underwear and loungewear and bedding and bath products.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license the Vilebrequin brand internationally for a denim line and the Andrew Marc brand in North America for men’s and boy’s tailored clothing.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Retail Operations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January 31, 2020, our retail operations segment consisted of 282 leased retail stores, of which 124 are stores operated under our Wilsons Leather name, 99 are stores operated under our G.H. Bass brand, 43 stores are operated under our DKNY brand, 12 stores are operated under the licensed Karl Lagerfeld Paris brand and 4 stores are operated under the licensed Calvin Klein Performance brand. Wilsons Leather, G.H. Bass, DKNY, Donna Karan, Andrew Marc and Karl Lagerfeld Paris each operates its own online store.</w:t>
      </w:r>
    </w:p>
    <w:p>
      <w:pPr>
        <w:spacing w:after="0" w:line="18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Substantially all of our Wilsons Leather, G.H. Bass and DKNY stores are operated as outlet stores and located in larger outlet centers. We are working towards the restructuring of our retail operations, which would greatly reduce the number of stores we operate and the losses we are incurring. We are working diligently with our landlords and outside advisors with a view to closing a significant number of stores in order to reshape and right-size our retail operations. Our ongoing plan for our retail business focuses on the operations and growth of our DKNY and Karl Lagerfeld Paris stores, as well as our e-commerce business. Our plan is based on the assumed continued strength of the DKNY and Karl Lagerfeld brands, improved store productivity, changes in planning and allocation and improvements in gross margin and payroll leverage.</w:t>
      </w:r>
    </w:p>
    <w:p>
      <w:pPr>
        <w:spacing w:after="0" w:line="16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Wilsons Leather retail stores primarily sell men’s and women’s outerwear and accessories. Outerwear sold in our Wilsons Leather stores includes both products sold to the retail operations segment by G-III’s wholesale operations segment, as well as products sourced by the retail operations segment. Accessories are purchased from third parties. All of our G.H. Bass outlet stores offer G.H. Bass casual and dress shoes for men and women and most of our G.H. Bass stores also carry G.H. Bass apparel for men and women, including tops, bottoms and outerwear, as well as accessories such as handbags, wallets, belts and travel gear.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DKNY stores offer a large range of products including sportswear, dresses, suit separates, outerwear, handbags, footwear, intimates, sleepwear, hosiery, watches and eyewear. Our Karl Lagerfeld Paris stores offer a large range of products including sportswear, dresses, suit separates, outerwear, handbags and footwear. Merchandise is shipped from our main Brooklyn Park, Minnesota distribution center, as well as four regional distribution centers, to replenish stores as needed with key styles and to build inventory for the peak holiday selling season.</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e-commerce sales of apparel continue to increase, we are developing additional digital marketing initiatives on our web sites and through social media. We are investing in digital personnel, marketing, logistics, planning and distribution to help us expand our online opportunities. Our e-commerce business consists of our own web platforms at www.dkny.com, www.donnakaran.com, www.wilsonsleather.com, www.ghbass.com, www.vilebrequin.com and www.andrewmarc.com. We also sell our Karl Lagerfeld Paris products on our website, www.karllagerfeldparis.com. In addition, we sell to pure play online retail partners such as Amazon and Fanatics.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Products — Development and Design</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G-III designs, sources and markets women’s and men’s apparel at a wide range of retail price points. Our product offerings primarily include outerwear, dresses, sportswear, swimwear, women’s suits and women’s performance wear. We also market footwear and accessories including women’s handbags, small leather goods, cold weather accessories, and luggage.</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G-III’s licensed apparel consists of both women’s and men’s products in a broad range of categories. See “Wholesale Operations — Licensed Products” above. Our strategy is to seek licenses that will enable us to offer a range of products targeting different price points and different distribution channels. We also offer a wide range of products under our own proprietary brands.</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work with a diversified group of retail chains, such as Costco, Kohl’s, Ross Stores and Nordstrom in developing product lines that are sold under their private label programs. Our design teams collaborate with our customers to produce custom-made products for department and specialty chain stores. Store buyers may provide samples to us or may select styles already available in our showrooms. We believe we have established a reputation among these buyers for our ability to produce high quality product on a reliable, expeditious and cost-effective basis.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in-house designers are responsible for the design and look of our licensed, proprietary and private label products. We work closely with our licensors to create designs and styles for each of our licensed brands. Licensors generally must approve products to be sold under their brand names prior to production. We maintain a global pulse on styles, using trend services and color services to enable us to quickly respond to style changes in the apparel industry. Our experienced design personnel and our focused use of outside services enable us to incorporate current trends and consumer preferences in designing new products and styles.</w:t>
      </w:r>
    </w:p>
    <w:p>
      <w:pPr>
        <w:spacing w:after="0" w:line="19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Our design personnel meet regularly with our sales and merchandising departments, as well as with the design and merchandising staffs of our licensors, to review market trends, sales results and the popularity of our latest products. In addition, our representatives regularly attend trade and fashion shows and shop at fashion forward stores in the United States, Europe and the Far East for inspiration. Our designers present sample items along with their evaluation of the styles expected to be in demand in the United States. We also seek input from selected customers with respect to product design. We believe that our sensitivity to the needs of retailers, coupled with the flexibility of our production capabilities and our continual monitoring of the retail market, enables us to modify designs and order specifications in a timely fashion.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Sourcing</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G-III’s wholesale operations and retail operations segments arrange for the production of products from independent manufacturers located primarily in China, Vietnam, Indonesia and, to a lesser extent, Jordan, India, Cambodia, Bangladesh, Pakistan, the Philippines, Turkey, Sri Lanka, and Central and South America. Vilebrequin’s products are manufactured primarily in Bulgaria, Morocco, Tunisia, Turkey, Italy and Romania. A small portion of our garments are manufactured in the United States.</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continue to make efforts to diversify production and implement strategies to further diversify our production base. Inventory sourced by us from China represented 49.5% of inventory purchased in fiscal 2020 compared to 61.5% in fiscal 2019 and 65.1% in fiscal 2018. Our experienced production teams in China, Vietnam and the Middle East support our efforts to further develop quality production partners in South East Asia and Africa.</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currently have representative offices in Hangzhou, Nanjing and Dongguan, China, as well as in Hong Kong, Vietnam, Indonesia, Bangladesh, Jordan and India. These offices act as our liaison with manufacturers in the Far East. G-III’s headquarters provides these liaison offices with production orders stating the quantity, quality, delivery time and types of garments to be produced. The personnel in our liaison offices assist in the negotiation and placement of orders with manufacturers. In allocating production among independent suppliers, we consider a number of criteria, including, but not limited to, compliance, quality, availability of production capacity, pricing and ability to meet changing production requirements.</w:t>
      </w:r>
    </w:p>
    <w:p>
      <w:pPr>
        <w:spacing w:after="0" w:line="19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To facilitate better service for our customers and accommodate the volume of manufacturing in the Far East, we also have a subsidiary in Hong Kong. Our Hong Kong subsidiary supports third party production of products on an agency fee basis and acts as an agent for substantially all of our production. Our China and Hong Kong offices monitor production at manufacturers’ facilities to ensure quality control, compliance with our specifications and timely delivery of finished garments to our distribution facilities and, in some cases, direct to our customers.</w:t>
      </w:r>
    </w:p>
    <w:p>
      <w:pPr>
        <w:spacing w:after="0" w:line="1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connection with the foreign manufacture of our products, manufacturers purchase raw materials including fabric, wool, leather and other submaterials (such as linings, zippers, buttons and trim) at our direction. Prior to commencing the manufacture of products, samples of raw materials or submaterials are sent to us for approval. We regularly inspect and supervise the manufacture of our products in order to ensure timely delivery, maintain quality control and monitor compliance with our manufacturing specifications. We also inspect finished products at the factory site.</w:t>
      </w:r>
    </w:p>
    <w:p>
      <w:pPr>
        <w:spacing w:after="0" w:line="1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casualty losses arising during shipping.</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is customary, we have not entered into any long-term contractual arrangements with any contractor or manufacturer. We sourced from one vendor in China 11.4% of our purchases in fiscal 2020, 14.4% of our purchases in fiscal 2019 and 14.7% of our purchases in fiscal 2018.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(principally ship, truck or air) based upon a customer’s needs, cost and timing considerations.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Code of Conduct</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are committed to ethical and responsible conduct in all of our operations and respect for the rights of all individuals. We strive to ensure that human rights are upheld for all workers involved in our supply chain, and that individuals experience safe, fair and non-discriminatory working conditions. In addition, we are committed to compliance with applicable environmental requirements and are committed to seeing that all of our products are manufactured and distributed in compliance with applicable environmental laws and regulations. We expect that our business partners will share these commitments, which we enforce through our Vendor Code of Conduct. Our Vendor Code of Conduct specifically requires our manufacturers to not use child, forced or involuntary labor and to comply with applicable environmental laws and regulations. We provide training and guidance to the factories our contractors use related to our Vendor Code of Conduct and the applicable laws in the country in which the factory is located. The training provides the factories with a more in-depth explanation of our Vendor Code of Conduct. In addition to the contractual obligation, we evaluate our suppliers' compliance with our Vendor Code of Conduct through audits conducted both by our employees and third-party compliance auditing firms.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Social Responsibility</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business has been built on family values and the belief that with hard work, conviction and a commitment to the greater good we could redefine what is possible. By maintaining a commitment to our principles of Engage our People, Protect our Environment and Invest in Our Communities, over the past year we have taken meaningful steps to ensure that our business continues to drive value for all of our stakeholders, while also making a positive impact on our communities and the world around us.</w:t>
      </w:r>
    </w:p>
    <w:p>
      <w:pPr>
        <w:spacing w:after="0" w:line="188" w:lineRule="exact"/>
        <w:rPr>
          <w:sz w:val="20"/>
          <w:szCs w:val="20"/>
          <w:color w:val="auto"/>
        </w:rPr>
      </w:pPr>
    </w:p>
    <w:p>
      <w:pPr>
        <w:jc w:val="both"/>
        <w:ind w:left="720" w:right="79" w:hanging="319"/>
        <w:spacing w:after="0" w:line="271"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Engage Our People </w:t>
      </w:r>
      <w:r>
        <w:rPr>
          <w:rFonts w:ascii="Arial" w:cs="Arial" w:eastAsia="Arial" w:hAnsi="Arial"/>
          <w:sz w:val="17"/>
          <w:szCs w:val="17"/>
          <w:color w:val="auto"/>
        </w:rPr>
        <w:t>- Our greatest asset is the more than 8,000 employees across the globe who come to work</w:t>
      </w:r>
      <w:r>
        <w:rPr>
          <w:rFonts w:ascii="Arial" w:cs="Arial" w:eastAsia="Arial" w:hAnsi="Arial"/>
          <w:sz w:val="17"/>
          <w:szCs w:val="17"/>
          <w:i w:val="1"/>
          <w:iCs w:val="1"/>
          <w:color w:val="auto"/>
        </w:rPr>
        <w:t xml:space="preserve"> </w:t>
      </w:r>
      <w:r>
        <w:rPr>
          <w:rFonts w:ascii="Arial" w:cs="Arial" w:eastAsia="Arial" w:hAnsi="Arial"/>
          <w:sz w:val="17"/>
          <w:szCs w:val="17"/>
          <w:color w:val="auto"/>
        </w:rPr>
        <w:t>every day with incredible dedication, drive, compassion and care. Our focus remains on further enhancing the working environment for our employees and taking steps to ensure that G-III remains a great company to work for. We recognize that insights and ideas from a diverse range of backgrounds will better position us for the future and a significant portion of the top 34 management positions are currently occupied by women. We continue to benchmark our programs and practices to our peer group and provide recommendations where appropriate. Finally, our commitment to Board diversity has not waivered, and we are actively exploring opportunities for new perspectives that can enhance our already strong Director group.</w:t>
      </w:r>
    </w:p>
    <w:p>
      <w:pPr>
        <w:spacing w:after="0" w:line="70"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As our sourcing and licensing footprints continue to expand, we have taken steps to foster sustainability throughout the organization. As we expand our supplier relationships beyond China, we are committed to scaling our social and factory compliance programs accordingly. We are also working to formalize and enhance our initiatives and laying the foundation for future programs. We lead multi-brand sustainability training sessions and pilot shared audit programs with our key business partners that are designed to allow us to reach more stakeholders with greater efficiency. We initiated a program to develop additional resources in the field by mentoring interns on sustainability matters.</w:t>
      </w:r>
    </w:p>
    <w:p>
      <w:pPr>
        <w:spacing w:after="0" w:line="87" w:lineRule="exact"/>
        <w:rPr>
          <w:sz w:val="20"/>
          <w:szCs w:val="20"/>
          <w:color w:val="auto"/>
        </w:rPr>
      </w:pPr>
    </w:p>
    <w:p>
      <w:pPr>
        <w:jc w:val="both"/>
        <w:ind w:left="720" w:right="79" w:hanging="319"/>
        <w:spacing w:after="0" w:line="272"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Protect Our Environment </w:t>
      </w:r>
      <w:r>
        <w:rPr>
          <w:rFonts w:ascii="Arial" w:cs="Arial" w:eastAsia="Arial" w:hAnsi="Arial"/>
          <w:sz w:val="17"/>
          <w:szCs w:val="17"/>
          <w:color w:val="auto"/>
        </w:rPr>
        <w:t>- Our efforts to reduce environmental impacts in fiscal 2020 spanned both immediate</w:t>
      </w:r>
      <w:r>
        <w:rPr>
          <w:rFonts w:ascii="Arial" w:cs="Arial" w:eastAsia="Arial" w:hAnsi="Arial"/>
          <w:sz w:val="17"/>
          <w:szCs w:val="17"/>
          <w:i w:val="1"/>
          <w:iCs w:val="1"/>
          <w:color w:val="auto"/>
        </w:rPr>
        <w:t xml:space="preserve"> </w:t>
      </w:r>
      <w:r>
        <w:rPr>
          <w:rFonts w:ascii="Arial" w:cs="Arial" w:eastAsia="Arial" w:hAnsi="Arial"/>
          <w:sz w:val="17"/>
          <w:szCs w:val="17"/>
          <w:color w:val="auto"/>
        </w:rPr>
        <w:t>and longer-term projects that we believe will lead to meaningful reductions in waste and energy usage. We implemented several projects, including installing LED lighting at our largest warehouse and as part of our New York office renovations, as well as conducting an office-wide energy assessment to better understand our footprint and incorporate solutions to cut our energy use. We provided reusable coffee mugs and water bottles to employees and started various recycling programs. This momentum also extends to our key divisions, where we are now piloting the use of lower impact materials in our products.</w:t>
      </w:r>
    </w:p>
    <w:p>
      <w:pPr>
        <w:spacing w:after="0" w:line="69" w:lineRule="exact"/>
        <w:rPr>
          <w:rFonts w:ascii="Arial" w:cs="Arial" w:eastAsia="Arial" w:hAnsi="Arial"/>
          <w:sz w:val="17"/>
          <w:szCs w:val="17"/>
          <w:color w:val="auto"/>
        </w:rPr>
      </w:pPr>
    </w:p>
    <w:p>
      <w:pPr>
        <w:jc w:val="both"/>
        <w:ind w:left="720" w:right="79" w:hanging="319"/>
        <w:spacing w:after="0" w:line="290"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Invest in Our Communities </w:t>
      </w:r>
      <w:r>
        <w:rPr>
          <w:rFonts w:ascii="Arial" w:cs="Arial" w:eastAsia="Arial" w:hAnsi="Arial"/>
          <w:sz w:val="16"/>
          <w:szCs w:val="16"/>
          <w:color w:val="auto"/>
        </w:rPr>
        <w:t>– Organization-wide, we continued our deep levels of support for the Ronald</w:t>
      </w:r>
      <w:r>
        <w:rPr>
          <w:rFonts w:ascii="Arial" w:cs="Arial" w:eastAsia="Arial" w:hAnsi="Arial"/>
          <w:sz w:val="16"/>
          <w:szCs w:val="16"/>
          <w:i w:val="1"/>
          <w:iCs w:val="1"/>
          <w:color w:val="auto"/>
        </w:rPr>
        <w:t xml:space="preserve"> </w:t>
      </w:r>
      <w:r>
        <w:rPr>
          <w:rFonts w:ascii="Arial" w:cs="Arial" w:eastAsia="Arial" w:hAnsi="Arial"/>
          <w:sz w:val="16"/>
          <w:szCs w:val="16"/>
          <w:color w:val="auto"/>
        </w:rPr>
        <w:t>McDonald House of New York, celebrated the 10th year of G-III and DKNY’s partnership with City Harvest, and also worked to mentor students at the Fashion Institute of Technology on business and sustainability insights. We worked with Women In Need (WIN) to provide back-to-school packed backpacks and holiday gifts. However, our commitment to community extends far beyond the reaches of New York with our support of WIN’s sponsorship of International Women’s Day, as well as supporting My Friend’s Place in their efforts to help homeless youth. G-III continued its strong financial backing for important organizations including the Hetrick-Martin Institute and DeliveringGood. For all of these examples, there are countless others of G-III employees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around the world taking time out of their schedules to volunteer with numerous other groups that are making a difference.</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committed to embedding these principles into our business and better engaging our employees and those who work in our contracted factories, protecting our environment and supporting our communities while accepting our responsibility to be a good corporate citizen.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Customs and Import Restrictions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arrangements with textile manufacturers and suppliers are subject to requisite customs clearances for products and the imposition of export duties. United States Customs duties on our products presently range from duty free to 37.5%, depending upon the composition, construction and country of origin. A substantial majority of our product is imported into the United States and, to a lesser extent, into Canada and Europe. Countries in which our products are sold may, from time to time, impose new duties, tariffs, surcharges or other import controls or restrictions or adjust prevailing duty or tariff levels, as well as quota restrictions. Any action by the executive branch of the United States government to increase tariffs on imported goods, such as the tariffs imposed on steel and aluminum and the imposition of tariffs on goods manufactured in China, could adversely affect our business. Under the provisions of the World Trade Organization (“WTO”) agreement governing international trade in textiles, known as the “WTO Agreement on Textiles and Clothing,” the United States and other WTO member countries have eliminated quotas on textiles and apparel-related products from WTO member countries. As a result, quota restrictions generally do not affect our business in most countries.</w:t>
      </w:r>
    </w:p>
    <w:p>
      <w:pPr>
        <w:spacing w:after="0" w:line="17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Apparel and other products sold by us are also subject to regulations that relate to product labeling, content and safety requirements, licensing requirements and flammability testing. We believe that we are in compliance with those regulations, as well as applicable federal, state, local, and foreign regulations relating to the discharge of materials hazardous to the environment.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purchase substantially all of the products manufactured for us on a finished goods basis. We coordinate the sourcing of raw materials used in the production of our products, which are generally available from numerous sources. The apparel industry competes with manufacturers of many other products for the supply of raw materials.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Marketing and Distribution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G-III’s products are sold primarily to department, specialty and mass merchant retail stores in the United States. We sell to approximately 1,800 customers, ranging from national and regional chains to small specialty stores. We also distribute our products through our retail stores and through our DKNY, Donna Karan, Wilsons Leather, G.H. Bass, Vilebrequin and Andrew Marc websites, the Karl Lagerfeld Paris website, and the websites of our retail partners such as Macy’s, Nordstrom, Amazon and Fanatics.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Sales to our ten largest customers accounted for 72.4% of our net sales in fiscal 2020, 69.7% of our net sales in fiscal 2019 and 63.2% of our net sales in fiscal 2018. Sales to Macy’s, which includes sales to its Macy’s and Bloomingdale’s store chains, as well as through macys.com, accounted for an aggregate of 26.3% of our net sales in fiscal 2020, 24.8% of our net sales in fiscal 2019 and 22.2% of our net sales in fiscal 2018. In addition, sales to TJX Companies accounted for an aggregate of 13.2% of our net sales in fiscal 2020 and 12.4% of our net sales in fiscal 2019. The loss of either of these customers or a significant reduction in purchases by our largest customers could have a material adverse effect on our results of operations.</w:t>
      </w:r>
    </w:p>
    <w:p>
      <w:pPr>
        <w:spacing w:after="0" w:line="19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 substantial majority of our sales are made in the United States. We also market our products in Canada, Central America, South America, Europe, the Middle East and the Far East, which, on a combined basis, accounted for approximately 12.2% of our net sales in fiscal 2020 and 13.7% of our net sales in fiscal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products are sold primarily through our direct sales force along with our principal executives who are also actively involved in the sale of our products. Some of our products are also sold by independent sales representatives located throughout the United States. The Canadian market is serviced by a sales and customer service team based both in the United States and in Canada. Vilebrequin products are sold through a direct sales force primarily located across Europe. Sales outside of the United States and Canada may be managed by our salespeople located in our sales offices in Europe or Asia depending on the customer.</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Brand name products sold by us pursuant to a license agreement are promoted by institutional and product advertisements placed by the licensor. Our license agreements generally require us to pay the licensor a fee, based on a percentage of net sales of licensed product, to pay for a portion of these advertising costs. We may also be required to spend a specified percentage of net sales of a licensed product on advertising placed by us.</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marketing and press efforts on behalf of the DKNY and Donna Karan brands are highly focused around communicating brand DNA and visual identity for the new evolution of DKNY and Donna Karan. We are re-building the brand image through high impact ad campaigns that feature socially relevant talent. We are striving to create noteworthy marketing initiatives, collaborations and image programs to build brand awareness and bring in a new young customer. Donna Karan and DKNY will continue to support global licensees with brand campaigns and product images to tell the brand story. We expect to invest in digital media and storytelling for brand amplification and to establish comprehensive commercial marketing tools that will support our global wholesale and retail channels.</w:t>
      </w:r>
    </w:p>
    <w:p>
      <w:pPr>
        <w:spacing w:after="0" w:line="83"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Vilebrequin’s marketing efforts have been based on continually offering new swimwear prints and expanding the range of its products to new categories such as women’s swimwear, ready-to-wear and accessories. Besides its traditional advertising networks (print and outdoor advertising), Vilebrequin is seeking to develop new marketing channels through the use of digital media, product placement and public relations. Through the growth of its network of stores, distributors and franchisees, Vilebrequin is seeking to reinforce its position in its traditional markets, such as the United States, Europe and the Middle East, and to develop new markets in Asia.</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believe we have developed awareness of our other owned labels primarily through our reputation, consumer acceptance and the fashion press. We primarily rely on our reputation and relationships to generate business in the private label portion of our wholesale operations segment. We believe we have developed a significant customer following and positive reputation in the industry as a result of, among other things, our standards of quality control, on-time delivery, competitive pricing and willingness and ability to assist customers in their merchandising of our products.</w:t>
      </w:r>
    </w:p>
    <w:p>
      <w:pPr>
        <w:spacing w:after="0" w:line="8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e-commerce sales of apparel continue to increase, we are developing initiatives to increase our digital presence through our own web sites and through the websites of our retail partners. We are working closely with our retail partners to provide consumers with a high quality viewing experience for our products. We are also working to increase our e-commerce sales through marketing, social influencers and other online drivers of sales.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Retail sales of apparel have traditionally been seasonal in nature. Historically, our wholesale business has been dependent on our sales during our third and fourth fiscal quarters. Net sales during the third and fourth quarters accounted for approximately 60% of our net sales in fiscal 2020, 61% of our net sales in fiscal 2019 and 62% of our net sales in fiscal 2018. We are highly dependent on our results of operations during the second half of our fiscal year. The second half of the year is expected to continue to provide a larger amount of our net sales and a substantial majority of our net income for the foreseeable future.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Order Book</w:t>
      </w:r>
    </w:p>
    <w:p>
      <w:pPr>
        <w:spacing w:after="0" w:line="14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 portion of our orders consists of short-term purchase orders from customers who place orders on an as-needed basis. Information relative to open purchase orders at any date may also be materially affected by, among other things, the timing of the initial showing of apparel to the trade, as well as by the timing of recording of orders and shipments. As a result, we do not believe that disclosure of the amount of our unfilled customer orders at any time is meaningful.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have numerous competitors with respect to the sale of our products, including brand owners, distributors that import products from abroad, and domestic retailers with established foreign manufacturing capabilities. Some of our competitors have greater financial, marketing and manufacturing resources than we do. Our retail business competes against a diverse group of retailers, including, among others, other outlet stores, department stores, specialty stores, warehouse clubs and e-commerce retailers. Sales of our products are affected by style, price, quality, brand reputation and general fashion trends.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own some of the trademarks used by us in connection with our wholesale operations segment, as well as almost all of the trademarks used in our retail operations segment. We act as licensee of certain trademarks owned by third parties that are used in connection with our business. The principal brands that we license are summarized under the heading “Wholesale Operations – Licensed Products” above. We also use the licensed Karl Lagerfeld Paris brand in our retail operations segment. We own a number of proprietary brands that we use in connection with our business and products including, among others, DKNY, Donna Karan, Vilebrequin, G.H. Bass, Andrew Marc, Marc New York, Eliza J, Jessica Howard and G-III Sports by Carl Banks. We have registered, or applied for registration of, many of our trademarks in multiple jurisdictions for use on a variety of apparel and related other products.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markets outside of the United States, our rights to some of our trademarks may not be clearly established. In the course of our attempt to expand into foreign markets, we may experience conflicts with various third parties who have acquired ownership rights in certain trademarks that would impede our use and registration of some of our trademarks. Such conflicts may arise from time to time as we pursue international expansion. Although we have not in the past suffered any material restraints or restrictions on doing business in desirable markets or in new product categories, we cannot be sure that significant impediments will not arise in the future as we expand product offerings and introduce additional brands to new markets.</w:t>
      </w:r>
    </w:p>
    <w:p>
      <w:pPr>
        <w:spacing w:after="0" w:line="19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regard our trademarks and other proprietary rights as valuable assets and believe that they have value in the marketing of our products. We vigorously protect our trademarks and other intellectual property rights against infringement.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January 31, 2020, we employed approximately 4,000 employees on a full-time basis and approximately 2,400 employees on a part-time basis. During our peak retail selling season from October through January, we employed approximately 1,700 additional seasonal associates in our retail stores. We employ both union and non-union personnel and believe that our relations with our employees are good. We have not experienced any interruption of our operations due to a labor disagreement with our employees.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G-III is a party to an agreement with a labor union. As of January 31, 2020, this agreement covers approximately 420 of our full-time employees, most of whom work in our warehouses located in New Jersey, and is currently in effect through November 15, 2020. As successor to the Donna Karan Company LLC (“DKC”), G-III is also subject to DKC’s agreement with the same union. The DKC agreement covers approximately 40 full time employees, most of whom work in its warehouse in New Jersey. This agreement is currently in effect through October 31, 2020.</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successor to DKC, G-III is also subject to DKC’s agreement with another labor union. As of January 31, 2020, this agreement covers approximately 3 of our full-time employees, who work as tailors and sample makers in our New York offices. The agreement is currently in effect through May 31,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certain information with respect to our executive officers.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4640" w:type="dxa"/>
            <w:vAlign w:val="bottom"/>
            <w:gridSpan w:val="2"/>
          </w:tcPr>
          <w:p>
            <w:pPr>
              <w:ind w:left="12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Morris Goldfarb</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Chairman of the Board, Chief Executive Officer and Director</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Sammy Aaron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640" w:type="dxa"/>
            <w:vAlign w:val="bottom"/>
            <w:gridSpan w:val="2"/>
          </w:tcPr>
          <w:p>
            <w:pPr>
              <w:ind w:left="120"/>
              <w:spacing w:after="0"/>
              <w:rPr>
                <w:sz w:val="20"/>
                <w:szCs w:val="20"/>
                <w:color w:val="auto"/>
              </w:rPr>
            </w:pPr>
            <w:r>
              <w:rPr>
                <w:rFonts w:ascii="Arial" w:cs="Arial" w:eastAsia="Arial" w:hAnsi="Arial"/>
                <w:sz w:val="18"/>
                <w:szCs w:val="18"/>
                <w:color w:val="auto"/>
              </w:rPr>
              <w:t>Vice Chairman, President and Director</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S. Miller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4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Operating Officer and Secretary</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Neal S. Nackman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6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Goldfarb</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4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i w:val="1"/>
          <w:iCs w:val="1"/>
          <w:color w:val="auto"/>
        </w:rPr>
        <w:t xml:space="preserve">Morris Goldfarb </w:t>
      </w:r>
      <w:r>
        <w:rPr>
          <w:rFonts w:ascii="Arial" w:cs="Arial" w:eastAsia="Arial" w:hAnsi="Arial"/>
          <w:sz w:val="18"/>
          <w:szCs w:val="18"/>
          <w:color w:val="auto"/>
        </w:rPr>
        <w:t>is our Chairman of the Board and Chief Executive Officer, as well as one of our directors. Mr. Goldfarb</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an executive officer of G-III and our predecessors since our formation in 1974.</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Sammy Aaron </w:t>
      </w:r>
      <w:r>
        <w:rPr>
          <w:rFonts w:ascii="Arial" w:cs="Arial" w:eastAsia="Arial" w:hAnsi="Arial"/>
          <w:sz w:val="18"/>
          <w:szCs w:val="18"/>
          <w:color w:val="auto"/>
        </w:rPr>
        <w:t>is our Vice Chairman and President, as well as one of our directors. He has served as an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we acquired the Marvin Richards business in July 2005. Mr. Aaron is also the Chief Executive Officer of our Calvin Klein divisions.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Wayne S. Miller </w:t>
      </w:r>
      <w:r>
        <w:rPr>
          <w:rFonts w:ascii="Arial" w:cs="Arial" w:eastAsia="Arial" w:hAnsi="Arial"/>
          <w:sz w:val="18"/>
          <w:szCs w:val="18"/>
          <w:color w:val="auto"/>
        </w:rPr>
        <w:t>has been our Chief Operating Officer since December 2003 and our Secretary since November 1998. He</w:t>
      </w:r>
      <w:r>
        <w:rPr>
          <w:rFonts w:ascii="Arial" w:cs="Arial" w:eastAsia="Arial" w:hAnsi="Arial"/>
          <w:sz w:val="18"/>
          <w:szCs w:val="18"/>
          <w:i w:val="1"/>
          <w:iCs w:val="1"/>
          <w:color w:val="auto"/>
        </w:rPr>
        <w:t xml:space="preserve"> </w:t>
      </w:r>
      <w:r>
        <w:rPr>
          <w:rFonts w:ascii="Arial" w:cs="Arial" w:eastAsia="Arial" w:hAnsi="Arial"/>
          <w:sz w:val="18"/>
          <w:szCs w:val="18"/>
          <w:color w:val="auto"/>
        </w:rPr>
        <w:t>also served as our Chief Financial Officer from April 1998 until September 2005 and as our Treasurer from November 1998 until April 2006.</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Neal S. Nackman </w:t>
      </w:r>
      <w:r>
        <w:rPr>
          <w:rFonts w:ascii="Arial" w:cs="Arial" w:eastAsia="Arial" w:hAnsi="Arial"/>
          <w:sz w:val="16"/>
          <w:szCs w:val="16"/>
          <w:color w:val="auto"/>
        </w:rPr>
        <w:t>has been our Chief Financial Officer since September 2005 and was elected Treasurer in April 2006.</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Mr. Nackman served as Vice President — Finance from December 2003 until April 2006.</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Jeffrey Goldfarb </w:t>
      </w:r>
      <w:r>
        <w:rPr>
          <w:rFonts w:ascii="Arial" w:cs="Arial" w:eastAsia="Arial" w:hAnsi="Arial"/>
          <w:sz w:val="18"/>
          <w:szCs w:val="18"/>
          <w:color w:val="auto"/>
        </w:rPr>
        <w:t>has been our Executive Vice President and Director of Strategic Planning since June 2016, and serves as</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directors. He has been employed by G-III in a number of other capacities since 2002. Prior to becoming Executive Vice President, he served as our Director of Business Development for more than five years. Jeffrey Goldfarb is the son of Morris Goldfarb.</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recent coronavirus outbreak is having a material adverse effect on our business.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coronavirus outbreak is having a material adverse impact on our business, operating results and financial condition. The coronavirus outbreak has impacted our worldwide sourcing operations in China and elsewhere. There is hardly anywhere in the world that is not being impacted by the effects of coronavirus. Travel within and between many countries has been restricted. The length of these travel restrictions is not certain at this time. Travel restrictions may impact our suppliers’ ability to obtain necessary materials and inhibit travel by our employees and our suppliers’ employees. As a result of any travel restrictions, potential factory closures, inability to obtain materials, disruptions in the supply chain and potential disruption of transportation of goods produced for us in China and other countries adversely impacted by the coronavirus outbreak, or threat or perceived threat of such outbreak, we may be unable to obtain adequate inventory from these regions, which could adversely affect our business, results of operations and financial condition. Potential financial impacts associated with the outbreak include, but are not limited to, lower net sales in markets affected by the outbreak, the delay of inventory production and fulfillment, potentially impacting net sales, and potential incremental costs associated with mitigating the effects of the outbreak. As our suppliers open their factories for production, we will need to balance the production orders given to these factories against the demand for our products in the United States.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Restrictions on travel and group gatherings, the closing of restaurants, sports leagues and all forms of communal entertainment and the fear of contracting coronavirus has materially adversely affected store traffic and retail sales. In addition, many retail store chains and shopping malls have announced closures for periods of time. The restrictions imposed as a result of the coronavirus outbreak and the closing of retail stores in connection with the outbreak are causing a significant adverse effect on the economy in the United States and around the world. If the retail economy continues to weaken and/or consumers reduce purchases in the near or long-term as a result of the negative effects of the coronavirus on the U.S. and worldwide economies due to the coronavirus outbreak, retailers may need to further reduce or limit store operations, close additional stores and be more cautious with orders. A slowing or changing economy as a result of the coronavirus outbreak and the governmental restrictions imposed in the United States and around the world as a result thereof would adversely affect the financial health of our retail, distributor and joint venture partners, which in turn could have an adverse effect on our business, results of operations and financial condition.</w:t>
      </w:r>
    </w:p>
    <w:p>
      <w:pPr>
        <w:spacing w:after="0" w:line="9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coronavirus outbreak is ongoing, and its dynamic nature, including uncertainties relating to the ultimate geographic spread of the virus, the severity of the disease, the duration of the outbreak, and the restrictive actions that are being taken by governmental authorities in the United States and around the world to contain the outbreak or to treat its impact makes it difficult to forecast its effects on our fiscal 2021 results. While it is difficult at this time to predict the magnitude of the effect of the coronavirus outbreak, we expect our results for fiscal 2021 to be materially adversely affected compared to fiscal 2020 as a result of the impact of the coronavirus outbreak.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Relating to Our Wholesale Operations</w:t>
      </w:r>
    </w:p>
    <w:p>
      <w:pPr>
        <w:spacing w:after="0" w:line="229"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The failure to maintain our license agreements could cause us to lose significant revenues and have a material adverse effect on our results of operations.</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dependent on sales of licensed products for a substantial portion of our revenues. In fiscal 2020, net sales of licensed product accounted for 59.4% of our net sales compared to 57.4% of our net sales in fiscal 2019 and 58.6% of our net sales in fiscal 2018.</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are generally required to achieve specified minimum net sales, make specified royalty and advertising payments and receive prior approval of the licensor as to all design and other elements of a product prior to production. License agreements also may restrict our ability to enter into other license agreements for competing products or acquire businesses that produce competing products without the consent of the licensor. If we do not satisfy any of these requirements or receive approval with respect to a restricted transaction, a licensor usually will have the right to terminate our license. Even if a licensor does not terminate our license, the failure to achieve net sales sufficient to cover our required minimum royalty payments could have a material adverse effect on our results of operations. If a license contains a renewal provision, there are usually minimum net sales and other conditions that must be met in order to be able to renew a license. Even if we comply with all the terms of a license agreement, we cannot be sure that we will be able to renew an agreement when it expires even if we desire to do so. The failure to maintain or renew our license agreements could cause us to lose significant revenue and have a material adverse effect on our results of operations.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is dependent on the strategies and reputation of our licensors.</w:t>
      </w:r>
    </w:p>
    <w:p>
      <w:pPr>
        <w:spacing w:after="0" w:line="14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strive to offer our products on a multiple brand, multiple channel and multiple price point basis. As a part of this strategy, we license the names and brands of numerous recognized companies and designers. In entering into these license agreements, we plan our products to be targeted towards different market segments based on consumer demographics, design, suggested pricing and channel of distribution.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 sales and profitability. In addition, as licensed products may be personally associated with designers, our sales of those products could be materially and adversely affected if any of those individuals’ images, reputations or popularity were to be negatively impacted.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adverse change in our relationship with PVH and its Calvin Klein or Tommy Hilfiger brands would have a material adverse effect on our results of operations.</w:t>
      </w:r>
    </w:p>
    <w:p>
      <w:pPr>
        <w:spacing w:after="0" w:line="8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have ten different license agreements relating to a variety of products sold under the Calvin Klein brand that is owned by PVH. We have three different license agreements for products sold under the Tommy Hilfiger brand, which is also owned by PVH. Net sales of these two brands owned by PVH constituted approximately 50% of our net sales in fiscal 2020 and approximately 46% of our net sales in fiscal 2019. Any adverse change in our relationship with PVH, or in the reputation of Calvin Klein or Tommy Hilfiger, would have a material adverse effect on our results of operations.</w:t>
      </w:r>
    </w:p>
    <w:p>
      <w:pPr>
        <w:spacing w:after="0" w:line="80"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Our business and the success of our products could be harmed if we are unable to maintain or enhance the images of our proprietary brands.</w:t>
      </w:r>
    </w:p>
    <w:p>
      <w:pPr>
        <w:spacing w:after="0" w:line="8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growth of our proprietary brands, their favorable images and our customers’ connection to our brands has contributed to our success. The ownership of the DKNY and Donna Karan brands expanded our portfolio of proprietary brands that also includes G.H. Bass, Vilebrequin and Andrew Marc, among others. In addition, brand value is based in part on consumer perceptions of a variety of qualities, including merchandise quality and corporate integrity. Negative claims or publicity regarding G-III, our brands or our products could adversely affect our reputation and sales regardless of whether such claims are accurate. Social media, which accelerates the dissemination of information, can increase the challenges of responding to negative claims. Social media influencers or other endorsers of our products could engage in behavior that reflects poorly on our brands and may be attributed to us or otherwise adversely affect us. Any harm to our brands or reputation could adversely affect our business, results of operations or financial condition.</w:t>
      </w:r>
    </w:p>
    <w:p>
      <w:pPr>
        <w:spacing w:after="0" w:line="85"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03"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spacing w:after="0" w:line="164"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b w:val="1"/>
          <w:bCs w:val="1"/>
          <w:i w:val="1"/>
          <w:iCs w:val="1"/>
          <w:color w:val="auto"/>
        </w:rPr>
        <w:t>We have significant customer concentration, and the loss of one of our large customers could adversely affect our business.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ten largest customers, all of which are department or discount store groups, accounted for approximately 72.4% of our net sales in fiscal 2020, 69.7% of our net sales in fiscal 2019 and 63.2% of our net sales in fiscal 2018, with the Macy’s Inc. group accounting for approximately 26.3% of our net sales in fiscal 2020, 24.8% of our net sales in fiscal 2019 and 22.2% of our net sales in fiscal 2018. In addition, TJX Companies accounted for approximately 13.2% of our net sales in fiscal 2020, and 12.4% of our net sales in fiscal 2019. We expect that these customers will continue to provide a significant percentage of our sales as they are important customers of our products. Macy’s recently announced that it intends to close approximately 125 stores over the next three years. According to Macy’s these closures represent approximately 25% of its locations and approximately 6% of its annual revenues. Reductions in store count by Macy’s or other large retailers could adversely affect our sales.</w:t>
      </w:r>
    </w:p>
    <w:p>
      <w:pPr>
        <w:spacing w:after="0" w:line="18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the reduction in stores operated by a large customer or the bankruptcy or serious financial difficulty of any of our large customers,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If we miscalculate the market for our products, we may end up with significant excess inventories for some products and missed opportunities for others.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often produce products to hold in inventory in order to meet our customers’ delivery requirements and to be able to quickly fulfill reorders. If we misjudge the market for our products, we may be faced with significant excess inventories for some products and missed opportunities for others. In addition, weak sales and resulting markdown requests from customers could have a material adverse effect on our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Retail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retail operations segment may continue to incur losses if the restructuring of our retail operations that we plan to implement does not significantly improve our results of operations.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retail operations segment reported an operating loss of $74.6 million in fiscal 2020, $49.0 million in fiscal 2019 and $48.9 million in fiscal 2018. This segment may continue to report operating losses for at least the next two to three years. We reviewed our retail operations and have determined to significantly reduce the number of stores we operate. We are working diligently with our landlords and outside advisors with a view to closing a significant number of stores in order to reshape and right-size our retail operations. We expect to reduce corporate headcount, reduce administrative costs by leveraging functions such as IT, human resources and finance through the use of parent company personnel and reduce the impact of the cost of the warehouse used to support retail operations by also using that warehouse to support our wholesale businesses. We need to successfully implement this strategy in order to significantly reduce the losses in our retail operations with the goal of attaining profitability in our retail operations segment. If we are not successful in implementing and managing our plans with respect to restructuring and operating our retail business, we may not be able to achieve operating enhancements, sales growth and/or cost reductions, which could adversely impact our business, results of operations and financial condition. Even if we are able to restructure our retail operations segment, the long-term effects of the coronavirus outbreak may prevent us from achieving improved results of operations in our retail operations segment.</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efforts to reshape and right-size our retail operations and to improve the results in our retail operations segment may not be successful.</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may not be able to implement the restructuring of our retail operations segment, including a significant reduction in the number of stores we operate, in the timeframe, on the terms or in the manner we expect. Any of the foregoing could also result in increased costs to us. This could adversely impact our business, operating results, financial position and cash flows.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addition, our attempt to reshape and right-size our retail operations involves numerous risks including, but not limited to:</w:t>
      </w:r>
    </w:p>
    <w:p>
      <w:pPr>
        <w:spacing w:after="0" w:line="154"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retain qualified personnel necessary for the orderly closing of retail stores;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attrition beyond any planned reduction in workforce and/or a decrease in employee morale;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than anticipated write-offs of assets or lease termination, store closing and severance costs;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the operations of the rest of our businesses and diversion of management’s attention away from our other businesses and operations;</w:t>
      </w: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unknown, contingent or other liabilities, including litigation arising in connection with changes made to our retail operations;</w:t>
      </w: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negative impact on our business relationships or reputation including, but not limited to, potential relationships with customers, suppliers, vendors, lessors, licensors, licensees and employees; and</w:t>
      </w: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unintended negative consequences from changes to our business.</w:t>
      </w:r>
    </w:p>
    <w:p>
      <w:pPr>
        <w:spacing w:after="0" w:line="211"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If any of these or other factors impair our ability to successfully restructure our retail operations, we may not be able to realize other business opportunities as we may be required to spend additional time and incur additional expenses relating to our retail operations segment that otherwise would be used on the development and expansion of our other businesses, which could adversely impact our business, operating results, financial position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b w:val="1"/>
          <w:bCs w:val="1"/>
          <w:i w:val="1"/>
          <w:iCs w:val="1"/>
          <w:color w:val="auto"/>
        </w:rPr>
        <w:t>We have recorded asset impairments in the past and may be required in the future to record impairments of fixed assets or right-of-use assets or incur other charges relating to our company-operated retail stores.</w:t>
      </w:r>
    </w:p>
    <w:p>
      <w:pPr>
        <w:spacing w:after="0" w:line="7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Impairment testing of our assets related to the operation of our retail stores requires us to make estimates about our future performance and cash flows that are inherently uncertain. These estimates can be affected by numerous factors, including changes in economic conditions, our results of operations, and competitive conditions in the industry. Due to the fixed-cost structure associated with our retail operations, negative cash flows or the closure of a store could result in an impairment of leasehold improvements, operating lease assets, right-of-use assets or other long-lived assets, write-downs of inventory, severance costs, lease termination costs or the loss of working capital, which could adversely impact our business and financial results. We recorded impairments related to our retail operations of $19.8 million, net of gain on lease terminations, in fiscal 2020, $2.8 million in fiscal 2019 and $6.5 million in fiscal 2018. We may be required to record additional impairments or other charges relating to restructuring our retail operations. The recording of additional impairments or other charges in the future may have a material adverse impact on our business, financial condition and/or future results.</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Leasing of significant amounts of real estate exposes us to possible liabilities and losses.</w:t>
      </w:r>
    </w:p>
    <w:p>
      <w:pPr>
        <w:spacing w:after="0" w:line="15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All of the stores operated by us are leased. Accordingly, we are subject to all of the risks associated with leasing real estate.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w:t>
      </w:r>
    </w:p>
    <w:p>
      <w:pPr>
        <w:spacing w:after="0" w:line="98"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Our retail stores are heavily dependent on the ability and desire of consumers to travel and shop. A reduction in the volume of outlet mall traffic could adversely affect our retail sales.</w:t>
      </w:r>
    </w:p>
    <w:p>
      <w:pPr>
        <w:spacing w:after="0" w:line="103"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Substantially all of the stores in our retail operations segment are operated as outlet stores and located in larger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spacing w:after="0" w:line="55"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location of the outlet mall or the location of a particular store within the mall;</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other tenants occupying space at the outlet mall;</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in areas where the outlet malls are located;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downturn in the economy generally or in a particular area where an outlet mall is located;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shift to online shopping;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downturn in foreign shoppers in the United States;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advertising and promotional dollars spent on attracting consumers to outlet malls.</w:t>
      </w:r>
    </w:p>
    <w:p>
      <w:pPr>
        <w:spacing w:after="0" w:line="8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Sales at our outlet stores are derived, in part, from the volume of traffic at the malls where our stores are located. In fiscal 2020, our outlet stores continued to experience a reduction in consumer traffic, which adversely affected the results of our retail operations segment. Beginning in fiscal 2021, traffic at all retail stores has been significantly adversely affected by the coronavirus outbreak. In addition, more recently, many stores and shopping malls have announced closures or been required to close for certain periods of time to assist in containing the outbreak. We cannot predict how long this outbreak will affect store closures or purchases by consumers at retail stores nor how large an effect this outbreak will have on retail sales volume.</w:t>
      </w:r>
    </w:p>
    <w:p>
      <w:pPr>
        <w:spacing w:after="0" w:line="12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outlet stores benefit from the ability of a mall’s other tenants and other area attractions to generate consumer traffic in the vicinity of our stores and the continuing popularity of outlet malls as shopping destinations. Changes in areas around our existing retail locations, including the type and nature of the other retailers located near our stores, that result in reductions in customer foot traffic or otherwise render the locations unsuitable could cause our sales to be less than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expected. A reduction in outlet mall traffic as a result of these or other factors could materially adversely affect our business.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successfully operate retail stores depends on many factors.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ability to successfully operate our retail stores depends on many factors, including, among others, our ability to:</w:t>
      </w:r>
    </w:p>
    <w:p>
      <w:pPr>
        <w:spacing w:after="0" w:line="142"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rent and tenant improvement allowances;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brand awareness, affinity and purchase intent in our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increased sales and gross margins at our stores;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train and retain store associates and field management;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assimilate store associates and field management into our corporate culture;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and supply sufficient inventory levels.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The retail business is intensely competitive and increased or new competition could have a material adverse effect on us.</w:t>
      </w:r>
    </w:p>
    <w:p>
      <w:pPr>
        <w:spacing w:after="0" w:line="16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retail industry is intensely competitive. We compete against a diverse group of retailers, including, among others, other outlet stores, department stores, specialty stores, warehouse clubs and e-commerce retailers. We also compete in particular markets with a number of retailers that specialize in the products that we sell. A number of different competitive factors could have a material adverse effect on our retail business, results of operations and financial condition including:</w:t>
      </w:r>
    </w:p>
    <w:p>
      <w:pPr>
        <w:spacing w:after="0" w:line="36"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pricing strategies, including deep discount pricing by a broad range of retailers during periods of poor consumer confidence or economic instability;</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product offerings by existing competitors;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entry by new competitors into markets in which we operate retail stores;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adoption by existing competitors of innovative retail sales methods; and</w:t>
      </w:r>
    </w:p>
    <w:p>
      <w:pPr>
        <w:spacing w:after="0" w:line="9" w:lineRule="exact"/>
        <w:rPr>
          <w:rFonts w:ascii="Arial" w:cs="Arial" w:eastAsia="Arial" w:hAnsi="Arial"/>
          <w:sz w:val="18"/>
          <w:szCs w:val="18"/>
          <w:color w:val="auto"/>
        </w:rPr>
      </w:pPr>
    </w:p>
    <w:p>
      <w:pPr>
        <w:ind w:left="720" w:right="439" w:hanging="319"/>
        <w:spacing w:after="0" w:line="26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consumer preference for online apparel purchases and innovations by e-commerce retailers such as Amazon.</w:t>
      </w:r>
    </w:p>
    <w:p>
      <w:pPr>
        <w:spacing w:after="0" w:line="3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may not be able to continue to compete successfully with our existing or new competitors, or be assured that prolonged periods of deep discount pricing by our competitors will not have a material adverse effect on our business.</w:t>
      </w:r>
    </w:p>
    <w:p>
      <w:pPr>
        <w:spacing w:after="0" w:line="14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Our e-commerce business faces distinct risks, and our failure to successfully manage it could have a negative impact on our profitability.</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are investing in our e-commerce business and seeking to increase the amount of business derived from our e-commerce operations. The successful operation and expansion of our e-commerce business, as well as our ability to provide a positive shopping experience that will generate orders and drive subsequent visits, depends on operating an appealing digital platform and providing an efficient and uninterrupted operation of our order-taking and fulfillment operations. Risks associated with our e-commerce business include:</w:t>
      </w:r>
    </w:p>
    <w:p>
      <w:pPr>
        <w:spacing w:after="0" w:line="39" w:lineRule="exact"/>
        <w:rPr>
          <w:sz w:val="20"/>
          <w:szCs w:val="20"/>
          <w:color w:val="auto"/>
        </w:rPr>
      </w:pPr>
    </w:p>
    <w:p>
      <w:pPr>
        <w:jc w:val="both"/>
        <w:ind w:left="720" w:right="79" w:hanging="319"/>
        <w:spacing w:after="0" w:line="271"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failure of the computer systems, including those of third-party vendors, that operate our e-commerce sites including, among others, inadequate system capacity, computer viruses, human error, changes in programming, security breaches, system upgrades or migration of these services to new systems;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the Internet or telecom service or power outages;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merchandise to our customers on-time and without damage;</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to deliver products to customers on-time or to satisfy customers’ expectations;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issues;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liability for online content;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and consumer privacy concerns and regulation.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Problems in any of these areas could result in a reduction in sales, increased costs and damage to our reputation and brands, which could adversely affect our business and results of operations.</w:t>
      </w:r>
    </w:p>
    <w:p>
      <w:pPr>
        <w:spacing w:after="0" w:line="170"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Laws on privacy continue to evolve and further limits on how we collect or use customer information could adversely affect our business.</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collect and store customer information primarily for marketing purposes and to improve the services we provide. The use or retention of certain customer information is subject to applicable privacy laws. These laws and the judicial interpretation of such laws are evolving on a frequent basis. If we fail to comply with these laws, we may be subject to fines or penalties, which could impact our business, financial condition and results of operations. Any limitations imposed on the use of such customer information by federal, state or local governments, could have an adverse effect on our future marketing activities. Governmental focus on data security and/or privacy may lead to additional legislation or regulations. As a result, we may have to modify our business with the goal of further improving data security, which would result in increased expenses and operating complexity. To the extent our or our business partners’ security procedures and protection of customer information prove to be insufficient or inadequate, we may become subject to litigation or other claims, which could expose us to liability and cause damage to our reputation, brand and results of operations.</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subject to rules relating to the processing of credit card payments. Failure to comply with these rules could result in an ability to process payments which would adversely affect our retail business.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Because we process and transmit payment card information, we are subject to the Payment Card Industry (“PCI”) Data Security Standard (the “Standard”), and card brand operating rules (“Card Rules”). The Standard is a comprehensive set of requirements for enhancing payment account data security that was developed by the PCI Security Standards Council to help facilitate the broad adoption of consistent data security measures. We are required by Card Rules to comply with the Standard, and our failure to do so may result in fines or restrictions on our ability to accept payment cards. Under certain circumstances specified in Card Rules, we may be required to submit to periodic audits, self-assessments or other assessments of our compliance with the Standard. Such activities may reveal that we have failed to comply with the Standard. If an audit, self-assessment or other test determines that we need to take steps to remediate any deficiencies, such remediation efforts may distract the management team of our retail business and require it to undertake costly and time-consuming remediation efforts. In addition, even if we comply with the Standard, there is no assurance that we will be protected from a security breach. Further, changes in technology and processing procedures may result in changes to the Card Rules. Such changes may require us to make significant investments in operating systems and technology that may impact our business. Failure to keep up with changes in technology could result in the loss of business. Failure to comply with the Standard or Card Rules could result in losing certification under the PCI standards and an inability to process payments.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Relating to the Operation of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If we lose the services of our key personnel, or are unable to attract key personnel, our business will be harmed.</w:t>
      </w:r>
    </w:p>
    <w:p>
      <w:pPr>
        <w:spacing w:after="0" w:line="24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81" w:lineRule="auto"/>
        <w:rPr>
          <w:sz w:val="20"/>
          <w:szCs w:val="20"/>
          <w:color w:val="auto"/>
        </w:rPr>
      </w:pPr>
      <w:r>
        <w:rPr>
          <w:rFonts w:ascii="Arial" w:cs="Arial" w:eastAsia="Arial" w:hAnsi="Arial"/>
          <w:sz w:val="15"/>
          <w:szCs w:val="15"/>
          <w:b w:val="1"/>
          <w:bCs w:val="1"/>
          <w:i w:val="1"/>
          <w:iCs w:val="1"/>
          <w:color w:val="auto"/>
        </w:rPr>
        <w:t>We have expanded our business through acquisitions that could result in diversion of resources, an inability to integrate acquired operations and extra expenses. This could disrupt our business and adversely affect our financial condition.</w:t>
      </w:r>
    </w:p>
    <w:p>
      <w:pPr>
        <w:spacing w:after="0" w:line="33"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Part of our growth strategy is to pursue acquisitions. The negotiation of potential acquisitions as well as the integration of acquired businesses could divert our management’s time and resources. Acquired businesses may not be successfully integrated with our operations. We may not realize the intended benefits of an acquisition. We also might not be successful in identifying or negotiating suitable acquisitions, which could negatively impact our growth strategy.</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Acquisitions could also result in:</w:t>
      </w:r>
    </w:p>
    <w:p>
      <w:pPr>
        <w:spacing w:after="0" w:line="50"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dilutive issuances of equity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incurrence of debt and contingent liabilities;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our profit margins;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of intangibles and potential impairment of goodwill;</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 of management attention to other parts of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generate expected financial results or reach business goals;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expenditures on human resources and related costs.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If acquisitions disrupt our operations, our business may suffer.</w:t>
      </w:r>
    </w:p>
    <w:p>
      <w:pPr>
        <w:spacing w:after="0" w:line="14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conduct certain of our operations through joint ventures. Joint ventures could fail to meet our expectations or cease to deliver anticipated benefits. There could also be disagreements with our joint venture partners that could adversely affect our interest a joint venture.</w:t>
      </w:r>
    </w:p>
    <w:p>
      <w:pPr>
        <w:spacing w:after="0" w:line="103"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own 49% in each of two joint ventures, one that holds a license to the Karl Lagerfeld Paris brand in the United States, Mexico and Canada and one that licenses the use of the DKNY and Donna Karan brands in China. We may enter into additional joint ventures in the future. Joint ventures involve numerous risks, and could fail to meet our initial or ongoing expectations. The anticipated synergies or other benefits of a joint venture may fail to materialize due to changing business conditions or changes in our business priorities or those of our joint venture partners. Our joint venture partners, as well as any future partners, may have interests that are different from our interests that may result in conflicting views as to the conduct of the business or future direction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incurred a significant amount of debt, which could adversely affect us.</w:t>
      </w:r>
    </w:p>
    <w:p>
      <w:pPr>
        <w:spacing w:after="0" w:line="14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Our indebtedness significantly increased as a result of the acquisition of DKI. We are a party to a $650 million senior secured asset-based revolving credit facility, which replaced our previous $450 million facility, and a $300 million senior secured term loan facility (“Term Facility”) (collectively, the “Bank Debt”). In addition to the indebtedness under the Bank Debt, we also incurred $125 million of debt pursuant to a junior lien secured note in favor of LVMH Moet Hennessy Louis Vuitton Inc. (“LVMH”). The increase in the amount of our outstanding debt could adversely affect us by decreasing our business flexibility and increasing our borrowing costs. The Bank Debt contains certain restrictive covenants imposing operating and financial restrictions on us. These covenants restrict our ability and the ability of certain of our subsidiaries, among other things, to: incur or guarantee indebtedness; incur liens; pay dividends or repurchase stock; enter into transactions with affiliates; consummate asset sales, acquisitions or mergers; prepay certain other indebtedness; or make investments. The revolving credit facility also requires us to comply with certain financial covenants.</w:t>
      </w:r>
    </w:p>
    <w:p>
      <w:pPr>
        <w:spacing w:after="0" w:line="16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operating restrictions and financial covenants in the Bank Debt may limit our ability to finance future operations, capital needs or acquisitions or to engage in other business activities. Our ability to comply with financial covenants could be materially affected by events beyond our control, and there can be no assurance that we will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favorable terms, or at all.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an event of default occurs, the lenders under the Bank Debt, as well as the holder of the LVMH note, may declare all outstanding borrowings, together with accrued interest and other fees, to be immediately due and payable and exercise remedies in respect of the collateral. We may not be able to repay all amounts due under the Bank Debt or LVMH note in the event these amounts are declared due upon an event of default.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debt level and related debt service obligations could have negative consequences, including:</w:t>
      </w:r>
    </w:p>
    <w:p>
      <w:pPr>
        <w:spacing w:after="0" w:line="225" w:lineRule="exact"/>
        <w:rPr>
          <w:sz w:val="20"/>
          <w:szCs w:val="20"/>
          <w:color w:val="auto"/>
        </w:rPr>
      </w:pPr>
    </w:p>
    <w:p>
      <w:pPr>
        <w:ind w:left="720" w:right="539" w:hanging="319"/>
        <w:spacing w:after="0" w:line="291"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requiring us to dedicate significant cash flow from operations to the payment of principal, interest and other amounts payable on our debt, which would reduce the funds we have available for other purposes;</w:t>
      </w:r>
    </w:p>
    <w:p>
      <w:pPr>
        <w:ind w:left="720" w:right="239" w:hanging="319"/>
        <w:spacing w:after="0" w:line="265"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making it more difficult or expensive for us to obtain any necessary future financing for working capital, capital expenditures, debt service requirements, debt refinancing, acquisitions or other purposes;</w:t>
      </w: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industry or market conditions;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making us more vulnerable in the event of a downturn in our business operations or in the economy; and</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exposing us to interest rate risk given that a substantial portion of our debt obligations is at variable interest rates.</w:t>
      </w:r>
    </w:p>
    <w:p>
      <w:pPr>
        <w:spacing w:after="0" w:line="234"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b w:val="1"/>
          <w:bCs w:val="1"/>
          <w:i w:val="1"/>
          <w:iCs w:val="1"/>
          <w:color w:val="auto"/>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our existing credit facility.</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historical sources of liquidity to fund ongoing cash requirements include cash flows from operations, cash and cash equivalents, borrowings through our revolving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 of credit; our ability to execute our strategy; the level of our cash flows, which will be impacted by retailer and consumer acceptance of our products and the level of consumer discretionary spending; maintenance of financial covenants included in our revolving credit facility, interest rate fluctuations and the adverse impact of the coronavirus outbreak on the U.S. and world-wide economies and on our business. Interest rates increased in fiscal 2018 and 2019, but decreased in fiscal 2020. We cannot predict the future level of interest rates or the effect of any increase in interest rates on the availability or aggregate cost of our borrowings. We cannot be certain that any additional required financing, whether debt or equity, will be available in amounts needed or on terms acceptable to us, if at all.</w:t>
      </w:r>
    </w:p>
    <w:p>
      <w:pPr>
        <w:spacing w:after="0" w:line="17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of January 31, 2020, we were in compliance with the financial covenants in our revolving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including as a result of the coronavirus outbreak,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need additional financing to continue to grow.</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incurred significant additional debt in connection with our acquisition of DKI. The continued growth of our business, including as a result of acquisitions, depends on our access to sufficient funds to support our growth. Our primary source of working capital to support the growth of our operations is our revolving credit agreement which currently extends to December 2021. Our growth is dependent on our ability to continue to be able to extend and increase our line of credit. If we are unable to refinance our debt, we cannot be sure we will be able to secure alternative financing on satisfactory terms or at all. The loss of the use of this credit facility or the inability to replace this facility when it expires would materially impair our ability to operate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alternate reference rate may increase interest expense under our Bank Debt or future bank borrowings.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LIBOR, the London interbank offered rate, is frequently used to determine interest rates under bank borrowings. Our Bank Debt uses LIBOR or an alternate base rate (as defined in our loan agreements) to determine the interest paid under borrowings pursuant to our Bank Debt. The financial authority that regulates LIBOR has announced that it intends to stop compelling banks to submit rates for the calculation of LIBOR after 2021. Our current revolving credit facility extends through December 2021 and our term loan extends through December 2022. We will need to extend or replace our revolving credit facility prior to its expiration and may need to do so as well with respect to our term loan. At this time, it is not possible to predict the effect on the cost of our borrowings under our Bank Debt or under any other debt we may incur in addition to or as a replacement for any of our Bank Debt as a result of the possible elimination of LIBOR or changes to the manner in which LIBOR is calculated.</w:t>
      </w:r>
    </w:p>
    <w:p>
      <w:pPr>
        <w:spacing w:after="0" w:line="181" w:lineRule="exact"/>
        <w:rPr>
          <w:sz w:val="20"/>
          <w:szCs w:val="20"/>
          <w:color w:val="auto"/>
        </w:rPr>
      </w:pPr>
    </w:p>
    <w:p>
      <w:pPr>
        <w:ind w:left="60" w:right="99"/>
        <w:spacing w:after="0" w:line="381" w:lineRule="auto"/>
        <w:rPr>
          <w:sz w:val="20"/>
          <w:szCs w:val="20"/>
          <w:color w:val="auto"/>
        </w:rPr>
      </w:pPr>
      <w:r>
        <w:rPr>
          <w:rFonts w:ascii="Arial" w:cs="Arial" w:eastAsia="Arial" w:hAnsi="Arial"/>
          <w:sz w:val="15"/>
          <w:szCs w:val="15"/>
          <w:b w:val="1"/>
          <w:bCs w:val="1"/>
          <w:i w:val="1"/>
          <w:iCs w:val="1"/>
          <w:color w:val="auto"/>
        </w:rPr>
        <w:t>The Term Facility was the first debt issued by us that was rated by rating agencies. Our credit rating and ability to access well-functioning capital markets are important to our ability to secure future debt financing on acceptable terms.</w:t>
      </w:r>
    </w:p>
    <w:p>
      <w:pPr>
        <w:spacing w:after="0" w:line="10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Our access to the debt markets and the terms of such access depend on multiple factors including the condition of the debt capital markets, our operating performance and our credit ratings. The Term Facility was the first debt issued by us that was assigned a rating by the major credit rating agencies.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highly seasonal.</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Retail sales of apparel have traditionally been seasonal in nature. Historically, our wholesale business has been dependent on our sales during the third and fourth quarters. Net sales during the third and fourth quarters accounted for approximately 60% of our net sales in fiscal 2020, 61% of our net sales in fiscal 2019 and 62% of our net sales in fiscal 2018. We are highly dependent on our results of operations during the second half of our fiscal year. Any difficulties we may encounter during this period as a result of weather or disruption of manufacturing or transportation of our products will have a magnified effect on our net sales and net income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the year is expected to continue to provide a larger amount of our net sales and a substantial majority of our net income for the foreseeable future.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Extreme or unseasonable weather conditions could adversely affect our business.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e-commerce customers. If prolonged, such extreme or unseasonable weather conditions could adversely affect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translate market trends into attractive product offerings, our sales and profitability could suffer.</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retail and apparel industries are subject to sudden shifts in consumer trends and consumer spending. Our ability to successfully compete depends on a number of factors, including our ability to effectively anticipate, gauge and respond to changing consumer demands and tastes across multiple product lines and tiers of distribution. We are required to translate market trends into attractive product offerings and operate within substantial production and delivery constraints. We cannot be sure we will continue to be successful in this regard. We need to anticipate and respond to changing trends quickly, efficiently and effectively in order to be successful. Our failure to anticipate, identify or react appropriately to changes in customer tastes, preferences, shopping and spending patterns could lead to, among other things, excess inventories or a shortage of products and could have a material adverse effect on our financial condition and results of operations.</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212529"/>
        </w:rPr>
        <w:t>Our ability to deliver our products to the market could be disrupted if we encounter problems affecting our logistics and distribution systems.</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212529"/>
        </w:rPr>
        <w:t>We rely on distribution facilities operated by us or by third parties to transport, warehouse and ship products to our customers. Our logistic and distribution systems include computer-controlled and automated equipment, which may be subject to a number of risks related to security or computer viruses, the proper operation of software and hardware, power interruptions or other system failures. Substantially all of our products are distributed from a few key locations. Therefore, our operations could be interrupted by travel restrictions, earthquakes, floods, fires or other natural disasters near our distribution centers. Our business interruption insurance may not adequately protect us from the adverse effects that could be caused by significant disruptions affecting our distribution facilities. In addition, our distribution capacity is dependent on the timely performance of services by third parties, including the transportation of products to and from our distribution facilities. If we encounter problems affecting our distribution system, our ability to meet customer expectations, manage inventory, complete sales and achieve operating efficiencies could be materially adversely affected.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the risk of inventory loss and theft.</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Efficient inventory management is a key component of our business success and profitability. To be successful, we must maintain sufficient inventory levels and an appropriate product mix to meet the demands of our wholesale and retail customers without allowing those levels to increase to such an extent that the costs to store and hold the goods unduly impacts our financial results. If our buying decisions do not accurately predict customer trends or purchasing actions, we may have to take unanticipated markdowns to dispose of the excess inventory, which also can adversely impact our financial results. We continue to focus on ways to reduce these risks, but we cannot be certain you that we will continue to be successful in our inventory management. If we are not successful in managing our inventory balances, our cash flows from operations and net income may be negatively affected.</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experienced inventory shrinkage in the past, and we cannot be certain that incidences of inventory loss and theft will decrease in the future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our results of operations could be adversely affected.</w:t>
      </w:r>
    </w:p>
    <w:p>
      <w:pPr>
        <w:spacing w:after="0" w:line="18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Fluctuations in the price, availability and quality of materials used in our products could have a material adverse effect on our cost of goods sold and our ability to meet our customers’ demands.</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Fluctuations in the price, availability and quality of raw materials used in our products could have a material adverse effect on our cost of sales or our ability to meet our customers’ demands.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Any raw material price increase or increase in costs related to the transport of our products (primarily petroleum costs) could increase our cost of sales and decrease our profitability unless we are able to pass higher prices on to our customers. In addition, if one or more of our competitors is able to reduce its production costs by taking greater advantage of any reductions in raw material prices, favorable sourcing 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trademark and other intellectual property rights may not be adequately protected.</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believe that 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prevent imitation of our products by others or to prevent others from seeking to block sales of our products as a violation of the trademarks and proprietary rights of others.</w:t>
      </w:r>
    </w:p>
    <w:p>
      <w:pPr>
        <w:spacing w:after="0" w:line="1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international expansion of our DKNY, Donna Karan, Vilebrequin, Andrew Marc, G.H. Bass and Wilsons Leather businesses. In addition, the laws of certain foreign countries may not protect proprietary 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Furthermore, our efforts to enforce our trademark and other intellectual property rights may be met with defenses, counterclaims and countersuits attacking the validity and enforceability of our trademark and other intellectual property rights. If we are unsuccessful in protecting and enforcing our intellectual property rights, continued sales of such competing products by third parties could harm our brands and adversely impact our business, financial condition and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are subject to the risk that our licensees may not generate expected sales or maintain the value of our brands.</w:t>
      </w:r>
    </w:p>
    <w:p>
      <w:pPr>
        <w:spacing w:after="0" w:line="24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currently license, and expect to continue licensing, certain of our proprietary rights, such as trademarks, to third parties. If our licensees fail to successfully market and sell licensed products, or fail to obtain sufficient capital or effectively manage their business operations, customer relationships, labor relationships, supplier relationships or credit risks, it could adversely affect our revenues, both directly from reduced royalties received and indirectly from reduced sales of our other products.</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also rely on our licensees to help preserve the value of our brand. Although we attempt to protect our brand through approval rights over the design, production processes, quality, packaging, merchandising, distribution, advertising and promotion of our licensed products, we cannot completely control the use of our licensed brand by our licensees. Although we make efforts to police the use of our trademarks by our licensees, we cannot assure you that these efforts will be sufficient to ensure that our licensees abide by the terms of their licenses. In the event that our licensees fail to do so, our trademark rights could be harmed. Moreover, the misuse of our brand by, or negative publicity involving, a licensee could have a material adverse effect on our brand and on us.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dependent upon foreign manufacturers.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 customers. The failure to make timely deliveries could cause customers to cancel orders, refuse to accept delivery of products or demand reduced prices.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While we source our products from many different manufacturers, we rely on a few manufacturers for a significant amount of our products. We sourced 11.4% of our purchases in fiscal 2020, 14.4% of our purchases in fiscal 2019 and 14.7% of our purchases in fiscal 2018 from one vendor in China. The loss of key vendors or a disruption in receipt of products from key vendors could adversely affect our ability to deliver goods to our customers on time and in the requested quantities.</w:t>
      </w:r>
    </w:p>
    <w:p>
      <w:pPr>
        <w:spacing w:after="0" w:line="15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also dependent on these manufacturers for compliance with our policies and the policies of our licensors and customers regarding labor practices employed by factories that manufacture product for us. Any failure by these 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use of foreign manufacturers subjects us to additional risks.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arrangements with foreign manufacturers are subject to the usual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 significantly in China, political or economic instability in China or elsewhere could cause substantial disruption in the business of our foreign manufacturers. Products sourced from China represented approximately 49.5% of our inventory purchased in fiscal 2020, 61.5% of our inventory purchased in fiscal 2019 and 65.1% of our inventory purchased in fiscal 2018.</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expansion into the European market exposes us to uncertain economic conditions in the Euro zone.</w:t>
      </w:r>
    </w:p>
    <w:p>
      <w:pPr>
        <w:spacing w:after="0" w:line="23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Demand for our products depends in part on the general economic conditions affecting the countries in which we do business. We are attempting to expand our presence in the European markets, including for our DKNY, Donna Karan and Vilebrequin businesses. The strength of the economy in Europe is uncertain and has been significantly affected by the impacts of the coronavirus outbreak. There is some concern that certain European countries may default in payments due on their national debt obligations and from related European financial restructuring efforts. If such defaults were to occur, or if European financial restructuring efforts create their own instability, current instability in the global credit markets may increase. Continued financial instability in Europe could adversely affect our European operations and, in turn, could have a material adverse effect on us.</w:t>
      </w:r>
    </w:p>
    <w:p>
      <w:pPr>
        <w:spacing w:after="0" w:line="192"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We have foreign currency exposures relating to buying and selling in currencies other than the U.S. dollar, our functional currency.</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spacing w:after="0" w:line="1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tax legislation or exposure to additional tax liabilities could impact our business.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are subject to income taxes in the United States and other jurisdictions. Our domestic and international tax liabilities are dependent on the allocation of revenue and expenses in various jurisdictions. Significant judgment is required in determining our global provision for income taxes. Changes in the U.S. federal, state, and international tax legislations can have an adverse impact on our income tax liabilities and effective tax rate. Although we believe our income tax estimates are reasonable, the ultimate outcomes may have a negative impact on our results of operations.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future effective tax rate could be adversely affected by a variety of factors, including changes in our business operations, changes in tax laws or rulings, or developments in government tax examinations. A number of countries are actively pursuing fundamental changes to the tax laws applicable to multinational companies. Furthermore, tax authorities may choose to examine or investigate our tax reporting or tax liability, including an examination of our existing transfer pricing policies. Adverse outcomes from examinations may lead to adjustments to our income tax liabilities or provisions for uncertain tax position reserves.</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are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an adverse impact on our results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risks associated with international operations.</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Our ability to capitalize on the potential of our international operations, including to realize the benefits of our DKNY, Donna Karan and Vilebrequin businesses and successfully expand into international markets, is subject to risks associated with international operations. These include:</w:t>
      </w:r>
    </w:p>
    <w:p>
      <w:pPr>
        <w:spacing w:after="0" w:line="89"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burdens of complying with a variety of foreign laws and regulations, including trade and labor restrictions;</w:t>
      </w:r>
    </w:p>
    <w:p>
      <w:pPr>
        <w:spacing w:after="0" w:line="34" w:lineRule="exact"/>
        <w:rPr>
          <w:rFonts w:ascii="Arial" w:cs="Arial" w:eastAsia="Arial" w:hAnsi="Arial"/>
          <w:sz w:val="17"/>
          <w:szCs w:val="17"/>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9" w:lineRule="exact"/>
        <w:rPr>
          <w:rFonts w:ascii="Arial" w:cs="Arial" w:eastAsia="Arial" w:hAnsi="Arial"/>
          <w:sz w:val="18"/>
          <w:szCs w:val="18"/>
          <w:color w:val="auto"/>
        </w:rPr>
      </w:pPr>
    </w:p>
    <w:p>
      <w:pPr>
        <w:ind w:left="720" w:right="31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regulation relating to privacy and data access to, or use of, commercial or personal information, particularly in Europe;</w:t>
      </w: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rigorous protection of intellectual property;</w:t>
      </w:r>
    </w:p>
    <w:p>
      <w:pPr>
        <w:spacing w:after="0" w:line="9" w:lineRule="exact"/>
        <w:rPr>
          <w:rFonts w:ascii="Arial" w:cs="Arial" w:eastAsia="Arial" w:hAnsi="Arial"/>
          <w:sz w:val="18"/>
          <w:szCs w:val="18"/>
          <w:color w:val="auto"/>
        </w:rPr>
      </w:pPr>
    </w:p>
    <w:p>
      <w:pPr>
        <w:ind w:left="720" w:right="2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United States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tariffs or other barriers in international markets.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are also subject to general political and economic risks in connection with our international operations, including:</w:t>
      </w:r>
    </w:p>
    <w:p>
      <w:pPr>
        <w:spacing w:after="0" w:line="129"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and terrorist attacks;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and economic fluctuations in specific countries or markets.</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spacing w:after="0" w:line="184"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Tariffs that have been and might be imposed by the United States government or a resulting trade war could have a material adverse effect on our results of operations.</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tariffs on these product categories was increased to 25% beginning May 10,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to go into effect would increase from 10% to 15%. The new 15% tariffs went into effect on September 1, 2019, although the additional tariffs on certain categories of products were delayed until December 15, 2019. The announcement followed an earlier proposal by the United States government that would have imposed 25% tariffs on the balance of inbound trade from China, but that were suspended pending trade negotiations with China. The additional tariffs have not yet gone into effect as the United States and China entered into a “phase one” trade agreement in January 2020.</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It is difficult to accurately estimate the impact on our business from these tariff actions or similar actions or when additional tariffs may become effective. For fiscal 2019, approximately 61% of the products that we sold were manufactured in China. For fiscal 2020, approximately 50% of the products that we sold were manufactured in China.</w:t>
      </w:r>
    </w:p>
    <w:p>
      <w:pPr>
        <w:spacing w:after="0" w:line="16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United States government continues to negotiate with China with respect to a “phase two” trade agreement, which could lead to the removal, lowering or postponement of the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engaged in a number of efforts to mitigate the effect on our results of operations of increases in tariffs on products imported by us from China, including accelerating the receipt of inventory,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 These efforts may not enable us to offset the adverse effects of any increases in tariffs.</w:t>
      </w:r>
    </w:p>
    <w:p>
      <w:pPr>
        <w:spacing w:after="0" w:line="154" w:lineRule="exact"/>
        <w:rPr>
          <w:sz w:val="20"/>
          <w:szCs w:val="20"/>
          <w:color w:val="auto"/>
        </w:rPr>
      </w:pPr>
    </w:p>
    <w:p>
      <w:pPr>
        <w:ind w:left="60" w:right="559"/>
        <w:spacing w:after="0" w:line="342" w:lineRule="auto"/>
        <w:rPr>
          <w:sz w:val="20"/>
          <w:szCs w:val="20"/>
          <w:color w:val="auto"/>
        </w:rPr>
      </w:pPr>
      <w:r>
        <w:rPr>
          <w:rFonts w:ascii="Arial" w:cs="Arial" w:eastAsia="Arial" w:hAnsi="Arial"/>
          <w:sz w:val="16"/>
          <w:szCs w:val="16"/>
          <w:b w:val="1"/>
          <w:bCs w:val="1"/>
          <w:i w:val="1"/>
          <w:iCs w:val="1"/>
          <w:color w:val="auto"/>
        </w:rPr>
        <w:t>We have been audited by the Canadian Border Services Agency (“CBSA”) and are in the process of appealing the CBSA ruling. Loss of this appeal could have an adverse effect on our results of operations.</w:t>
      </w:r>
    </w:p>
    <w:p>
      <w:pPr>
        <w:spacing w:after="0" w:line="12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October 2017, the CBSA issued a final audit report to G-III’s Canadian subsidiary that challenged the valuation used by the Canadian subsidiary for certain goods imported into Canada. The period covered by the examination is February 1, 2014 through October 27, 2017, the date of the final report. The CBSA has requested us to reassess our customs entries for that period using the price paid or payable by the Canadian retail customers for certain imported goods rather than the price paid by us to the vendor. The CBSA has also requested that we change the valuation method used to pay duties with respect to goods imported in the future.</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secured a bond to guarantee payment in the amount of CAD$26.9 million ($20.9 million) in March 2018, representing customs duty and interest that is claimed to be owed by us through December 31, 2017. In March 2018, we amended the duties filed for the month of January 2018 in accordance with the new valuation method. This amount was paid to the CBSA. Beginning February 1, 2018, we began paying duties in Canada on imported goods based on the price paid or payable by the Canadian retail customers. Duties paid on the higher dutiable value through May 31, 2019 were not charged as an expense in our statement of operations, but were recorded as a deferred expense until the appeal process is concluded. Effective June 1, 2019, we commenced paying based on the dutiable value of our imports in Canada based on pre-audit levels.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our appeal of the audit findings is not successful, we will have to pay the duties and interest that have been secured by the bond. This will result in a charge to our statement of operations for past duties, as well as for the additional duties we deferred or have not paid beginning on February 1, 2018 through the conclusion of the appeal process. In addition, our loss of the appeal would result in increased duties paid in Canada on products imported into Canada and will increase our cost of sales and decrease our profitability unless we are able to pass higher prices on to our customers. This could have an adverse effect on our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19"/>
        <w:spacing w:after="0" w:line="308" w:lineRule="auto"/>
        <w:rPr>
          <w:sz w:val="20"/>
          <w:szCs w:val="20"/>
          <w:color w:val="auto"/>
        </w:rPr>
      </w:pPr>
      <w:r>
        <w:rPr>
          <w:rFonts w:ascii="Arial" w:cs="Arial" w:eastAsia="Arial" w:hAnsi="Arial"/>
          <w:sz w:val="17"/>
          <w:szCs w:val="17"/>
          <w:b w:val="1"/>
          <w:bCs w:val="1"/>
          <w:i w:val="1"/>
          <w:iCs w:val="1"/>
          <w:color w:val="auto"/>
        </w:rPr>
        <w:t>If we do not successfully upgrade, maintain and secure our information systems to support the needs of our organization, this could have an adverse impact on the operation of our business.</w:t>
      </w:r>
    </w:p>
    <w:p>
      <w:pPr>
        <w:spacing w:after="0" w:line="14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Despite our preventative efforts, our systems are vulnerable from time to time to damage or interruption from, among other things, security breaches, computer viruses, power outages and other technical malfunctions. Any disruptions affecting our information systems, or any delays or difficulties in transitioning to new systems or in integrating them with current systems, could have a material adverse impact on the operation of our business.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data security or privacy breach could adversely affect our business.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collect, process, transmit and store personal, sensitive and confidential information, including our proprietary business information and that of consumers (including users of our websites) and our wholesale partners, distributors, employees, suppliers and business partners. 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The secure processing, maintenance and transmission of this information is critical to our operations and business strategy. Despite our security measures, our information 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 In addition to taking the necessary precautions ourselves,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w:t>
      </w:r>
    </w:p>
    <w:p>
      <w:pPr>
        <w:spacing w:after="0" w:line="16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use and handling of personally identifiable data is regulated at the international, federal and state levels. We must comply with increasingly complex and rigorous regulatory standards enacted to protect business and personal data in the United States, Europe and elsewhere. For example, the European Union adopted regulations that became effective in May 2018, called the General Data Protection Regulation (“GDPR”), which requires companies to meet additional requirements regarding the handling of personal data, including its use, protection and the ability of persons whose data is stored to exercise certain additional rights with respect to their personal data. The GDPR calls for privacy and process enhancements, accompanied by a commitment of resources and other expenditures in support of compliance. Violations of GDPR could result in significant penalties. The regulatory environment surrounding information security and privacy is increasingly demanding. California recently adopted a new regulation called the California Consumer Privacy Act (“CCPA”) that went into effect January 1, 2020, with enforcement expected to begin by July 1, 2020. CCPA provides broad rights to California consumers with respect to the collection and use of their information by businesses. It also creates a new and potentially severe statutory framework for violations. The California law could lead to similar laws in other U.S. states or at a national level.</w:t>
      </w:r>
    </w:p>
    <w:p>
      <w:pPr>
        <w:spacing w:after="0" w:line="10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Privacy and information security laws and regulations change from time to time, and compliance with them may result in cost increases due to necessary systems changes and the development of new processes. The interplay of federal and state laws may be subject to varying interpretations by courts and governmental agencies, creating complex compliance issues for us, consumers and our wholesale partners. If we fail to comply with these laws and regulations, we could be subjected to legal risk. We are also contractually obligated to comply with certain industry standards regarding payment card information. Increasing costs associated with information security, such as increased investment in technology, the cost of compliance and costs resulting from consumer fraud could cause our business and results of operations to suffer materially.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Relating to the Economy and the Apparel Industry</w:t>
      </w:r>
    </w:p>
    <w:p>
      <w:pPr>
        <w:spacing w:after="0" w:line="14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Recent and future economic conditions, including volatility in the financial and credit markets, may adversely affect our business.</w:t>
      </w:r>
    </w:p>
    <w:p>
      <w:pPr>
        <w:spacing w:after="0" w:line="103"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 adverse effect on our results of operations and liquidity. A significant adverse change in a customer’s financial and/or credit position could also require us to sell fewer products to that customer, assume greater credit risk relating to that customer’s receivables or could limit our ability to collect receivables related to previous purchases by that customer. As a result, our reserves for doubtful accounts and write-offs of accounts receivable may increase.</w:t>
      </w:r>
    </w:p>
    <w:p>
      <w:pPr>
        <w:spacing w:after="0" w:line="8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The cyclical nature of the apparel industry and uncertainty over future economic prospects and consumer spending could have a material adverse effect on our results of operations.</w:t>
      </w:r>
    </w:p>
    <w:p>
      <w:pPr>
        <w:spacing w:after="0" w:line="8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Uncertainties regarding future economic prospects may affect consumer-spending habits and could have an adverse effect on our results of operations. Uncertainty with respect to consumer spending as a result of weak economic conditions has, at times, caused our customers to delay the placing of initial orders and to slow the pace of reorders during the seasonal peak of our business. Weak economic conditions have had a material adverse effect on our results of operations at times in the past and could have a material adverse effect on our results of operations in the future as well.</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The competitive nature of our industry may result in lower prices for our products and decreased gross profit margins.</w:t>
      </w:r>
    </w:p>
    <w:p>
      <w:pPr>
        <w:spacing w:after="0" w:line="17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apparel business is highly competitive. We have numerous competitors with respect to the sale of apparel, footwear and accessories, including e-commerce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w:t>
      </w:r>
    </w:p>
    <w:p>
      <w:pPr>
        <w:spacing w:after="0" w:line="97"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If major department, mass merchant and specialty store chains consolidate, continue to close stores or cease to do business, our business could be negatively affected.</w:t>
      </w:r>
    </w:p>
    <w:p>
      <w:pPr>
        <w:spacing w:after="0" w:line="8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sell our products to major department, mass merchant and specialty store chains. Continued consolidation in the retail industry, as well as store closing or retailers ceasing to do business, could negatively impact our business. Our largest customer, Macy’s, recently announced that it intended to close approximately 125 stores over the next three years. In addition, Lord &amp; Taylor, JC Penney and Kohl’s, as well as other store chains, have announced their intention to close stores. Bon-Ton Stores, a customer of ours for many years, filed for bankruptcy in 2018 and closed all of its stores.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If new legislation restricting the importation or increasing the cost of textiles and apparel produced abroad is enacted, our business could be adversely affected.</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Legislation that would restrict the importation or increase the cost of textiles and apparel produced abroad has been periodically introduced in Congress. The enactment of new legislation or international trade regulation, or executive action affecting international textile or trade agreements, could adversely affect our business. International trade agreements that can provide for tariffs and/or quotas can increase the cost and limit the amount of product that can be imported.</w:t>
      </w:r>
    </w:p>
    <w:p>
      <w:pPr>
        <w:spacing w:after="0" w:line="15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cannot predict whether quotas, duties, taxes, or other similar restrictions will be imposed by the U.S., the European Union, Asia, or other countries upon the import or export of our products in the future, or what effect any of these actions would have, if any, on our business, results of operations, and financial condition. Changes in regulatory, geopolitical, social, economic, or monetary policies and other factors may have a material adverse effect on our business in the future, or may require us to exit a particular market or significantly modify our current business practices.</w:t>
      </w:r>
    </w:p>
    <w:p>
      <w:pPr>
        <w:spacing w:after="0" w:line="16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previously discussed, the U.S. presidential administration has imposed retaliatory duties against China, and threatened to impose additional duties, in order to reverse what it perceives as unfair trade practices that have negatively impacted manufacturing in the U.S. The administration has also discussed the implementation of other duties that would impose an additional tax on imported goods regardless of origin. It is possible that the United States may impose new trade or other initiatives that adversely affect the trading status of countries where our apparel is manufactured and such initiatives could include retaliatory duties, higher tariffs or other trade sanctions. The administration has indicated it may make modifications to international trade policy or agreements or engage in other restrictive trade practices that may have the effect of reducing the amount or increasing the cost of imported goods. Changes in existing trade agreements or imposition of tariffs on our products imported from China or other countries could have a material adverse effect on our operations and financial results.</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China’s accession agreement for membership in the World Trade Organization provides that member countries, including the United States, may impose safeguard quotas on specific products. We are unable to assess the potential for future action by the United States government with respect to any product category in the event that the quantity of imported apparel significantly disrupts the apparel market in the United States. Future action by the United States in response to a disruption in its apparel markets could limit our ability to import apparel and increase our costs.</w:t>
      </w:r>
    </w:p>
    <w:p>
      <w:pPr>
        <w:spacing w:after="0" w:line="1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The effects of war, acts of terrorism, natural disasters or public health crises could adversely affect our business and results of operations.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continued threat of terrorism, heightened security measures and military action in response to acts of terrorism or civil unrest has, at times, disrupted commerce and intensified concerns regarding the United States and world economies. Any further acts of terrorism or new or extended hostilities may disrupt commerce and undermine consumer confidence, which could negatively impact our sales and results of operations. Similarly, the occurrence of one or more natural disasters, such as hurricanes, fires, floods or earthquakes, or public health crises, such as the recent outbreak of the coronavirus, could result in the closure of one or more of our distribution centers, our corporate headquarters or a significant number of stores or impact one or more of our key suppliers. In addition, these types of events could result in increases in energy prices or a fuel shortage,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Risks Relating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Chairman and Chief Executive Officer may be in a position to control matters requiring a stockholder vote.</w:t>
      </w:r>
    </w:p>
    <w:p>
      <w:pPr>
        <w:spacing w:after="0" w:line="24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March 23, 2020, Morris Goldfarb, our Chairman and Chief Executive Officer, beneficially owned approximately 8.1% of our common stock. His significant role in our management and his reputation in the apparel industry could make his support crucial to the approval of any major transaction involving us. He may have the ability to control our management and affairs.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The price of our common stock has fluctuated significantly and could continue to fluctuate significantly.</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Between February 1, 2017 and March 23, 2020, the market price of our common stock has ranged from a low of $2.96 to a high of $51.20 per share. The market price of our common stock may change significantly in response to various factors and events beyond our control, including:</w:t>
      </w:r>
    </w:p>
    <w:p>
      <w:pPr>
        <w:spacing w:after="0" w:line="103"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our quarterly revenues or those of our competitors as a result of seasonality or other factors;</w:t>
      </w:r>
    </w:p>
    <w:p>
      <w:pPr>
        <w:spacing w:after="0" w:line="34" w:lineRule="exact"/>
        <w:rPr>
          <w:rFonts w:ascii="Arial" w:cs="Arial" w:eastAsia="Arial" w:hAnsi="Arial"/>
          <w:sz w:val="17"/>
          <w:szCs w:val="17"/>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shortfall in revenues or net income from that expected by securities analysts and investors;</w:t>
      </w:r>
    </w:p>
    <w:p>
      <w:pPr>
        <w:spacing w:after="0" w:line="9" w:lineRule="exact"/>
        <w:rPr>
          <w:rFonts w:ascii="Arial" w:cs="Arial" w:eastAsia="Arial" w:hAnsi="Arial"/>
          <w:sz w:val="18"/>
          <w:szCs w:val="18"/>
          <w:color w:val="auto"/>
        </w:rPr>
      </w:pPr>
    </w:p>
    <w:p>
      <w:pPr>
        <w:ind w:left="720" w:right="739" w:hanging="319"/>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the financial performance of our competitors or companies in our industry generally;</w:t>
      </w: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concerning our competitors;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product pricing policies by our competitors or our customers;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tariff and trade policies;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perceived adverse effects from the coronavirus outbreak;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in our industry;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in the securities markets.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actual financial results might vary from our publicly disclosed financial forecasts.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From time to time, we publicly disclose financial forecasts. Our forecasts reflect numerous assumptions concerning our expected performance, as well as other factors that are beyond our control and that might not turn out to be correct. As a result, variations from our forecasts could be material. Our financial results are subject to numerous risks and uncertainties, including those identified throughout this “Risk Factors” section and elsewhere in this Annual Report on Form 10-K and in the documents incorporated by reference in this Annual Report. If our actual financial results are worse than our financial forecasts, the price of our common stock may decline.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If our goodwill, trademarks and other intangibles become impaired, we may be required to record charges to earnings.</w:t>
      </w:r>
    </w:p>
    <w:p>
      <w:pPr>
        <w:spacing w:after="0" w:line="17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of January 31, 2020, we had goodwill, trademarks and other intangibles in an aggregate amount of $737.6 million, or approximately 29% of our total assets and approximately 57% of our stockholders’ equity. Approximately $621.7 million of our goodwill, trademarks and other intangibles was recorded in connection with our acquisition of DKI. Under accounting principles generally accepted in the United States (“GAAP”), we review our goodwill and other indefinite life intangibles for impairment annually as of January 31 of each fiscal year and when events or changes in circumstances indicate the carrying value may not be recoverable due to factors such as reduced estimates of future cash flows and profitability, increased cost of debt, slower growth rates in our industry or a decline in our stock price and market capitalization. Estimates of future cash flows and profitability are based on an updated long-term financial outlook of our operations. However, actual performance in the near-term or long-term could be materially different from these forecasts, which could impact future estimates. A significant decline in our market capitalization or deterioration in our projected results could result in an impairment of our goodwill, trademarks and/or other intangibles. We may be required to record a significant charge to earnings in our financial statements during a period in which an impairment of our goodwill is determined to exist which would negatively impact our results of operations and could negatively impact our stock price.</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Similar to many companies, our market capitalization has been negatively impacted recently as stock prices have dropped dramatically in the past month. The uncertainty caused by the coronavirus outbreak has made it impracticable to forecast our business with any certainty for the balance of the fiscal year. As a result, we will likely have to evaluate the value of our intangibles with indefinite lives, including trademarks, goodwill and other long-lived assets, which could result in impairments to such assets in fiscal 2021.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b w:val="1"/>
          <w:bCs w:val="1"/>
          <w:i w:val="1"/>
          <w:iCs w:val="1"/>
          <w:color w:val="auto"/>
        </w:rPr>
        <w:t>We are subject to significant corporate regulation as a public company and failure to comply with applicable regulations could subject us to liability or negatively affect our stock price.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a publicly traded company, we are subject to a significant body of regulation, including the reporting requirements of the Exchange Act, the listing requirements of the Nasdaq Global Select Market, the Sarbanes-Oxley Act of 2002 and the Dodd-Frank Wall Street Reform and Consumer Protection Act of 2010.</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Annual Report on Form 10-K or state that we have maintained effective internal control over financial reporting as of the end of our fiscal year. Discovery and disclosure of a material weakness in our internal control over financial reporting could have a material impact on our financial statements and could cause our stock price to decline.</w:t>
      </w:r>
    </w:p>
    <w:p>
      <w:pPr>
        <w:spacing w:after="0" w:line="17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There are significant corporate governance and executive compensation-related provisions in the Dodd-Frank Act that have required, and continue to require, the SEC to adopt additional rules and regulations in these areas. Our efforts to comply with Dodd-Frank requirements have resulted in, and are likely to continue to result in, an increase in expenses and a diversion of management’s time from other business activities. For example, we are subject to SEC disclosure obligations relating to our use of minerals that have a risk of being so-called “conflict minerals” such as columbite-tantalite, cassiterite (tin), wolframite (tungsten) and gold. These minerals are present in a number of our products.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have incurred and will continue to incur costs associated with complying with the supply chain due diligence procedures required by the SEC. The preparation of our conflict minerals report is dependent upon the implementation and operation of our systems and processes and information supplied by our suppliers of products that contain, or potentially contain, conflict minerals. To the extent that the information that we receive from our suppliers is inaccurate or inadequate or our processes in obtaining that information do not fulfill the SEC’s requirements, we could face both reputational and SEC enforcement risks.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Given the uncertainty associated with the manner in which additional corporate governance and executive compensation-related provisions of the Dodd-Frank Act will be implemented, the full extent of the impact such requirements will have on our operations is unclear. The changes resulting from the Dodd-Frank Act may require changes to certain business practices, or otherwise adversely affect our business.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offices, sales showrooms, distribution centers and warehouses that are material to us, all of which are leased, consist of:</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89"/>
              </w:rPr>
              <w:t>Location</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2"/>
              </w:rPr>
              <w:t>Property Type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Lease Expiration</w:t>
            </w: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Renewal Option</w:t>
            </w:r>
          </w:p>
        </w:tc>
        <w:tc>
          <w:tcPr>
            <w:tcW w:w="1120" w:type="dxa"/>
            <w:vAlign w:val="bottom"/>
          </w:tcPr>
          <w:p>
            <w:pPr>
              <w:ind w:left="20"/>
              <w:spacing w:after="0"/>
              <w:rPr>
                <w:sz w:val="20"/>
                <w:szCs w:val="20"/>
                <w:color w:val="auto"/>
              </w:rPr>
            </w:pPr>
            <w:r>
              <w:rPr>
                <w:rFonts w:ascii="Arial" w:cs="Arial" w:eastAsia="Arial" w:hAnsi="Arial"/>
                <w:sz w:val="16"/>
                <w:szCs w:val="16"/>
                <w:b w:val="1"/>
                <w:bCs w:val="1"/>
                <w:color w:val="auto"/>
                <w:w w:val="89"/>
              </w:rPr>
              <w:t>Square Footage</w:t>
            </w:r>
          </w:p>
        </w:tc>
        <w:tc>
          <w:tcPr>
            <w:tcW w:w="0" w:type="dxa"/>
            <w:vAlign w:val="bottom"/>
          </w:tcPr>
          <w:p>
            <w:pPr>
              <w:spacing w:after="0"/>
              <w:rPr>
                <w:sz w:val="1"/>
                <w:szCs w:val="1"/>
                <w:color w:val="auto"/>
              </w:rPr>
            </w:pPr>
          </w:p>
        </w:tc>
      </w:tr>
      <w:tr>
        <w:trPr>
          <w:trHeight w:val="189"/>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500 and 512 Seventh Avenue, New</w:t>
            </w:r>
          </w:p>
        </w:tc>
        <w:tc>
          <w:tcPr>
            <w:tcW w:w="18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Corporate Office and</w:t>
            </w:r>
          </w:p>
        </w:tc>
        <w:tc>
          <w:tcPr>
            <w:tcW w:w="1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March 2023 / March</w:t>
            </w: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5-year</w:t>
            </w:r>
          </w:p>
        </w:tc>
        <w:tc>
          <w:tcPr>
            <w:tcW w:w="180" w:type="dxa"/>
            <w:vAlign w:val="bottom"/>
            <w:tcBorders>
              <w:top w:val="single" w:sz="8" w:color="CCEEFF"/>
            </w:tcBorders>
            <w:vMerge w:val="restart"/>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313,000</w:t>
            </w:r>
          </w:p>
        </w:tc>
        <w:tc>
          <w:tcPr>
            <w:tcW w:w="0" w:type="dxa"/>
            <w:vAlign w:val="bottom"/>
          </w:tcPr>
          <w:p>
            <w:pPr>
              <w:spacing w:after="0"/>
              <w:rPr>
                <w:sz w:val="1"/>
                <w:szCs w:val="1"/>
                <w:color w:val="auto"/>
              </w:rPr>
            </w:pPr>
          </w:p>
        </w:tc>
      </w:tr>
      <w:tr>
        <w:trPr>
          <w:trHeight w:val="98"/>
        </w:trPr>
        <w:tc>
          <w:tcPr>
            <w:tcW w:w="260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6"/>
                <w:szCs w:val="16"/>
                <w:color w:val="auto"/>
                <w:w w:val="98"/>
              </w:rPr>
              <w:t>York City</w:t>
            </w:r>
          </w:p>
        </w:tc>
        <w:tc>
          <w:tcPr>
            <w:tcW w:w="21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color w:val="auto"/>
                <w:w w:val="92"/>
              </w:rPr>
              <w:t>showrooms</w:t>
            </w:r>
          </w:p>
        </w:tc>
        <w:tc>
          <w:tcPr>
            <w:tcW w:w="15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2028</w:t>
            </w: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00" w:type="dxa"/>
            <w:vAlign w:val="bottom"/>
            <w:gridSpan w:val="2"/>
            <w:vMerge w:val="continue"/>
            <w:shd w:val="clear" w:color="auto" w:fill="CCEEFF"/>
          </w:tcPr>
          <w:p>
            <w:pPr>
              <w:spacing w:after="0"/>
              <w:rPr>
                <w:sz w:val="9"/>
                <w:szCs w:val="9"/>
                <w:color w:val="auto"/>
              </w:rPr>
            </w:pPr>
          </w:p>
        </w:tc>
        <w:tc>
          <w:tcPr>
            <w:tcW w:w="2140" w:type="dxa"/>
            <w:vAlign w:val="bottom"/>
            <w:gridSpan w:val="2"/>
            <w:vMerge w:val="continue"/>
            <w:shd w:val="clear" w:color="auto" w:fill="CCEEFF"/>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60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2"/>
              </w:rPr>
              <w:t>240 West 40th Street, New York City</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Corporate Office and</w:t>
            </w: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w w:val="93"/>
              </w:rPr>
              <w:t>July 2020</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3"/>
              </w:rPr>
              <w:t>120,000</w:t>
            </w:r>
          </w:p>
        </w:tc>
        <w:tc>
          <w:tcPr>
            <w:tcW w:w="0" w:type="dxa"/>
            <w:vAlign w:val="bottom"/>
          </w:tcPr>
          <w:p>
            <w:pPr>
              <w:spacing w:after="0"/>
              <w:rPr>
                <w:sz w:val="1"/>
                <w:szCs w:val="1"/>
                <w:color w:val="auto"/>
              </w:rPr>
            </w:pPr>
          </w:p>
        </w:tc>
      </w:tr>
      <w:tr>
        <w:trPr>
          <w:trHeight w:val="98"/>
        </w:trPr>
        <w:tc>
          <w:tcPr>
            <w:tcW w:w="2600" w:type="dxa"/>
            <w:vAlign w:val="bottom"/>
            <w:gridSpan w:val="2"/>
            <w:vMerge w:val="continue"/>
          </w:tcPr>
          <w:p>
            <w:pPr>
              <w:spacing w:after="0"/>
              <w:rPr>
                <w:sz w:val="8"/>
                <w:szCs w:val="8"/>
                <w:color w:val="auto"/>
              </w:rPr>
            </w:pPr>
          </w:p>
        </w:tc>
        <w:tc>
          <w:tcPr>
            <w:tcW w:w="214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w w:val="92"/>
              </w:rPr>
              <w:t>showrooms</w:t>
            </w:r>
          </w:p>
        </w:tc>
        <w:tc>
          <w:tcPr>
            <w:tcW w:w="17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60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6"/>
                <w:szCs w:val="16"/>
                <w:color w:val="auto"/>
                <w:w w:val="92"/>
              </w:rPr>
              <w:t>231 West 39th Street, New York City</w:t>
            </w:r>
          </w:p>
        </w:tc>
        <w:tc>
          <w:tcPr>
            <w:tcW w:w="21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Corporate Office and</w:t>
            </w:r>
          </w:p>
        </w:tc>
        <w:tc>
          <w:tcPr>
            <w:tcW w:w="17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color w:val="auto"/>
                <w:w w:val="99"/>
              </w:rPr>
              <w:t>April 2034</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22,000</w:t>
            </w:r>
          </w:p>
        </w:tc>
        <w:tc>
          <w:tcPr>
            <w:tcW w:w="0" w:type="dxa"/>
            <w:vAlign w:val="bottom"/>
          </w:tcPr>
          <w:p>
            <w:pPr>
              <w:spacing w:after="0"/>
              <w:rPr>
                <w:sz w:val="1"/>
                <w:szCs w:val="1"/>
                <w:color w:val="auto"/>
              </w:rPr>
            </w:pPr>
          </w:p>
        </w:tc>
      </w:tr>
      <w:tr>
        <w:trPr>
          <w:trHeight w:val="98"/>
        </w:trPr>
        <w:tc>
          <w:tcPr>
            <w:tcW w:w="2600" w:type="dxa"/>
            <w:vAlign w:val="bottom"/>
            <w:gridSpan w:val="2"/>
            <w:vMerge w:val="continue"/>
            <w:shd w:val="clear" w:color="auto" w:fill="CCEEFF"/>
          </w:tcPr>
          <w:p>
            <w:pPr>
              <w:spacing w:after="0"/>
              <w:rPr>
                <w:sz w:val="8"/>
                <w:szCs w:val="8"/>
                <w:color w:val="auto"/>
              </w:rPr>
            </w:pPr>
          </w:p>
        </w:tc>
        <w:tc>
          <w:tcPr>
            <w:tcW w:w="21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6"/>
                <w:szCs w:val="16"/>
                <w:color w:val="auto"/>
                <w:w w:val="92"/>
              </w:rPr>
              <w:t>showrooms</w:t>
            </w:r>
          </w:p>
        </w:tc>
        <w:tc>
          <w:tcPr>
            <w:tcW w:w="1740" w:type="dxa"/>
            <w:vAlign w:val="bottom"/>
            <w:gridSpan w:val="2"/>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140" w:type="dxa"/>
            <w:vAlign w:val="bottom"/>
            <w:gridSpan w:val="2"/>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Dayton, New Jersey</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Distribution center</w:t>
            </w:r>
          </w:p>
        </w:tc>
        <w:tc>
          <w:tcPr>
            <w:tcW w:w="17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January 2025</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385,000</w:t>
            </w:r>
          </w:p>
        </w:tc>
        <w:tc>
          <w:tcPr>
            <w:tcW w:w="0" w:type="dxa"/>
            <w:vAlign w:val="bottom"/>
          </w:tcPr>
          <w:p>
            <w:pPr>
              <w:spacing w:after="0"/>
              <w:rPr>
                <w:sz w:val="1"/>
                <w:szCs w:val="1"/>
                <w:color w:val="auto"/>
              </w:rPr>
            </w:pPr>
          </w:p>
        </w:tc>
      </w:tr>
      <w:tr>
        <w:trPr>
          <w:trHeight w:val="203"/>
        </w:trPr>
        <w:tc>
          <w:tcPr>
            <w:tcW w:w="26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8"/>
              </w:rPr>
              <w:t>Jamesburg, New Jersey</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Distribution center</w:t>
            </w:r>
          </w:p>
        </w:tc>
        <w:tc>
          <w:tcPr>
            <w:tcW w:w="17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December 2020</w:t>
            </w:r>
          </w:p>
        </w:tc>
        <w:tc>
          <w:tcPr>
            <w:tcW w:w="13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2"/>
              </w:rPr>
              <w:t>5-year</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783,000</w:t>
            </w:r>
          </w:p>
        </w:tc>
        <w:tc>
          <w:tcPr>
            <w:tcW w:w="0" w:type="dxa"/>
            <w:vAlign w:val="bottom"/>
          </w:tcPr>
          <w:p>
            <w:pPr>
              <w:spacing w:after="0"/>
              <w:rPr>
                <w:sz w:val="1"/>
                <w:szCs w:val="1"/>
                <w:color w:val="auto"/>
              </w:rPr>
            </w:pPr>
          </w:p>
        </w:tc>
      </w:tr>
      <w:tr>
        <w:trPr>
          <w:trHeight w:val="203"/>
        </w:trPr>
        <w:tc>
          <w:tcPr>
            <w:tcW w:w="26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Carlstadt, New Jersey</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Distribution center</w:t>
            </w:r>
          </w:p>
        </w:tc>
        <w:tc>
          <w:tcPr>
            <w:tcW w:w="174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April 2024</w:t>
            </w: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10-year</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197,000</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Retail operations office,</w:t>
            </w:r>
          </w:p>
        </w:tc>
        <w:tc>
          <w:tcPr>
            <w:tcW w:w="1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Brooklyn Park, Minnesota</w:t>
            </w:r>
          </w:p>
        </w:tc>
        <w:tc>
          <w:tcPr>
            <w:tcW w:w="21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2"/>
              </w:rPr>
              <w:t>warehouse and distribution</w:t>
            </w:r>
          </w:p>
        </w:tc>
        <w:tc>
          <w:tcPr>
            <w:tcW w:w="17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April 2022</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301,000</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facility</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Retail Stores</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 of January 31, 2020, we operated 388 leased store locations, of which 124 are Wilsons Leather retail stores, 99 are G.H. Bass retail stores, 106 are Vilebrequin retail stores, 43 are DKNY stores, 12 are Karl Lagerfeld Paris stores and 4 are Calvin Klein Performance retail stores.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Most leases for retail stores in the United States require us to pay annual minimum rent plus a contingent rent dependent on the store’s annual sales in excess of a specified threshold. In addition, the leases generally require us to pay costs such as real estate taxes and common area maintenance costs. Retail store leases are typically between three and ten years in duration.</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leases expire at varying dates through 2030. During fiscal 2020, we entered into 41 new store leases, renewed 70 store leases and terminated or allowed 57 store leases to expire. Almost all of our stores, other than certain Vilebrequin and DKNY stores, are located in the United States. Vilebrequin has 59 stores located in Europe, 26 stores located in the United States, 10 stores located in Asia and 11 stores in the Caribbean. DKNY has 36 stores located in the United States, 3 stores located in Canada and 4 stores located in Europe.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indicates the periods during which our retail leases expire: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Ending January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71"/>
        </w:trPr>
        <w:tc>
          <w:tcPr>
            <w:tcW w:w="8100" w:type="dxa"/>
            <w:vAlign w:val="bottom"/>
            <w:gridSpan w:val="2"/>
            <w:vMerge w:val="continue"/>
          </w:tcPr>
          <w:p>
            <w:pPr>
              <w:spacing w:after="0"/>
              <w:rPr>
                <w:sz w:val="14"/>
                <w:szCs w:val="14"/>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210"/>
        </w:trPr>
        <w:tc>
          <w:tcPr>
            <w:tcW w:w="7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the ordinary course of our business, we are subject to periodic claims, investigations and lawsuits. Although we cannot predict with certainty the ultimate resolution of claims, investigations and lawsuits, asserted against us, we do not believe that any currently pending legal proceeding or proceedings to which we are a party will have a material adverse effect on our business, financial condition or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Canadian Customs Duty Examination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October 2017, the Canada Border Service Agency (“CBSA”) issued a final audit report to G-III Apparel Canada ULC (“G-III Canada”), our wholly-owned subsidiary.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19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March 2018, G-III Canada provided a bond to guarantee payment to the CBSA for the additional duties payable as a result of the reassessment required by the final audit report. We secured a bond in the amount of CAD$26.9 million ($20.9 million) representing customs duty and interest through December 31, 2017 that is claimed to be owed to the CBSA. In March 2018, we amended the duties filed for the month of January 2018 under the new valuation method. This amount was paid to the CBSA. Beginning February 1, 2018, we began paying duties based on the new valuation method.</w:t>
      </w:r>
    </w:p>
    <w:p>
      <w:pPr>
        <w:spacing w:after="0" w:line="1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18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900" w:right="479" w:hanging="841"/>
        <w:spacing w:after="0" w:line="277" w:lineRule="auto"/>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REPURCHASES OF EQUITY SECURITIES.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Nasdaq Global Select Market is the principal United States trading market for our common stock. Our common stock is traded under the symbol “GIII”.</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March 23, 2020, there were 19 holders of record and, we believe, approximately 31,000 beneficial owners of our common stock.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Board of Directors (the “Board”) currently intends to follow a policy of retaining any earnings to finance the growth and development of our business and does not anticipate paying cash dividends in the foreseeable future. Any future determination as to the payment of cash dividends will be dependent upon our financial condition, results of operations and other factors deemed relevant by the Board.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sets forth the repurchases of shares of our common stock during the fourth quarter of fiscal 2020:</w:t>
      </w: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w:t>
            </w:r>
          </w:p>
        </w:tc>
        <w:tc>
          <w:tcPr>
            <w:tcW w:w="100" w:type="dxa"/>
            <w:vAlign w:val="bottom"/>
          </w:tcPr>
          <w:p>
            <w:pPr>
              <w:spacing w:after="0"/>
              <w:rPr>
                <w:sz w:val="14"/>
                <w:szCs w:val="14"/>
                <w:color w:val="auto"/>
              </w:rPr>
            </w:pPr>
          </w:p>
        </w:tc>
        <w:tc>
          <w:tcPr>
            <w:tcW w:w="144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Average Price Paid</w:t>
            </w: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4"/>
        </w:trPr>
        <w:tc>
          <w:tcPr>
            <w:tcW w:w="2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Purchased</w:t>
            </w:r>
          </w:p>
        </w:tc>
        <w:tc>
          <w:tcPr>
            <w:tcW w:w="15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6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1440" w:type="dxa"/>
            <w:vAlign w:val="bottom"/>
          </w:tcPr>
          <w:p>
            <w:pPr>
              <w:jc w:val="center"/>
              <w:ind w:right="18"/>
              <w:spacing w:after="0" w:line="14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5"/>
        </w:trPr>
        <w:tc>
          <w:tcPr>
            <w:tcW w:w="2720" w:type="dxa"/>
            <w:vAlign w:val="bottom"/>
            <w:gridSpan w:val="3"/>
            <w:vMerge w:val="continue"/>
          </w:tcPr>
          <w:p>
            <w:pPr>
              <w:spacing w:after="0"/>
              <w:rPr>
                <w:sz w:val="15"/>
                <w:szCs w:val="15"/>
                <w:color w:val="auto"/>
              </w:rPr>
            </w:pPr>
          </w:p>
        </w:tc>
        <w:tc>
          <w:tcPr>
            <w:tcW w:w="1560" w:type="dxa"/>
            <w:vAlign w:val="bottom"/>
            <w:gridSpan w:val="2"/>
          </w:tcPr>
          <w:p>
            <w:pPr>
              <w:jc w:val="center"/>
              <w:ind w:right="140"/>
              <w:spacing w:after="0" w:line="176"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20"/>
                <w:szCs w:val="20"/>
                <w:b w:val="1"/>
                <w:bCs w:val="1"/>
                <w:color w:val="auto"/>
                <w:w w:val="88"/>
                <w:vertAlign w:val="superscript"/>
              </w:rPr>
              <w:t>(1)</w:t>
            </w:r>
          </w:p>
        </w:tc>
        <w:tc>
          <w:tcPr>
            <w:tcW w:w="180" w:type="dxa"/>
            <w:vAlign w:val="bottom"/>
          </w:tcPr>
          <w:p>
            <w:pPr>
              <w:spacing w:after="0"/>
              <w:rPr>
                <w:sz w:val="15"/>
                <w:szCs w:val="15"/>
                <w:color w:val="auto"/>
              </w:rPr>
            </w:pPr>
          </w:p>
        </w:tc>
        <w:tc>
          <w:tcPr>
            <w:tcW w:w="1300" w:type="dxa"/>
            <w:vAlign w:val="bottom"/>
            <w:gridSpan w:val="2"/>
          </w:tcPr>
          <w:p>
            <w:pPr>
              <w:jc w:val="center"/>
              <w:ind w:right="340"/>
              <w:spacing w:after="0" w:line="176" w:lineRule="exact"/>
              <w:rPr>
                <w:sz w:val="20"/>
                <w:szCs w:val="20"/>
                <w:color w:val="auto"/>
              </w:rPr>
            </w:pPr>
            <w:r>
              <w:rPr>
                <w:rFonts w:ascii="Arial" w:cs="Arial" w:eastAsia="Arial" w:hAnsi="Arial"/>
                <w:sz w:val="14"/>
                <w:szCs w:val="14"/>
                <w:b w:val="1"/>
                <w:bCs w:val="1"/>
                <w:color w:val="auto"/>
                <w:w w:val="88"/>
              </w:rPr>
              <w:t xml:space="preserve">Per Share </w:t>
            </w:r>
            <w:r>
              <w:rPr>
                <w:rFonts w:ascii="Arial" w:cs="Arial" w:eastAsia="Arial" w:hAnsi="Arial"/>
                <w:sz w:val="20"/>
                <w:szCs w:val="20"/>
                <w:b w:val="1"/>
                <w:bCs w:val="1"/>
                <w:color w:val="auto"/>
                <w:w w:val="88"/>
                <w:vertAlign w:val="superscript"/>
              </w:rPr>
              <w:t>(1)</w:t>
            </w:r>
          </w:p>
        </w:tc>
        <w:tc>
          <w:tcPr>
            <w:tcW w:w="160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92"/>
              </w:rPr>
              <w:t xml:space="preserve">Program </w:t>
            </w:r>
            <w:r>
              <w:rPr>
                <w:rFonts w:ascii="Arial" w:cs="Arial" w:eastAsia="Arial" w:hAnsi="Arial"/>
                <w:sz w:val="20"/>
                <w:szCs w:val="20"/>
                <w:b w:val="1"/>
                <w:bCs w:val="1"/>
                <w:color w:val="auto"/>
                <w:w w:val="92"/>
                <w:vertAlign w:val="superscript"/>
              </w:rPr>
              <w:t>(2)</w:t>
            </w: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2"/>
              </w:rPr>
              <w:t xml:space="preserve">Program </w:t>
            </w:r>
            <w:r>
              <w:rPr>
                <w:rFonts w:ascii="Arial" w:cs="Arial" w:eastAsia="Arial" w:hAnsi="Arial"/>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November 1 - November 30, 2019</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Arial" w:cs="Arial" w:eastAsia="Arial" w:hAnsi="Arial"/>
                <w:sz w:val="18"/>
                <w:szCs w:val="18"/>
                <w:color w:val="auto"/>
                <w:w w:val="98"/>
              </w:rPr>
              <w:t>December 1 - December 31, 2019</w:t>
            </w:r>
          </w:p>
        </w:tc>
        <w:tc>
          <w:tcPr>
            <w:tcW w:w="1400" w:type="dxa"/>
            <w:vAlign w:val="bottom"/>
          </w:tcPr>
          <w:p>
            <w:pPr>
              <w:jc w:val="right"/>
              <w:spacing w:after="0"/>
              <w:rPr>
                <w:sz w:val="20"/>
                <w:szCs w:val="20"/>
                <w:color w:val="auto"/>
              </w:rPr>
            </w:pPr>
            <w:r>
              <w:rPr>
                <w:rFonts w:ascii="Arial" w:cs="Arial" w:eastAsia="Arial" w:hAnsi="Arial"/>
                <w:sz w:val="18"/>
                <w:szCs w:val="18"/>
                <w:color w:val="auto"/>
              </w:rPr>
              <w:t>3,101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29.83</w:t>
            </w:r>
          </w:p>
        </w:tc>
        <w:tc>
          <w:tcPr>
            <w:tcW w:w="160" w:type="dxa"/>
            <w:vAlign w:val="bottom"/>
          </w:tcPr>
          <w:p>
            <w:pPr>
              <w:spacing w:after="0"/>
              <w:rPr>
                <w:sz w:val="18"/>
                <w:szCs w:val="18"/>
                <w:color w:val="auto"/>
              </w:rPr>
            </w:pP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January 1 - January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294,994</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80" w:right="79" w:hanging="330"/>
        <w:spacing w:after="0" w:line="227" w:lineRule="auto"/>
        <w:tabs>
          <w:tab w:leader="none" w:pos="38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Included in this table are 294,994 shares withheld during December 2019 and January 2020 in connection with the settlement of vested restricted stock units to satisfy tax withholding requirements. Our 2015 Long-Term Incentive Plan provides that shares withheld are valued at the closing price per share on the date withheld.</w:t>
      </w:r>
    </w:p>
    <w:p>
      <w:pPr>
        <w:spacing w:after="0" w:line="2" w:lineRule="exact"/>
        <w:rPr>
          <w:rFonts w:ascii="Arial" w:cs="Arial" w:eastAsia="Arial" w:hAnsi="Arial"/>
          <w:sz w:val="24"/>
          <w:szCs w:val="24"/>
          <w:color w:val="auto"/>
          <w:vertAlign w:val="superscript"/>
        </w:rPr>
      </w:pPr>
    </w:p>
    <w:p>
      <w:pPr>
        <w:jc w:val="both"/>
        <w:ind w:left="380" w:right="79" w:hanging="330"/>
        <w:spacing w:after="0" w:line="234" w:lineRule="auto"/>
        <w:tabs>
          <w:tab w:leader="none" w:pos="38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“filed” with the SEC, nor shall such information be incorporated by reference into any future filing under the Securities Act of 1933 or the Securities Exchange Act of 1934, each as amended, except to the extent that we specifically request that it be treated as soliciting material or incorporate it by reference into such filing.</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SEC requires us to present a chart comparing the cumulative total stockholder return on our Common Stock with the cumulative total stockholder return of (i) a broad equity market index and (ii) a published industry index or peer group. This chart compares the Common Stock with (i) the S&amp;P 500 Composite Index and (ii) the S&amp;P 500 Textiles, Apparel and Luxury Goods Index, and assumes an investment of $100 on January 31, 2015 in each of the Common Stock, the stocks comprising the S&amp;P 500 Composite Index and the stocks comprising the S&amp;P 500 Textiles, Apparel and Luxury Goods Index.</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2015 —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142875</wp:posOffset>
            </wp:positionV>
            <wp:extent cx="3874770" cy="3051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477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selected consolidated financial data set forth below as of and for the years ended January 31, 2020, 2019, 2018, 2017 and 2016, have been derived from our audited consolidated financial statements. Our audited consolidated balance sheets as of January 31, 2018, 2017 and 2016, and our audited consolidated statements of income for the years ended January 31, 2017 and 2016 are not included in this filing. The selected consolidated financial data should be read in conjunction with “Management’s Discussion and Analysis of Financial Condition and Results of Operations” (Item 7 of this Report) and the audited consolidated financial statements and related notes thereto included elsewhere in this Annual Report on Form 10-K.</w:t>
      </w:r>
    </w:p>
    <w:p>
      <w:pPr>
        <w:spacing w:after="0" w:line="19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consolidate the accounts of all of our wholly-owned subsidiaries. KL North America B.V. (“KLNA”) and Fabco Holding B.V. (“Fabco”) are Dutch limited liability companies that are joint ventures, each of which is 49% owned by us. KLNA operates the Karl Lagerfeld business in the United States, Mexico and Canada and Fabco operates the DKNY/Donna Karan business in China. Karl Lagerfeld Holding B.V. (“KLH”) is a Dutch limited liability company that is 19% owned by us. KLH holds the worldwide rights to the Karl Lagerfeld brand. We account for these three investments using the equity method of accounting. Our Vilebrequin subsidiary, KLNA, KLH and Fabco report results on a calendar year basis rather than on the January 31 fiscal year basis used by G-III. Accordingly, the results of Vilebrequin, KLNA, KLH and Fabco are and will be included in our financial statements for the year ended or ending closest to G-III’s fiscal year. For example, for G-III’s fiscal year ended January 31, 2020, the results of Vilebrequin, KLNA, KLH and Fabco are included for the year ended December 31, 2019. The Company’s retail stores report results on a 52/53-week fiscal year for the retail operations segment. The Company’s year ended January 31, 2018 was a 53-week fiscal year for the retail operations segment. All other years presented were a 52-week fiscal year for the retail operations segment.</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operating results of DKI have been included in our financial statements since December 1, 2016, the date of acquisition.</w:t>
      </w:r>
    </w:p>
    <w:p>
      <w:pPr>
        <w:spacing w:after="0" w:line="391"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Consolidated Income Statement Data</w:t>
      </w:r>
    </w:p>
    <w:p>
      <w:pPr>
        <w:jc w:val="center"/>
        <w:ind w:left="3700"/>
        <w:spacing w:after="0" w:line="236" w:lineRule="auto"/>
        <w:rPr>
          <w:sz w:val="20"/>
          <w:szCs w:val="20"/>
          <w:color w:val="auto"/>
        </w:rPr>
      </w:pPr>
      <w:r>
        <w:rPr>
          <w:rFonts w:ascii="Arial" w:cs="Arial" w:eastAsia="Arial" w:hAnsi="Arial"/>
          <w:sz w:val="14"/>
          <w:szCs w:val="14"/>
          <w:b w:val="1"/>
          <w:bCs w:val="1"/>
          <w:color w:val="auto"/>
        </w:rPr>
        <w:t>Year Ended January 31,</w:t>
      </w:r>
    </w:p>
    <w:tbl>
      <w:tblPr>
        <w:tblLayout w:type="fixed"/>
        <w:tblInd w:w="40" w:type="dxa"/>
        <w:tblCellMar>
          <w:top w:w="0" w:type="dxa"/>
          <w:left w:w="0" w:type="dxa"/>
          <w:bottom w:w="0" w:type="dxa"/>
          <w:right w:w="0" w:type="dxa"/>
        </w:tblCellMar>
      </w:tblPr>
      <w:tr>
        <w:trPr>
          <w:trHeight w:val="142"/>
        </w:trPr>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8"/>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3,160,464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3,076,208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2,806,938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2,386,435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2,344,142</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2,042,524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1,969,099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1,752,199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1,545,107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1,505,504</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1,117,940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1,107,109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1,054,739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838,638</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832,180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834,763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855,247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704,436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628,762</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202"/>
        </w:trPr>
        <w:tc>
          <w:tcPr>
            <w:tcW w:w="2820" w:type="dxa"/>
            <w:vAlign w:val="bottom"/>
          </w:tcPr>
          <w:p>
            <w:pPr>
              <w:ind w:left="20"/>
              <w:spacing w:after="0" w:line="201" w:lineRule="exact"/>
              <w:rPr>
                <w:sz w:val="20"/>
                <w:szCs w:val="20"/>
                <w:color w:val="auto"/>
              </w:rPr>
            </w:pPr>
            <w:r>
              <w:rPr>
                <w:rFonts w:ascii="Arial" w:cs="Arial" w:eastAsia="Arial" w:hAnsi="Arial"/>
                <w:sz w:val="18"/>
                <w:szCs w:val="18"/>
                <w:color w:val="auto"/>
                <w:w w:val="90"/>
              </w:rPr>
              <w:t>Asset impairment, net of gain on lease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terminations</w:t>
            </w:r>
          </w:p>
        </w:tc>
        <w:tc>
          <w:tcPr>
            <w:tcW w:w="9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184,484</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financing charges,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(44,407)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(43,924)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(42,363)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182,098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183,830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77,762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179,133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64,800</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143,837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114,333</w:t>
            </w:r>
          </w:p>
        </w:tc>
        <w:tc>
          <w:tcPr>
            <w:tcW w:w="0" w:type="dxa"/>
            <w:vAlign w:val="bottom"/>
          </w:tcPr>
          <w:p>
            <w:pPr>
              <w:spacing w:after="0"/>
              <w:rPr>
                <w:sz w:val="1"/>
                <w:szCs w:val="1"/>
                <w:color w:val="auto"/>
              </w:rPr>
            </w:pPr>
          </w:p>
        </w:tc>
      </w:tr>
      <w:tr>
        <w:trPr>
          <w:trHeight w:val="197"/>
        </w:trPr>
        <w:tc>
          <w:tcPr>
            <w:tcW w:w="2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w w:val="88"/>
              </w:rPr>
              <w:t>Weighted average shares outstanding -</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48,209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49,140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48,820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46,308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45,328</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w w:val="88"/>
              </w:rPr>
              <w:t>Weighted average shares outstanding -</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48,895</w:t>
            </w: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50,274</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49,750</w:t>
            </w: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47,394</w:t>
            </w: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Consolidated Balance Sheet Data</w:t>
      </w:r>
    </w:p>
    <w:p>
      <w:pPr>
        <w:jc w:val="center"/>
        <w:ind w:left="3700"/>
        <w:spacing w:after="0" w:line="236" w:lineRule="auto"/>
        <w:rPr>
          <w:sz w:val="20"/>
          <w:szCs w:val="20"/>
          <w:color w:val="auto"/>
        </w:rPr>
      </w:pPr>
      <w:r>
        <w:rPr>
          <w:rFonts w:ascii="Arial" w:cs="Arial" w:eastAsia="Arial" w:hAnsi="Arial"/>
          <w:sz w:val="14"/>
          <w:szCs w:val="14"/>
          <w:b w:val="1"/>
          <w:bCs w:val="1"/>
          <w:color w:val="auto"/>
        </w:rPr>
        <w:t>Year Ended January 31,</w:t>
      </w:r>
    </w:p>
    <w:tbl>
      <w:tblPr>
        <w:tblLayout w:type="fixed"/>
        <w:tblInd w:w="60" w:type="dxa"/>
        <w:tblCellMar>
          <w:top w:w="0" w:type="dxa"/>
          <w:left w:w="0" w:type="dxa"/>
          <w:bottom w:w="0" w:type="dxa"/>
          <w:right w:w="0" w:type="dxa"/>
        </w:tblCellMar>
      </w:tblPr>
      <w:tr>
        <w:trPr>
          <w:trHeight w:val="142"/>
        </w:trPr>
        <w:tc>
          <w:tcPr>
            <w:tcW w:w="2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10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r>
      <w:tr>
        <w:trPr>
          <w:trHeight w:val="142"/>
        </w:trPr>
        <w:tc>
          <w:tcPr>
            <w:tcW w:w="2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754,728</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673,107</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612,434</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567,519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657,636</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Total assets</w:t>
            </w:r>
          </w:p>
        </w:tc>
        <w:tc>
          <w:tcPr>
            <w:tcW w:w="1900" w:type="dxa"/>
            <w:vAlign w:val="bottom"/>
            <w:gridSpan w:val="2"/>
          </w:tcPr>
          <w:p>
            <w:pPr>
              <w:jc w:val="right"/>
              <w:ind w:right="28"/>
              <w:spacing w:after="0"/>
              <w:rPr>
                <w:sz w:val="20"/>
                <w:szCs w:val="20"/>
                <w:color w:val="auto"/>
              </w:rPr>
            </w:pPr>
            <w:r>
              <w:rPr>
                <w:rFonts w:ascii="Arial" w:cs="Arial" w:eastAsia="Arial" w:hAnsi="Arial"/>
                <w:sz w:val="18"/>
                <w:szCs w:val="18"/>
                <w:color w:val="auto"/>
              </w:rPr>
              <w:t>2,565,137</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2,208,058</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1,915,177</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1,851,944</w:t>
            </w:r>
          </w:p>
        </w:tc>
        <w:tc>
          <w:tcPr>
            <w:tcW w:w="1020" w:type="dxa"/>
            <w:vAlign w:val="bottom"/>
          </w:tcPr>
          <w:p>
            <w:pPr>
              <w:jc w:val="right"/>
              <w:spacing w:after="0"/>
              <w:rPr>
                <w:sz w:val="20"/>
                <w:szCs w:val="20"/>
                <w:color w:val="auto"/>
              </w:rPr>
            </w:pPr>
            <w:r>
              <w:rPr>
                <w:rFonts w:ascii="Arial" w:cs="Arial" w:eastAsia="Arial" w:hAnsi="Arial"/>
                <w:sz w:val="18"/>
                <w:szCs w:val="18"/>
                <w:color w:val="auto"/>
              </w:rPr>
              <w:t>1,184,070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673</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Long-term debt</w:t>
            </w:r>
          </w:p>
        </w:tc>
        <w:tc>
          <w:tcPr>
            <w:tcW w:w="1900" w:type="dxa"/>
            <w:vAlign w:val="bottom"/>
            <w:gridSpan w:val="2"/>
          </w:tcPr>
          <w:p>
            <w:pPr>
              <w:jc w:val="right"/>
              <w:ind w:right="28"/>
              <w:spacing w:after="0"/>
              <w:rPr>
                <w:sz w:val="20"/>
                <w:szCs w:val="20"/>
                <w:color w:val="auto"/>
              </w:rPr>
            </w:pPr>
            <w:r>
              <w:rPr>
                <w:rFonts w:ascii="Arial" w:cs="Arial" w:eastAsia="Arial" w:hAnsi="Arial"/>
                <w:sz w:val="18"/>
                <w:szCs w:val="18"/>
                <w:color w:val="auto"/>
              </w:rPr>
              <w:t>396,794</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386,604</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391,044</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461,756</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1,290,672</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1,189,009</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1,120,689</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1,021,236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888,128</w:t>
            </w:r>
          </w:p>
        </w:tc>
      </w:tr>
    </w:tbl>
    <w:p>
      <w:pPr>
        <w:spacing w:after="0" w:line="211" w:lineRule="exact"/>
        <w:rPr>
          <w:sz w:val="20"/>
          <w:szCs w:val="20"/>
          <w:color w:val="auto"/>
        </w:rPr>
      </w:pPr>
    </w:p>
    <w:p>
      <w:pPr>
        <w:ind w:left="900" w:right="239" w:hanging="841"/>
        <w:spacing w:after="0" w:line="277" w:lineRule="auto"/>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i w:val="1"/>
          <w:iCs w:val="1"/>
          <w:color w:val="auto"/>
        </w:rPr>
        <w:t>MANAGEMENT’S DISCUSSION AND ANALYSIS OF FINANCIAL CONDITION AND RESULTS OF OPERATION.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Unless the context otherwise requires, “G-III,” “us,” “we” and “our” refer to G-III Apparel Group, Ltd. and its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References to fiscal years refer to the year ended or ending on January 31 of that year. For example, our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31, 2020 is referred to as “fiscal 2020.”</w:t>
      </w:r>
    </w:p>
    <w:p>
      <w:pPr>
        <w:spacing w:after="0" w:line="21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following presentation of management’s discussion and analysis of our consolidated financial condition and results of operations should be read in conjunction with our financial statements, the accompanying notes and other financial information appearing elsewhere in this Report.</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 discussion with respect to a comparison of the results of operations of fiscal 2019 compared to the fiscal year ended January 31, 2018 (“fiscal 2018”), other financial information related to fiscal 2018 and information with respect to Liquidity and Capital Resources at January 31, 2018 and for fiscal 2018 is contained under the headings “Results of Operations” and “Liquidity and Capital Resources” in Item 7 of our Annual Report on Form 10-K for the fiscal year ended January 31,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6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While our products are sold at a variety of price points through a broad mix of retail partners and our own stores, a majority of our sales are concentrated with our ten largest customers. Sales to our ten largest customers comprised 72.4% of our net sales in fiscal 2020, 69.7% of our net sales in fiscal 2019 and 63.2% of our net sales in fiscal 2018.</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We focus our efforts on the sale of products under our five power brands, two of which we own and three of which we license. It is our objective to continue to expand our product offerings and we are continually discussing new licensing opportunities with brand owners and seeking to acquire established brands.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retail operations segment consists primarily of direct sales to consumers through our company-operated stores, composed primarily of Wilsons Leather, G.H. Bass and DKNY stores, substantially all of which are operated as outlet stores, as well as a smaller number of Karl Lagerfeld Paris and Calvin Klein Performance stores. This segment also includes sales through our owned websites for the DKNY, Donna Karan, Karl Lagerfeld Paris, Andrew Marc, Wilsons Leather and G.H. Bass businesses.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Coronavirus Outbreak</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operations and related strategies discussed in this Form 10-K do not take into account the developing impacts of the coronavirus pandemic. Beginning in late February 2020, this outbreak has had multiple impacts on our business, including, but not limited to, the temporary closure of our customers’ stores and closures of our own stores in North America, a mandate to require our employees who work in our headquarters to work remotely and temporary disruption of our global supply chain. These impacts are expected to result in lower sales, lower liquidity and higher leverage than previously anticipated for fiscal 2021.</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taken temporary precautionary measures intended to help minimize the risk of coronavirus to our employees, including temporarily requiring employees to work remotely. Temporarily requiring employees to work remotely may disrupt our operations or increase the risk of a cybersecurity incident. Some of our retail partners have closed their stores in North America, including our largest customer, Macy’s. Some of our customers, such as Costco and Sam’s Club, remain open for business. Our retail partners that have closed stores have asked to extend their payment terms with us. We are in the process of negotiating resolutions with our retail partners that are equitable and fiscally responsible for each of us.</w:t>
      </w:r>
    </w:p>
    <w:p>
      <w:pPr>
        <w:spacing w:after="0" w:line="83"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There is significant uncertainty around the breadth and duration of store closures and other business disruptions related to the coronavirus outbreak, as well as its impact on the U.S. and global economies and on consumer willingness to visit stores once they re-open. The extent to which coronavirus impacts our results will depend on future developments, which are highly uncertain and cannot be predicted, including new information that may emerge concerning the severity of the coronavirus outbreak and the actions taken to contain it or treat its impact.</w:t>
      </w:r>
    </w:p>
    <w:p>
      <w:pPr>
        <w:spacing w:after="0" w:line="9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In response to these challenges, we have taken measures to contain costs that include, but are not limited to, salary reductions and deferral of capital projects. We are also reviewing our inventory needs and working with suppliers to curtail, or cancel, production of product which we believe will not be able to be sold in season. We have also been working with our suppliers, landlords and licensors to negotiate extended payment terms in order to preserve capital.</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believe that we have sufficient cash and available capacity under our revolving credit facilities to meet our liquidity needs. As of March 26, 2020, we had cash of approximately $646 million and the capacity under our revolving credit facility was approximately $130 million. Our cash balance includes draw downs in March 2020 of $500.0 million under our revolving credit facility.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Industry Trends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e-commerce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that includes aggressive markdowns in an attempt to offset declines caused by a reduction in physical store traffic.</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sell our products over the web through retail partners such as macys.com and nordstrom.com, each of which has a substantial online business. As e-commerce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e-commerce business consists of our own web platforms at www.dkny.com, www.donnakaran.com, www.wilsonsleather.com, www.ghbass.com, www.vilebrequin.com and www.andrewmarc.com. We also sell Karl Lagerfeld Paris products on our website, www.karllagerfeldparis.com. In addition, we sell to pure play online retail partners such as Amazon and Fanatics.</w:t>
      </w:r>
    </w:p>
    <w:p>
      <w:pPr>
        <w:spacing w:after="0" w:line="16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 number of retailers are experiencing financial difficulties, which in some cases have resulted in bankruptcies, liquidations and/or store closings, such as the announced store closing plans for Macy’s, Lord &amp; Taylor and JCPenney and the bankruptcy of Bon-Ton.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Tariffs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tariffs on these product categories was increased to 25% beginning May 10,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to go into effect would increase from 10% to 15%. The new 15% tariffs went into effect on September 1, 2019, although the additional tariffs on certain categories of products were delayed until December 15, 2019. The announcement follows an earlier proposal by the United States government that would have imposed 25% tariffs on the balance of inbound trade from China, but that were suspended pending trade negotiations with China. In January 2020, the U.S. and China signed their Phase One Deal that rolled back certain tariffs and postponed certain tariffs that had been scheduled to go into effect on December 15, 2020.</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It is difficult to accurately estimate the impact on our business from these tariff actions or similar actions or when additional tariffs may become effective. For fiscal 2019, approximately 61% of the products that we sold were manufactured in China. For fiscal 2020, we estimate that approximately 50% of the products that we sold were manufactured in China.</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Notwithstanding the Phase One Deal, the United States government continues to negotiate with China with respect to a trade deal, which could lead to the removal or postponement of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engaged in a number of efforts to mitigate the effect on our results of operations of increases in tariffs on products imported by us from China, including accelerating the receipt of inventory,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and Critical Accounting Policies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revenues and expenses during the reporting period. Significant accounting policies employed by us, including the use of estimates, are presented in the notes to our consolidated financial statements.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Critical accounting policies are those that are most important to the portrayal of our financial condition and our results of operations, and require management’s most difficult, subjective and complex judgments, as a result of the need to make estimates about the effect of matters that are inherently uncertain. Our most critical accounting estimates, discussed below, pertain to revenue recognition, accounts receivable, inventories, income taxes, goodwill and intangible assets, impairment of long-lived assets and equity awards. In determining these estimates, management must use amounts that are based upon its informed judgments and best estimates. We continually evaluate our estimates, including those related to customer allowances and discounts, product returns, bad debts and inventories, and carrying values of intangible assets. We base our estimates on historical experience and on various other assumptions that we believe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 xml:space="preserve">On February 1, 2018, we adopted Financial Accounting Standards Board (“FASB”) Accounting Standard Codification (“ASC”) Topic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using the modified retrospective method as of January 31, 2018. Under ASC 606, wholesale revenue is recognized when control transfers to the customer. We consider control to have been transferred when we have transferred physical possession of the product, we have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Under ASC 606, we estimate the anticipated variable consideration and record this estimate as a reduction of revenue in the period the related product revenue is recognized. Prior to adopting ASC 606, certain components of variable consideration were recorded at a later date when the liability was known or incurred.</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Customer refund liabilities were recorded as a reduction to accounts receivable prior to the adoption of ASC 606. Historical return rates are calculated on a product line basis. The remainder of the historical rates for variable consideration are calculated by customer by product lines.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recognize retail sales when the customer takes possession of the goods and tenders payment, generally at the point of sale. E-commerce revenues from customers through our e-commerce platforms are recognized when the customer takes possession of the goods. Our sales are recorded net of applicable sales taxes.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Both wholesale revenues and retail store revenues are shown net of returns, discounts and other allowances. Under ASC 606, we now classify cooperative advertising as a reduction of net sales. Previously, cooperative advertising was recorded in selling, general and administrative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Royalty revenue is recognized at the higher of royalty earned or guaranteed minimum royalty.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the normal course of business, we extend credit to our wholesale customers based on pre-defined credit criteria. Accounts receivable, as shown on our consolidated balance sheet, are net of an allowance for doubtful accounts. In circumstances where we are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Estimated costs associated with trade discounts, advertising allowances, markdowns, and reserves for returns are reflected as a reduction of net sales. We reserve against known chargebacks, as well as for an estimate of potential future deductions by customers. These provisions result from seasonal negotiations with our customers as well as historical deduction trends, net of historical recoveries and the evaluation of current market conditions.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Wholesale inventories are stated at the lower of cost (determined by the first-in, first-out method) or net realizable value, which comprises a significant portion of our inventory. Retail inventories are valued at the lower of cost or market as determined by the retail inventory method. Vilebrequin inventories are stated at the lower of cost (determined by the weighted average method) or net realizable value.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continually evaluate the composition of our inventories, assessing slow-turning, ongoing product as well as fashion product from prior seasons. The net realizable value of distressed inventory is based on historical sales trends of our individual product lines, the impact of market trends and economic conditions, expected permanent retail markdowns and the value of current orders for this type of inventory. A provision is recorded to reduce the cost of inventories to the estimated net realizable values, if required.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estimating our actual current tax expense, together with assessing temporary differences resulting from differing treatment of items for tax and accounting purposes. These differences result in deferred tax assets and liabilities, which are included within our consolidated balance sheet.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 xml:space="preserve">ASC Topic 350 –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350”) requires that goodwill and intangible assets with an indefinite life be tested for impairment at least annually and are required to be written down when impaired. We perform our test in the fourth fiscal quarter of each year, or more frequently, if events or changes in circumstances indicate the carrying amount of such assets may be impaired. Goodwill and intangible assets with an indefinite life are tested for impairment by comparing the fair value of the reporting unit with its carrying value. We have identified two reporting units, which are wholesale operations and retail operations. Fair value is generally determined using discounted cash flows, market multiples and market capitalization. Significant estimates used in the fair value methodologies include estimates of future cash flows, future short-term and long-term growth rates, weighted average cost of capital and estimates of market multiples of the reportable unit. If these estimates or their related assumptions change in the future, we may be required to record impairment charges for our goodwill and intangible assets with an indefinite life.</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process of evaluating the potential impairment of goodwill is subjective and requires significant judgment at many points during the analysis. The evaluation consists of either using a qualitative approach to determine whether it is more likely than not that the fair value of the assets is less than their respective carrying values or a quantitative impairment test, if necessary. In performing a qualitative evaluation, we consider many factors in evaluating whether the carrying value of goodwill may not be recoverable, including declines in our stock price and market capitalization in relation to our book value and macroeconomic conditions affecting our business. In performing a quantitative evaluation, to estimate the fair value of a reporting unit for the purposes of our annual or periodic analyses, we make estimates and judgments about the future cash flows of that reporting unit. Although our cash flow forecasts are based on assumptions that are consistent with our plans and estimates we are using to manage the underlying businesses, there is significant exercise of judgment involved in determining the cash flows attributable to a reporting unit over its estimated remaining useful life. In addition, we make certain judgments about allocating shared assets to the estimated balance sheets of our reporting units. We also consider our and our competitor’s market capitalization on the date we perform the analysis. Changes in judgment on these assumptions and estimates could result in a goodwill impairment charge. In both fiscal 2020 and 2019, we performed a qualitative evaluation and, in fiscal 2018, we performed a quantitative evaluation.</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have allocated the purchase price of the companies we acquired to the tangible and intangible assets acquired and liabilities we assumed, based on their estimated fair values. These valuations require management to make significant estimations and assumptions, especially with respect to intangible assets.</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fair values assigned to the identifiable intangible assets acquired were based on assumptions and estimates made by management using unobservable inputs reflecting our own assumptions about the inputs that market participants would use in pricing the asset or liability based on the best information available.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accordance with ASC 350, in the first step of our goodwill impairment review, we compare the fair value of the wholesale operations reporting unit to our carrying value. If the fair value of the reporting unit exceeds our carrying value, goodwill is not impaired and no further testing is required. In fiscal 2018, we wrote off $0.7 million of the goodwill associated with the retail operations segment as a result of the performance of the retail operations segment. In fiscal 2020 and fiscal 2019, we performed a qualitative evaluation where we considered the measurable performance of the wholesale operations reporting unit, our stock price and market capitalization and the current macroeconomics regarding the retail industry where our products are sold. In fiscal 2018, we performed a quantitative evaluation where we estimated the fair value of the reporting units using a weighting of fair values derived most significantly from the market approach and, to a lesser extent, from the income approach. Under the income approach, we calculated the fair value of the reporting units based on the present value of estimated future cash flows. Cash flows projections are based on management’s estimates of revenue growth rates and earnings before interest and taxes, taking into consideration industry and market conditions. The assumptions used for the impairment analysis were developed by management of each reporting unit based on industry projections, as well as specific facts relating to the reporting units. If the reporting units were to experience sales declines or be exposed to enhanced and sustained pricing and volume pressures there would be an increased risk of impairment of goodwill for the reporting units.</w:t>
      </w:r>
    </w:p>
    <w:p>
      <w:pPr>
        <w:spacing w:after="0" w:line="3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Critical estimates in valuing intangible assets include future expected cash flows from license agreements, trade names and customer relationships. In addition, other factors considered are the brand awareness and market position of the products sold by the acquired companies and assumptions about the period of time the brand will continue to be used in the combined company’s product portfolio. Management’s estimates of fair value are based on assumptions believed to be reasonable, but which are inherently uncertain and unpredictable.</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did not appropriately allocate these components or we incorrectly estimate the useful lives of these components, our computation of amortization expense may not appropriately reflect the actual impact of these costs over future periods, which may affect our results of operations.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Trademarks having finite lives are amortized over their estimated useful lives and measured for impairment when events or circumstances indicate that the carrying value may be impaired.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are less than the carrying value of the assets. A potential impairment has occurred if projected future undiscounted cash flows are less than the carrying value of the assets.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fiscal 2020, we recorded a $21.8 million impairment charge primarily related to leasehold improvements, furniture and fixtures and operating lease assets at certain of our Wilsons Leather, G.H. Bass and DKNY stores as a result of the performance at these stores.</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fiscal 2019, we recorded a $2.8 million impairment charge related to leasehold improvements and furniture and fixtures at certain of our Wilsons Leather, G.H. Bass and DKNY stores as a result of the performance at these stores.</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fiscal 2018, we recorded a $6.5 million impairment charge related to leasehold improvements and furniture and fixtures at certain of our Wilsons Leather, G.H. Bass and Vilebrequin stores as a result of the performance at these stores. In addition, we recorded a $0.7 million impairment charge with respect to furniture and fixtures located in certain customers’ stores.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Restricted stock units (“RSU’s”) are time based awards that do not have market or performance conditions and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Performance Based Restricted Stock Units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Performance based restricted stock units consist of both performance based restricted stock units (“PRSU’s”) and performance stock units (“PSU’s”).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requisite acceleration method.</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PSU’s were granted to executives in fiscal 2020 and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shares for two years subsequent to the date of vesting. PSU’s are expensed over the service period under the requisite acceleration method and based on an estimated percentage of achievement of certain pre-established goals.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Compensation expense for employee stock options is recognized in the consolidated financial statements over the service period (generally the vesting period) based on their fair value. Stock options are valued using the Black-Scholes option pricing model. The Black-Scholes model requires subjective assumptions regarding dividend yields, expected volatility, expected life of options and risk-free interest rates. These assumptions reflect management’s best estimates. Changes in these inputs and assumptions can materially affect the estimate of fair value and the amount of our compensation expenses for stock options.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sets forth our operating results as a percentage of our net sales for the fiscal years indicated below:</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16"/>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64.6</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64.0</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62.4</w:t>
            </w: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30.5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r>
      <w:tr>
        <w:trPr>
          <w:trHeight w:val="216"/>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impairments, net of gain on lease terminations</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0.3</w:t>
            </w: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loss</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(0.1)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charges, net</w:t>
            </w:r>
          </w:p>
        </w:tc>
        <w:tc>
          <w:tcPr>
            <w:tcW w:w="9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3.9</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r>
      <w:tr>
        <w:trPr>
          <w:trHeight w:val="209"/>
        </w:trPr>
        <w:tc>
          <w:tcPr>
            <w:tcW w:w="58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4.7 %</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4.5 %</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5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January 31, 2020 (“fiscal 2020”) compared to year ended January 31, 2019 (“fiscal 2019”)</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sales for fiscal 2020 increased to $3.16 billion from $3.08 billion in the prior year. Net sales of our segments are reported before intercompany eliminations.</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Net sales of our wholesale operations segment increased to $2.86 billion from $2.72 billion in the comparable period last year. This increase is primarily the result of a $105.0 million increase in net sales of Tommy Hilfiger licensed products, an $85.7 million increase in net sales of our DKNY and Donna Karan products and a $48.5 million increase in net sales of Calvin Klein licensed products. The increase in sales of Tommy Hilfiger products was primarily related to sportswear, dress, performancewear and outerwear, the increase in sales of DKNY/Donna Karan products was primarily related to handbags, performancewear, sportswear and footwear and the increase in sales of Calvin Klein products was primarily related to performancewear and outerwear, as well as the introduction of jeanswear. These increases were offset, in part, by a $34.0 million decrease in sales of Ivanka Trump product in connection with the expiration of that license, a $31.9 million decrease in sales of Andrew Marc products and a $15.1 million decrease in sales of private label products.</w:t>
      </w:r>
    </w:p>
    <w:p>
      <w:pPr>
        <w:spacing w:after="0" w:line="16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sales of our retail operations segment decreased to $385.9 million from $476.8 million in the same period last year. Net sales from our G.H. Bass store chain decreased by $44.3 million and net sales from our Wilsons Leather store chain decreased by $40.4 million. Net sales from our DKNY retail stores decreased by $5.9 million. Same store sales decreased by 14.4% at G.H. Bass, 14.3% at Wilsons Leather and 0.4% at DKNY retail stores. Net sales of our retail operations segment were negatively affected by the decrease in the number of stores operated by us from 308 at January 31, 2019 to 282 at January 31, 2020.</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Gross profit was $1.12 billion, or 35.4% of net sales, for fiscal 2020 and $1.11 billion, or 36.0% of net sales, last year. Retail sales generally have a higher gross profit percentage than wholesale sales. Accordingly, there is a negative impact on the gross profit percentage of our business as a whole as retail sales constitute a reduced percentage of our total sales. The gross profit percentage in our wholesale operations segment was 32.7% for the year ended January 31, 2020 as compared to 32.4% for the year ended January 31, 2019. The gross profit percentage in our retail operations segment was 46.7% for the year ended January 31, 2020 compared to 47.7% for the same period last year.</w:t>
      </w:r>
    </w:p>
    <w:p>
      <w:pPr>
        <w:spacing w:after="0" w:line="16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expenses decreased to $832.2 million in fiscal 2020 from $834.8 million in fiscal 2019. The decrease in expenses was due to decreased facility expenses of $12.4 million, primarily as a result of store closures. Personnel expenses decreased primarily as a result of a decrease in salary expenses of $4.1 million resulting from store closures, as well as an aggregate $6.1 million decrease in bonus and stock compensation expense. The decrease was offset, in part, by increases of $13.1 million for third-party warehouse expenses and $7.4 million of advertising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Depreciation and amortization increased to $38.7 million in fiscal 2020 from $38.8 million in the prior year. The increase in expense is due to capital expenditures during the current year.</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fiscal 2020, we recorded a $19.4 million impairment charge, net of gain on lease terminations, related to leasehold improvements, furniture and fixtures and operating lease assets at certain of our Wilsons Leather, G.H. Bass and DKNY stores as a result of the performance at these stores. In fiscal 2019, we recorded a $2.8 million impairment charge related to leasehold improvements and furniture and fixtures at certain of our Wilsons Leather, G.H. Bass and DKNY stores.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loss was $1.2 million in fiscal 2020 compared to $3.0 million in fiscal 2019. The decrease is primarily the result of recording $0.3 million of income from unconsolidated affiliates during fiscal 2020 compared to $1.5 million of losses in fiscal 2019.</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and financing charges, net for fiscal 2020, were $44.4 million compared to $43.9 million for the prior year. Interest rates and borrowings were similar in both periods.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Income tax expense for fiscal 2020 was $38.3 million compared to $45.8 million for the prior year. Our effective tax rate was 21.0% in fiscal 2020 compared to 24.9% in the prior year. This decrease in our effective tax rate is primarily the result of the enactment of the Switzerland tax reform. The change in Switzerland tax laws resulted in a decrease in the deferred tax liabilities related to our foreign owned intangible assets. Our effective tax rate in fiscal 2020 includes a provisional benefit of $6.1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21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are party to an amended and restated credit agreement (the “ABL Credit Agreement”) with the Lenders named therein and with JPMorgan Chase Bank, N.A., as Administrative Agent. The ABL Credit Agreement is a five-year senior secured credit facility providing for borrowings in the aggregate principal amount of up to $650 million. We and certain of our subsidiaries are Loan Guarantors under the ABL Credit Agreement.</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Amounts available under the ABL Credit Agreement are subject to borrowing base formulas and over advances as specified in the ABL Credit Agreement. Borrowings bear interest, at our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Borrowers’ availability under the ABL Credit Agreement. As of January 31, 2020, interest under the ABL Credit Agreement was being paid at the average rate of 3.26% per annum. The ABL Credit Agreement is secured by specified assets of us and certain of our subsidiaries.</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to paying interest on any outstanding borrowings under the ABL Credit Agreement, we are required to pay a commitment fee to the lenders under the ABL Credit Agreement with respect to the unutilized commitments. The commitment fee shall accrue at a rate equal to 0.25% per annum on the average daily amount of the available commitment.</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ABL Credit Agreement contains covenants that, among other things, restrict our ability, subject to specified exceptions, to incur additional debt; incur liens; sell or dispose of certain assets; merge with other companies; liquidate or dissolve G-III; acquire other companies; make loans, advances, or guarantees; and make certain investments. In certain circumstances, the revolving credit facility also requires us to maintain a fixed charge coverage ratio, as defined in the agreement, that may not be less than 1.00 to 1.00 for each period of twelve consecutive fiscal months. As of January 31, 2020, the Company was in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are also party to a Credit Agreement with the lenders party thereto and Barclays Bank PLC, as administrative agent and collateral agent (the “Term Loan Credit Agreement”).</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Term Loan Credit Agreement provides for term loans in an original aggregate principal amount of $350.0 million (the “Term Loans”). We used the proceeds to fund a portion of the purchase price with respect to the acquisition of DKI, with the remainder being used for general corporate purposes. On December 1, 2016, we prepaid $50 million in principal amount of the Term Loans, reducing the principal balance of the Term Loans to $300 million. The Term Loans and other obligations under the Term Loan Credit Agreement are guaranteed by certain of the Company’s restricted subsidiaries (the “Guarantors”).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Term Loan Credit Agreement permits the Company to incur, from time to time, additional incremental term loans under the Term Loan Credit Agreement (subject to obtaining commitments for such term loans)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 indebtedness, subject to an overall limit of (x) $125.0 million plus (y) such additional amount that would cause the Company’s first lien leverage ratio not to exceed 2.25 to 1.00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Any such incremental term loans and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 indebtedness are permitted to share in the Collateral described below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Maturity and Interest Rate</w:t>
      </w:r>
    </w:p>
    <w:p>
      <w:pPr>
        <w:spacing w:after="0" w:line="15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Term Loan will mature in December 2022. Interest on the outstanding principal amount of the Term Loan accrues at a rate equal to LIBOR, subject to 1% floor, plus an applicable margin of 5.25% or an alternate base rate (defined as the greatest of (i) the “prime rate” as published by the Wall Street Journal from time to time, (ii) the federal funds rate plus 0.5% and (iii) the LIBOR rate for a borrowing with an interest period of one month) plus 4.25%, per annum, payable in cash. As of January 31, 2020, interest under the Term Loan was being paid at the average rate of 7.58% per annum.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Collateral</w:t>
      </w:r>
    </w:p>
    <w:p>
      <w:pPr>
        <w:spacing w:after="0" w:line="15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Subject to certain permitted liens and other exclusions and exceptions, the Term Loans are secured (i) on a first-priority basis by a lien on, among other things, our real estate assets, equipment and fixtures, equity interests and intellectual property and certain related rights owned by us and the Guarantors (the “Term Priority Collateral”) and (ii) by a second-priority security interest in our and the Guarantors’ other assets (together with the Term Priority Collateral, the “Collateral”), which will secure on a first-priority basis our asset-based loan facility described above under the caption “ABL Credit Agreement”.</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1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Term Loans may be prepaid, at the option of the Company, in whole or in part, at any time at par plus accrued interest. On December 1, 2016, we prepaid $50.0 million of the outstanding balance of the loan. We paid a fee of $0.5 million to the lenders in connection with this prepayment.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w:t>
      </w:r>
    </w:p>
    <w:p>
      <w:pPr>
        <w:spacing w:after="0" w:line="21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Term Loans are required to be prepaid with the proceeds of certain asset sales if such proceeds are not applied as required by the Term Loan Credit Agreement within certain specified deadlines.</w:t>
      </w:r>
    </w:p>
    <w:p>
      <w:pPr>
        <w:spacing w:after="0" w:line="103"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Term Loans are also required to be prepaid in an amount equal to 75% of our Excess Cash Flow (as defined in the Term Loan Credit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 As of January 31, 2020, we were not required to make a prepayment based on excess cash flow.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occurrence of specified change of control events constitute an event of default under the Term Loan Credit Agreement.</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Certain Covenants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Term Loan contains covenants that, among other things, restrict our ability, subject to certain exceptions, to incur additional debt; incur liens; sell or dispose of certain assets; merge with other companies; liquidate or dissolve G-III; acquire other companies; make loans, advances, or guarantees; and make certain investments. As described above, the Term Loan also includes a mandatory prepayment provision with respect to Excess Cash Flow. A first lien leverage covenant requires us to maintain a level of debt to EBITDA at a ratio as defined in the term loan agreement. As of January 31, 2020, the Company was in compliance with these covenants.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Term Loan Credit Agreement limits our and our restricted subsidiaries’ ability to:</w:t>
      </w:r>
    </w:p>
    <w:p>
      <w:pPr>
        <w:spacing w:after="0" w:line="131"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dividend payments or other restricted payments;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 (including securities of our restricted subsidiaries);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certain restrictions on dividends and transfers of assets by our restricted subsidiaries;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types of transactions with shareholders and affiliates;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mergers, consolidations or sales of all or substantially all of our assets.</w:t>
      </w:r>
    </w:p>
    <w:p>
      <w:pPr>
        <w:spacing w:after="0" w:line="13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covenants are subject to exceptions and qualifications. The Term Loan Credit Agreement also contains affirmative covenants and events of default that are customary for credit agreements governing term loans.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LVMH Note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Based on an independent valuation, it was determined that the LVMH Note should be treated as having been issued at a discount of $40.0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discount is being amortized as interest expense using the effective interest method over the term of the LVMH Note.</w:t>
      </w:r>
    </w:p>
    <w:p>
      <w:pPr>
        <w:spacing w:after="0" w:line="18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connection with the issuance of the LVMH Note, LVMH entered into (i) a subordination agreement with Barclays Bank PLC, as administrative agent for the lenders party to the Term Loan Credit Agreement and collateral agent for the Senior Secured Parties thereunder and JPMorgan Chase Bank, N.A., as administrative agent for the lenders and other Senior Secured Parties under the ABL Credit Agreement, providing that our obligations under the LVMH Note are subordinate and junior to our obligations under the ABL Credit Agreement and Term Loan Credit Agreement, and (ii) a pledge and security agreement with us and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ABL Credit Agreement and Term Loan Credit Agreement.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Unsecured Loan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April 15, 2019, T.R.B. International SA (“TRB”), a subsidiary of Vilebrequin, borrowed €3.0 million under an unsecured loan with Banque du Leman S.A (the “Unsecured Loan”). The Unsecured Loan matures on April 15, 2024. During the term of the Unsecured Loan, TRB is required to make quarterly installment payments of €0.2 million. Interest on the outstanding principal amount of the Unsecured Loan accrues at a fixed rate equal to 1.50% per annum, payable quarterly in cash.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Outstanding Borrowings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5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incurred significant additional debt in connection with our acquisition of DKI. We had no borrowings outstanding under the ABL Credit Agreement at January 31, 2020 and had no borrowings outstanding under the ABL Credit Agreement at January 31, 2019. In addition, we had $300.0 million in borrowings outstanding under the Term Loan Credit Agreement at both January 31, 2020 and 2019. Our contingent liability under open letters of credit was approximately $11.8 million at January 31, 2020 and $14.8 million at January 31, 2019. In addition to the amounts outstanding under these two loan agreements, at January 31, 2020 and 2019, we had $125.0 million of face value principal amount outstanding under the LVMH Note. As of January 31, 2020, we also had €2.6 million ($2.9 million) outstanding under the Unsecured Loan. As of March 26, 2020, we had cash of approximately $646.0 million and borrowing capacity under our revolving credit facility of approximately $130.0 million. Our cash balance as of March 26, 2020 includes draw downs in March 2020 of $500.0 million under our ABL Credit Agreement.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Board of Directors has authorized a share repurchase program of 5,000,000 shares. Pursuant to this program, during fiscal 2020 we acquired 1,327,566 of our shares of common stock for an aggregate purchase price of $35.2 million and during fiscal 2019 we acquired 723,072 of our shares of common stock for an aggregate purchase price of $20.3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January 31, 2020, we had 2,949,362 authorized shares remaining under this program. As of March 23, 2020, we had approximately 48,009,346 shares of common stock outstanding.</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from Operating Activities</w:t>
      </w:r>
    </w:p>
    <w:p>
      <w:pPr>
        <w:spacing w:after="0" w:line="15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At January 31, 2020, we had cash and cash equivalents of $197.4 million. We generated $209.0 million of cash from operating activities in fiscal 2020, primarily as a result of our net income of $143.8 million, and non-cash charges in the aggregate amount of $151.4 million relating primarily to operating lease costs ($73.3 million), depreciation and amortization ($38.7 million), asset impairment charges ($21.8 million) and share-based compensation ($17.6 million). We also generated cash from operating activities from decreases of $24.5 million in inventories and $15.9 million in prepaid expenses and other current assets. These items were offset, in part, by a decrease of $79.8 million in operating lease liabilities, an increase of $28.0 million in accounts receivable, a decrease of $18.6 million in accounts payable and accrued expenses, and a decrease of $10.2 million in customer refund liabilities.</w:t>
      </w:r>
    </w:p>
    <w:p>
      <w:pPr>
        <w:spacing w:after="0" w:line="17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At January 31, 2019, we had cash and cash equivalents of $70.1 million. We generated $103.8 million of cash from operating activities in fiscal 2019, primarily as a result of our net income of $138.1 million, a $177.1 million increase in customer refund liabilities, non-cash depreciation and amortization of $38.8 million and non-cash share-based compensation of $19.7 million. These increases were offset, in part, by a $207.9 million increase in accounts receivable, a $48.0 million increase in prepaid expenses and other current assets, and a $23.6 million increase in inventories. The changes in accounts receivable and customer refund liabilities are mainly the result of the adoption of ASC 606. The adoption of ASC 606 resulted in recognizing the cumulative effect adjustment to the opening balance of retained earnings and classifying, on a prospective basis, the reserves for variable consideration from accounts receivable to customer refund liabilities. The adoption of ASC 606 also resulted in the classification, on a prospective basis, of the carrying value of the inventory return asset from inventories to prepaid expenses and other current assets. Excluding the impact of ASC 606, accounts receivable would have increased approximately 10%, which is consistent with our sales growth, and inventory would have increased approximately 12%. Inventory levels at DKNY have grown consistent with the launch and development of new product lines and we received inventory earlier in fiscal 2019 in anticipation of the Chinese New Year shutdown of certain of the factories of certain of our suppliers.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from Investing Activities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fiscal 2020, we used $40.1 million of cash in investing activities for capital expenditures and initial direct costs of operating lease assets. Capital expenditures in the period primarily related to information technology expenditures and additional fixturing costs at department stores. Operating lease assets initial direct costs in the period primarily related to payments of key money and broker fees.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fiscal 2019, we used $37.3 million of cash in investing activities. The cash used in investing activities consisted of $29.2 million in capital expenditures primarily related to additional fixturing costs at department stores, as well as improvements and remodels of our retail stores, and $9.9 million for funding the remaining obligation of our investment in Fabco Holding B.V.</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from Financing Activities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fiscal 2020, we used $44.5 million of cash in financing activities. We used $35.2 million of cash to repurchase 1,327,566 shares of our common stock under our share repurchase program and $12.2 million for taxes paid with respect to net share settlements.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fiscal 2019, we used $38.0 million of cash in financing activities. We used $20.3 million of cash to repurchase 723,072 shares of our common stock under our share repurchase program, $12.0 million to reduce net borrowings under our revolving credit facility and $5.7 million for taxes paid with respect to net share settlements.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Needs</w:t>
      </w:r>
    </w:p>
    <w:p>
      <w:pPr>
        <w:spacing w:after="0" w:line="225"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See Note A.19 – Effects of Recently Adopted and Issued Accounting Pronouncements in the accompanying notes to our Consolidated Financial Statements in this Annual Report on Form 10-K for a description of recently adopted accounting pronouncements and issued accounting pronouncements that we believe may have an impact on our Consolidated Financial Statements when adopted.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as such term is defined in Item 303 of Regulation S-K of the SEC rules.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January 31, 2020, our contractual obligations were as follows (in millions):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w w:val="96"/>
              </w:rPr>
              <w:t>Less Than</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1-3 Years</w:t>
            </w:r>
          </w:p>
        </w:tc>
        <w:tc>
          <w:tcPr>
            <w:tcW w:w="14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4-5 Years</w:t>
            </w:r>
          </w:p>
        </w:tc>
        <w:tc>
          <w:tcPr>
            <w:tcW w:w="84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More Than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145.4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 xml:space="preserve">Minimum royalty payments </w:t>
            </w:r>
            <w:r>
              <w:rPr>
                <w:rFonts w:ascii="Arial" w:cs="Arial" w:eastAsia="Arial" w:hAnsi="Arial"/>
                <w:sz w:val="26"/>
                <w:szCs w:val="26"/>
                <w:color w:val="auto"/>
                <w:vertAlign w:val="superscript"/>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125.8</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5"/>
                <w:szCs w:val="25"/>
                <w:color w:val="auto"/>
                <w:vertAlign w:val="superscript"/>
              </w:rPr>
              <w:t>(3)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1,189.6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611.3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Includes obligations to pay minimum scheduled royalty, advertising and other required payments under various license agreements.</w:t>
      </w:r>
    </w:p>
    <w:p>
      <w:pPr>
        <w:spacing w:after="0" w:line="10" w:lineRule="exact"/>
        <w:rPr>
          <w:rFonts w:ascii="Arial" w:cs="Arial" w:eastAsia="Arial" w:hAnsi="Arial"/>
          <w:sz w:val="21"/>
          <w:szCs w:val="21"/>
          <w:color w:val="auto"/>
          <w:vertAlign w:val="superscript"/>
        </w:rPr>
      </w:pPr>
    </w:p>
    <w:p>
      <w:pPr>
        <w:jc w:val="both"/>
        <w:ind w:left="380" w:right="79" w:hanging="330"/>
        <w:spacing w:after="0" w:line="231" w:lineRule="auto"/>
        <w:tabs>
          <w:tab w:leader="none" w:pos="38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Includes $300.0 million related to our Term Loan that will mature in 2022 and $125.0 million in face principal amount of the note issued to LVMH payable in 2023. Long-term debt obligations also includes our Unsecured Loan which matures in 2024 and requires us to make quarterly installment payments of €0.2 million. We had no borrowings outstanding under our revolving credit facility as of January 31, 2020.</w:t>
      </w:r>
    </w:p>
    <w:p>
      <w:pPr>
        <w:spacing w:after="0" w:line="2" w:lineRule="exact"/>
        <w:rPr>
          <w:rFonts w:ascii="Arial" w:cs="Arial" w:eastAsia="Arial" w:hAnsi="Arial"/>
          <w:sz w:val="24"/>
          <w:szCs w:val="24"/>
          <w:color w:val="auto"/>
          <w:vertAlign w:val="superscript"/>
        </w:rPr>
      </w:pPr>
    </w:p>
    <w:p>
      <w:pPr>
        <w:ind w:left="420" w:right="79" w:hanging="370"/>
        <w:spacing w:after="0" w:line="211" w:lineRule="auto"/>
        <w:tabs>
          <w:tab w:leader="none" w:pos="42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Includes outstanding trade letters of credit, which represent inventory purchase commitments, which typically mature in less than six months.</w:t>
      </w:r>
    </w:p>
    <w:p>
      <w:pPr>
        <w:spacing w:after="0" w:line="20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Rate Risks and Commodity Price Risk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negotiate substantially all our purchase orders with foreign manufacturers in United States dollars. Thus, notwithstanding any fluctuation in foreign currencies, our cost for any purchase order is not subject to change after the time the order is placed. However, if the value of the United States dollar against local currencies were to decrease, manufacturers might increase their United States dollar prices for products.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sales from the non-U.S. operations of Vilebrequin and DKI could be affected by currency fluctuations, primarily relating to the Euro. We cannot fully anticipate all of our currency exposures and therefore foreign currency fluctuations may impact our business, financial condition, and results of operations. However, we believe that the risks related to these fluctuations are not material due to the low volume of transactions by us that are denominated in currencies other than the U.S. dollar.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Exposure</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market risk from exposure to changes in interest rates relating to our Term Loan and our revolving credit facility. We borrow under our revolving credit facility to support general corporate purposes, including capital expenditures and working capital needs. Interest rates increased in fiscal 2019 and decreased in fiscal 2020. Any future increase in interest rates by the Federal Reserve will result in increases in our interest expense under our Term Loan and ABL Credit Facility. Based on the outstanding balances of our Term Loan and our revolving credit facility as of January 31, 2020, we estimate that each 100 basis point increase in our borrowing rates would result in additional interest expense to us of approximately $3.0 million.</w:t>
      </w:r>
    </w:p>
    <w:p>
      <w:pPr>
        <w:spacing w:after="0" w:line="19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Financial statements and supplementary data required pursuant to this Item begin on page F-1 of this Report.</w:t>
      </w:r>
    </w:p>
    <w:p>
      <w:pPr>
        <w:spacing w:after="0" w:line="221" w:lineRule="exact"/>
        <w:rPr>
          <w:sz w:val="20"/>
          <w:szCs w:val="20"/>
          <w:color w:val="auto"/>
        </w:rPr>
      </w:pPr>
    </w:p>
    <w:p>
      <w:pPr>
        <w:ind w:left="900" w:right="139" w:hanging="841"/>
        <w:spacing w:after="0" w:line="277" w:lineRule="auto"/>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of January 31, 2020, our management, including the Chief Executive Officer and Chief Financial Officer, carried out an evaluation of the effectiveness of the design and operation of our disclosure controls and procedures (as such term is defined in Rule 13a-15(e) under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Commission’s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 Integrated Framework (2013)</w:t>
      </w:r>
      <w:r>
        <w:rPr>
          <w:rFonts w:ascii="Arial" w:cs="Arial" w:eastAsia="Arial" w:hAnsi="Arial"/>
          <w:sz w:val="16"/>
          <w:szCs w:val="16"/>
          <w:color w:val="auto"/>
        </w:rPr>
        <w:t>, issued by the Committee of Sponsoring Organizations of the Treadway</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or COSO. Our system of internal control over financial reporting is designed to provide reasonable assurance regarding the reliability of financial reporting and the preparation and fair presentation of financial statements for external purposes in accordance with accounting principles generally accepted in the United States.</w:t>
      </w:r>
    </w:p>
    <w:p>
      <w:pPr>
        <w:spacing w:after="0" w:line="1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 xml:space="preserve">Based on its assessment, management has concluded that we maintained effective internal control over financial reporting as of January 31, 2020, based on criteria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issued by the COSO.</w:t>
      </w:r>
    </w:p>
    <w:p>
      <w:pPr>
        <w:spacing w:after="0" w:line="12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independent auditors, Ernst &amp; Young LLP, a registered public accounting firm, have audited and reported on our consolidated financial statements and the effectiveness of our internal control over financial reporting. The reports of our independent auditors appear on pages F-2 and F-3 of this Form 10-K and express unqualified opinions on the consolidated financial statements and the effectiveness of our internal control over financial reporting.</w:t>
      </w:r>
    </w:p>
    <w:p>
      <w:pPr>
        <w:spacing w:after="0" w:line="16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have adopted a code of ethics and business conduct, or Code of Ethics and Conduct, which applies to all of our employees, our principal executive officer, principal financial officer, principal accounting officer controller and persons performing similar functions. Our Code of Ethics and Conduct is located on our Internet website at www.g-iii.com under the heading “Corporate Governance.” Any amendments to, or waivers from, a provision of our Code of Ethics and Conduct that apply to our principal executive officer, principal financial officer, principal accounting officer, controller and persons performing similar functions will be disclosed on our Internet website within five business days following such amendment or waiver. The information contained on or connected to our Internet website is not incorporated by reference into this Form 10-K and should not be considered part of this or any other report we file with or furnish to the Securities and Exchange Commission.</w:t>
      </w:r>
    </w:p>
    <w:p>
      <w:pPr>
        <w:spacing w:after="0" w:line="19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information required by Item 401 of Regulation S-K regarding directors is contained under the heading “Proposal No. 1 — Election of Directors” in our definitive Proxy Statement (the “Proxy Statement”) relating to our Annual Meeting of Stockholders to be held on or about June 11, 2020, to be filed pursuant to Regulation 14A of the Securities Exchange Act of 1934 with the Securities and Exchange Commission, and is incorporated herein by reference. For information concerning our executive officers, see “Business — Information About Our Executive Officers” in Item 1 in this Form 10-K.</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information required by Item 405 of Regulation S-K is contained under the heading “Delinquent Section 16(a) Reports” in our Proxy Statement and is incorporated herein by reference. The information required by Items 407(c)(3), (d)(4), and (d)(5) of Regulation S-K is contained under the heading “Corporate Governance” in our Proxy Statement and is incorporated herein by reference.</w:t>
      </w:r>
    </w:p>
    <w:p>
      <w:pPr>
        <w:spacing w:after="0" w:line="18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information required by this Item 11 is contained under the headings “Executive Compensation” and “Compensation Committee Report”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right="779" w:hanging="906"/>
        <w:spacing w:after="0" w:line="277" w:lineRule="auto"/>
        <w:tabs>
          <w:tab w:leader="none" w:pos="9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Security ownership information of certain beneficial owners and management as called for by this Item 12 is incorporated by reference to the information set forth under the heading “Beneficial Ownership of Common Stock by Certain Stockholders and Management” in our Proxy Statement.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provides information as of January 31, 2020, the last day of fiscal 2020, regarding securities issued under G-III’s equity compensation plans that were in effect during fiscal 2020.</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left="103"/>
              <w:spacing w:after="0"/>
              <w:rPr>
                <w:sz w:val="20"/>
                <w:szCs w:val="20"/>
                <w:color w:val="auto"/>
              </w:rPr>
            </w:pPr>
            <w:r>
              <w:rPr>
                <w:rFonts w:ascii="Arial" w:cs="Arial" w:eastAsia="Arial" w:hAnsi="Arial"/>
                <w:sz w:val="14"/>
                <w:szCs w:val="14"/>
                <w:b w:val="1"/>
                <w:bCs w:val="1"/>
                <w:color w:val="auto"/>
                <w:w w:val="92"/>
              </w:rPr>
              <w:t>Number of Securities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Weighted Average</w:t>
            </w: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be Issued Upon Exercise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60" w:type="dxa"/>
            <w:vAlign w:val="bottom"/>
          </w:tcPr>
          <w:p>
            <w:pPr>
              <w:jc w:val="center"/>
              <w:ind w:left="103"/>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180" w:type="dxa"/>
            <w:vAlign w:val="bottom"/>
          </w:tcPr>
          <w:p>
            <w:pPr>
              <w:spacing w:after="0"/>
              <w:rPr>
                <w:sz w:val="12"/>
                <w:szCs w:val="12"/>
                <w:color w:val="auto"/>
              </w:rPr>
            </w:pPr>
          </w:p>
        </w:tc>
        <w:tc>
          <w:tcPr>
            <w:tcW w:w="16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48"/>
        </w:trPr>
        <w:tc>
          <w:tcPr>
            <w:tcW w:w="3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80" w:type="dxa"/>
            <w:vAlign w:val="bottom"/>
          </w:tcPr>
          <w:p>
            <w:pPr>
              <w:spacing w:after="0"/>
              <w:rPr>
                <w:sz w:val="12"/>
                <w:szCs w:val="12"/>
                <w:color w:val="auto"/>
              </w:rPr>
            </w:pPr>
          </w:p>
        </w:tc>
        <w:tc>
          <w:tcPr>
            <w:tcW w:w="16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71"/>
        </w:trPr>
        <w:tc>
          <w:tcPr>
            <w:tcW w:w="3800" w:type="dxa"/>
            <w:vAlign w:val="bottom"/>
            <w:gridSpan w:val="4"/>
            <w:vMerge w:val="continue"/>
          </w:tcPr>
          <w:p>
            <w:pPr>
              <w:spacing w:after="0"/>
              <w:rPr>
                <w:sz w:val="14"/>
                <w:szCs w:val="14"/>
                <w:color w:val="auto"/>
              </w:rPr>
            </w:pPr>
          </w:p>
        </w:tc>
        <w:tc>
          <w:tcPr>
            <w:tcW w:w="1380" w:type="dxa"/>
            <w:vAlign w:val="bottom"/>
          </w:tcPr>
          <w:p>
            <w:pPr>
              <w:jc w:val="center"/>
              <w:ind w:left="101"/>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left="83"/>
              <w:spacing w:after="0"/>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Equity compensation plans approved by security</w:t>
            </w:r>
          </w:p>
        </w:tc>
        <w:tc>
          <w:tcPr>
            <w:tcW w:w="1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1,340,964</w:t>
            </w:r>
          </w:p>
        </w:tc>
        <w:tc>
          <w:tcPr>
            <w:tcW w:w="180" w:type="dxa"/>
            <w:vAlign w:val="bottom"/>
            <w:vMerge w:val="continue"/>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2,756,905</w:t>
            </w:r>
          </w:p>
        </w:tc>
        <w:tc>
          <w:tcPr>
            <w:tcW w:w="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4"/>
          </w:tcPr>
          <w:p>
            <w:pPr>
              <w:ind w:left="20"/>
              <w:spacing w:after="0"/>
              <w:rPr>
                <w:sz w:val="20"/>
                <w:szCs w:val="20"/>
                <w:color w:val="auto"/>
              </w:rPr>
            </w:pPr>
            <w:r>
              <w:rPr>
                <w:rFonts w:ascii="Arial" w:cs="Arial" w:eastAsia="Arial" w:hAnsi="Arial"/>
                <w:sz w:val="18"/>
                <w:szCs w:val="18"/>
                <w:color w:val="auto"/>
              </w:rPr>
              <w:t>security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1,340,964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2,756,905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420" w:right="79" w:hanging="370"/>
        <w:spacing w:after="0" w:line="227" w:lineRule="auto"/>
        <w:tabs>
          <w:tab w:leader="none" w:pos="420" w:val="left"/>
        </w:tabs>
        <w:numPr>
          <w:ilvl w:val="0"/>
          <w:numId w:val="20"/>
        </w:numPr>
        <w:rPr>
          <w:rFonts w:ascii="Arial" w:cs="Arial" w:eastAsia="Arial" w:hAnsi="Arial"/>
          <w:sz w:val="24"/>
          <w:szCs w:val="24"/>
          <w:color w:val="auto"/>
          <w:vertAlign w:val="superscript"/>
        </w:rPr>
      </w:pPr>
      <w:r>
        <w:rPr>
          <w:rFonts w:ascii="Arial" w:cs="Arial" w:eastAsia="Arial" w:hAnsi="Arial"/>
          <w:sz w:val="16"/>
          <w:szCs w:val="16"/>
          <w:color w:val="auto"/>
        </w:rPr>
        <w:t>Includes outstanding awards of 1,301,653 shares of Common Stock issuable upon vesting of restricted stock units (‘‘RSUs’’) and stock options for 39,311 shares of common stock. Outstanding stock options have a weighted average exercise price of $18.51 and a weighted average remaining term of 1.47 years.</w:t>
      </w:r>
    </w:p>
    <w:p>
      <w:pPr>
        <w:spacing w:after="0" w:line="2" w:lineRule="exact"/>
        <w:rPr>
          <w:rFonts w:ascii="Arial" w:cs="Arial" w:eastAsia="Arial" w:hAnsi="Arial"/>
          <w:sz w:val="24"/>
          <w:szCs w:val="24"/>
          <w:color w:val="auto"/>
          <w:vertAlign w:val="superscript"/>
        </w:rPr>
      </w:pPr>
    </w:p>
    <w:p>
      <w:pPr>
        <w:ind w:left="420" w:hanging="370"/>
        <w:spacing w:after="0" w:line="183" w:lineRule="auto"/>
        <w:tabs>
          <w:tab w:leader="none" w:pos="420"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RSUs are excluded when determining the weighted average exercise price of outstanding stock options.</w:t>
      </w:r>
    </w:p>
    <w:p>
      <w:pPr>
        <w:spacing w:after="0" w:line="10" w:lineRule="exact"/>
        <w:rPr>
          <w:rFonts w:ascii="Arial" w:cs="Arial" w:eastAsia="Arial" w:hAnsi="Arial"/>
          <w:sz w:val="23"/>
          <w:szCs w:val="23"/>
          <w:color w:val="auto"/>
          <w:vertAlign w:val="superscript"/>
        </w:rPr>
      </w:pPr>
    </w:p>
    <w:p>
      <w:pPr>
        <w:ind w:left="420" w:hanging="370"/>
        <w:spacing w:after="0" w:line="182" w:lineRule="auto"/>
        <w:tabs>
          <w:tab w:leader="none" w:pos="420" w:val="left"/>
        </w:tabs>
        <w:numPr>
          <w:ilvl w:val="0"/>
          <w:numId w:val="20"/>
        </w:numPr>
        <w:rPr>
          <w:rFonts w:ascii="Arial" w:cs="Arial" w:eastAsia="Arial" w:hAnsi="Arial"/>
          <w:sz w:val="22"/>
          <w:szCs w:val="22"/>
          <w:color w:val="auto"/>
          <w:vertAlign w:val="superscript"/>
        </w:rPr>
      </w:pPr>
      <w:r>
        <w:rPr>
          <w:rFonts w:ascii="Arial" w:cs="Arial" w:eastAsia="Arial" w:hAnsi="Arial"/>
          <w:sz w:val="15"/>
          <w:szCs w:val="15"/>
          <w:color w:val="auto"/>
        </w:rPr>
        <w:t xml:space="preserve">Under </w:t>
      </w:r>
      <w:r>
        <w:rPr>
          <w:rFonts w:ascii="Arial" w:cs="Arial" w:eastAsia="Arial" w:hAnsi="Arial"/>
          <w:sz w:val="13"/>
          <w:szCs w:val="13"/>
          <w:color w:val="auto"/>
        </w:rPr>
        <w:t>our</w:t>
      </w:r>
      <w:r>
        <w:rPr>
          <w:rFonts w:ascii="Arial" w:cs="Arial" w:eastAsia="Arial" w:hAnsi="Arial"/>
          <w:sz w:val="15"/>
          <w:szCs w:val="15"/>
          <w:color w:val="auto"/>
        </w:rPr>
        <w:t xml:space="preserve"> 2015 Long-Term Incentive Plan.</w:t>
      </w:r>
    </w:p>
    <w:p>
      <w:pPr>
        <w:spacing w:after="0" w:line="204"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information required by this Item 13 is contained under the headings “Certain Relationships and Related Transactions” and “Corporate Governance” in our Proxy Statement and is incorporated herein by reference.</w:t>
      </w:r>
    </w:p>
    <w:p>
      <w:pPr>
        <w:spacing w:after="0" w:line="166"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information required by this Item 14 is contained under the heading “Principal Accounting Fees and Services” in our Proxy Statement and is incorporated herein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29" w:lineRule="exact"/>
        <w:rPr>
          <w:sz w:val="20"/>
          <w:szCs w:val="20"/>
          <w:color w:val="auto"/>
        </w:rPr>
      </w:pPr>
    </w:p>
    <w:p>
      <w:pPr>
        <w:ind w:left="800" w:hanging="37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800" w:hanging="37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Financial Statements and Financial Statement Schedules are listed in the accompanying index to consolidated financial statements beginning on page F-1 of this report. All other schedules, for which provision is made in the applicable accounting regulations of the Securities and Exchange Commission are not required under the related instructions, are shown in the financial statements or are not applicable and therefore have been omitted.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following exhibits filed as part of this report or incorporated herein by reference are management contracts or compensatory plans or arrangements: Exhibits 10.1, 10.1(a), 10.1(b), 10.1(c), 10.1(d), 10.6, 10.6(a), 10.6(b), 10.6 (c), 10.6 (d), 10.6(e), 10.7, 10.7(a), 10.7(b), 10.7(c), 10.7(d), 10.7(e), 10.8, 10.9, 10.9(a), 10.9(b), 10.9(c), 10.9(d), 10.12, 10.13, 10.13(a), 10.14, 10.15 and 10.16.</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82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gridSpan w:val="21"/>
            <w:vMerge w:val="restart"/>
          </w:tcPr>
          <w:p>
            <w:pPr>
              <w:ind w:left="60"/>
              <w:spacing w:after="0"/>
              <w:rPr>
                <w:sz w:val="20"/>
                <w:szCs w:val="20"/>
                <w:color w:val="auto"/>
              </w:rPr>
            </w:pPr>
            <w:r>
              <w:rPr>
                <w:rFonts w:ascii="Arial" w:cs="Arial" w:eastAsia="Arial" w:hAnsi="Arial"/>
                <w:sz w:val="14"/>
                <w:szCs w:val="14"/>
                <w:b w:val="1"/>
                <w:bCs w:val="1"/>
                <w:color w:val="auto"/>
              </w:rPr>
              <w:t>Document</w:t>
            </w: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Form</w:t>
            </w: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Date Filed</w:t>
            </w:r>
          </w:p>
        </w:tc>
        <w:tc>
          <w:tcPr>
            <w:tcW w:w="0" w:type="dxa"/>
            <w:vAlign w:val="bottom"/>
          </w:tcPr>
          <w:p>
            <w:pPr>
              <w:spacing w:after="0"/>
              <w:rPr>
                <w:sz w:val="1"/>
                <w:szCs w:val="1"/>
                <w:color w:val="auto"/>
              </w:rPr>
            </w:pPr>
          </w:p>
        </w:tc>
      </w:tr>
      <w:tr>
        <w:trPr>
          <w:trHeight w:val="105"/>
        </w:trPr>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21"/>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82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80" w:type="dxa"/>
            <w:vAlign w:val="bottom"/>
            <w:tcBorders>
              <w:top w:val="single" w:sz="8" w:color="auto"/>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2.1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4940" w:type="dxa"/>
            <w:vAlign w:val="bottom"/>
            <w:tcBorders>
              <w:top w:val="single" w:sz="8" w:color="auto"/>
              <w:bottom w:val="single" w:sz="8" w:color="0000EE"/>
            </w:tcBorders>
            <w:gridSpan w:val="21"/>
            <w:shd w:val="clear" w:color="auto" w:fill="CCEEFF"/>
          </w:tcPr>
          <w:p>
            <w:pPr>
              <w:spacing w:after="0" w:line="155" w:lineRule="exact"/>
              <w:rPr>
                <w:rFonts w:ascii="Arial" w:cs="Arial" w:eastAsia="Arial" w:hAnsi="Arial"/>
                <w:sz w:val="16"/>
                <w:szCs w:val="16"/>
                <w:color w:val="0000EE"/>
                <w:w w:val="91"/>
              </w:rPr>
            </w:pPr>
            <w:hyperlink r:id="rId74">
              <w:r>
                <w:rPr>
                  <w:rFonts w:ascii="Arial" w:cs="Arial" w:eastAsia="Arial" w:hAnsi="Arial"/>
                  <w:sz w:val="16"/>
                  <w:szCs w:val="16"/>
                  <w:color w:val="0000EE"/>
                  <w:w w:val="91"/>
                </w:rPr>
                <w:t>Stock Purchase Agreement, dated as of July 22, 2016, by and between G-III</w:t>
              </w:r>
            </w:hyperlink>
          </w:p>
        </w:tc>
        <w:tc>
          <w:tcPr>
            <w:tcW w:w="180" w:type="dxa"/>
            <w:vAlign w:val="bottom"/>
            <w:tcBorders>
              <w:top w:val="single" w:sz="8" w:color="auto"/>
              <w:bottom w:val="single" w:sz="8" w:color="CCEEFF"/>
            </w:tcBorders>
            <w:gridSpan w:val="5"/>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rPr>
              <w:t>8-K</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1"/>
              </w:rPr>
              <w:t>000-18183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2"/>
              </w:rPr>
              <w:t>7/28/2016</w:t>
            </w: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80" w:type="dxa"/>
            <w:vAlign w:val="bottom"/>
            <w:gridSpan w:val="27"/>
            <w:shd w:val="clear" w:color="auto" w:fill="CCEEFF"/>
          </w:tcPr>
          <w:p>
            <w:pPr>
              <w:spacing w:after="0" w:line="183" w:lineRule="exact"/>
              <w:rPr>
                <w:rFonts w:ascii="Arial" w:cs="Arial" w:eastAsia="Arial" w:hAnsi="Arial"/>
                <w:sz w:val="16"/>
                <w:szCs w:val="16"/>
                <w:color w:val="0000EE"/>
              </w:rPr>
            </w:pPr>
            <w:hyperlink r:id="rId74">
              <w:r>
                <w:rPr>
                  <w:rFonts w:ascii="Arial" w:cs="Arial" w:eastAsia="Arial" w:hAnsi="Arial"/>
                  <w:sz w:val="16"/>
                  <w:szCs w:val="16"/>
                  <w:color w:val="0000EE"/>
                </w:rPr>
                <w:t>Apparel Group, Ltd. (“G-III”) and LVMH Moet Hennessy Louis Vuitton Inc.</w:t>
              </w:r>
            </w:hyperlink>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0" w:type="dxa"/>
            <w:vAlign w:val="bottom"/>
            <w:tcBorders>
              <w:top w:val="single" w:sz="8" w:color="0000EE"/>
              <w:bottom w:val="single" w:sz="8" w:color="0000EE"/>
            </w:tcBorders>
            <w:gridSpan w:val="7"/>
            <w:shd w:val="clear" w:color="auto" w:fill="CCEEFF"/>
          </w:tcPr>
          <w:p>
            <w:pPr>
              <w:spacing w:after="0" w:line="183" w:lineRule="exact"/>
              <w:rPr>
                <w:rFonts w:ascii="Arial" w:cs="Arial" w:eastAsia="Arial" w:hAnsi="Arial"/>
                <w:sz w:val="16"/>
                <w:szCs w:val="16"/>
                <w:color w:val="0000EE"/>
                <w:w w:val="96"/>
              </w:rPr>
            </w:pPr>
            <w:hyperlink r:id="rId74">
              <w:r>
                <w:rPr>
                  <w:rFonts w:ascii="Arial" w:cs="Arial" w:eastAsia="Arial" w:hAnsi="Arial"/>
                  <w:sz w:val="16"/>
                  <w:szCs w:val="16"/>
                  <w:color w:val="0000EE"/>
                  <w:w w:val="96"/>
                </w:rPr>
                <w:t>(“LVMH”) (including the exhibits thereto).</w:t>
              </w:r>
            </w:hyperlink>
          </w:p>
        </w:tc>
        <w:tc>
          <w:tcPr>
            <w:tcW w:w="2200" w:type="dxa"/>
            <w:vAlign w:val="bottom"/>
            <w:tcBorders>
              <w:top w:val="single" w:sz="8" w:color="0000EE"/>
              <w:bottom w:val="single" w:sz="8" w:color="CCEEFF"/>
            </w:tcBorders>
            <w:gridSpan w:val="16"/>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2.1(a)</w:t>
            </w:r>
          </w:p>
        </w:tc>
        <w:tc>
          <w:tcPr>
            <w:tcW w:w="5280" w:type="dxa"/>
            <w:vAlign w:val="bottom"/>
            <w:gridSpan w:val="27"/>
          </w:tcPr>
          <w:p>
            <w:pPr>
              <w:spacing w:after="0" w:line="162" w:lineRule="exact"/>
              <w:rPr>
                <w:rFonts w:ascii="Arial" w:cs="Arial" w:eastAsia="Arial" w:hAnsi="Arial"/>
                <w:sz w:val="16"/>
                <w:szCs w:val="16"/>
                <w:color w:val="0000EE"/>
                <w:w w:val="96"/>
              </w:rPr>
            </w:pPr>
            <w:hyperlink r:id="rId75">
              <w:r>
                <w:rPr>
                  <w:rFonts w:ascii="Arial" w:cs="Arial" w:eastAsia="Arial" w:hAnsi="Arial"/>
                  <w:sz w:val="16"/>
                  <w:szCs w:val="16"/>
                  <w:color w:val="0000EE"/>
                  <w:w w:val="96"/>
                </w:rPr>
                <w:t>Amendment No. 1 to Stock Purchase Agreement, dated November 30, 2016,</w:t>
              </w:r>
            </w:hyperlink>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2"/>
              </w:rPr>
              <w:t>12/6/2016</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tcBorders>
              <w:top w:val="single" w:sz="8" w:color="0000EE"/>
            </w:tcBorders>
            <w:gridSpan w:val="22"/>
          </w:tcPr>
          <w:p>
            <w:pPr>
              <w:spacing w:after="0" w:line="183" w:lineRule="exact"/>
              <w:rPr>
                <w:rFonts w:ascii="Arial" w:cs="Arial" w:eastAsia="Arial" w:hAnsi="Arial"/>
                <w:sz w:val="16"/>
                <w:szCs w:val="16"/>
                <w:color w:val="0000EE"/>
              </w:rPr>
            </w:pPr>
            <w:hyperlink r:id="rId75">
              <w:r>
                <w:rPr>
                  <w:rFonts w:ascii="Arial" w:cs="Arial" w:eastAsia="Arial" w:hAnsi="Arial"/>
                  <w:sz w:val="16"/>
                  <w:szCs w:val="16"/>
                  <w:color w:val="0000EE"/>
                </w:rPr>
                <w:t>by and between G-III and LVMH.</w:t>
              </w:r>
            </w:hyperlink>
          </w:p>
        </w:tc>
        <w:tc>
          <w:tcPr>
            <w:tcW w:w="320" w:type="dxa"/>
            <w:vAlign w:val="bottom"/>
            <w:gridSpan w:val="5"/>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7"/>
                <w:szCs w:val="17"/>
                <w:color w:val="auto"/>
              </w:rPr>
            </w:pPr>
          </w:p>
        </w:tc>
        <w:tc>
          <w:tcPr>
            <w:tcW w:w="5280" w:type="dxa"/>
            <w:vAlign w:val="bottom"/>
            <w:gridSpan w:val="27"/>
            <w:shd w:val="clear" w:color="auto" w:fill="CCEEFF"/>
          </w:tcPr>
          <w:p>
            <w:pPr>
              <w:spacing w:after="0"/>
              <w:rPr>
                <w:sz w:val="20"/>
                <w:szCs w:val="20"/>
                <w:color w:val="auto"/>
              </w:rPr>
            </w:pPr>
            <w:r>
              <w:rPr>
                <w:rFonts w:ascii="Arial" w:cs="Arial" w:eastAsia="Arial" w:hAnsi="Arial"/>
                <w:sz w:val="16"/>
                <w:szCs w:val="16"/>
                <w:color w:val="auto"/>
              </w:rPr>
              <w:t>Certificate of Incorporation.</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8-K</w:t>
            </w: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000-18183</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7/2/2008</w:t>
            </w:r>
          </w:p>
        </w:tc>
        <w:tc>
          <w:tcPr>
            <w:tcW w:w="0" w:type="dxa"/>
            <w:vAlign w:val="bottom"/>
          </w:tcPr>
          <w:p>
            <w:pPr>
              <w:spacing w:after="0"/>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3.1(a)</w:t>
            </w:r>
          </w:p>
        </w:tc>
        <w:tc>
          <w:tcPr>
            <w:tcW w:w="5280" w:type="dxa"/>
            <w:vAlign w:val="bottom"/>
            <w:gridSpan w:val="27"/>
          </w:tcPr>
          <w:p>
            <w:pPr>
              <w:spacing w:after="0" w:line="162" w:lineRule="exact"/>
              <w:rPr>
                <w:rFonts w:ascii="Arial" w:cs="Arial" w:eastAsia="Arial" w:hAnsi="Arial"/>
                <w:sz w:val="16"/>
                <w:szCs w:val="16"/>
                <w:color w:val="0000EE"/>
                <w:w w:val="97"/>
              </w:rPr>
            </w:pPr>
            <w:hyperlink r:id="rId76">
              <w:r>
                <w:rPr>
                  <w:rFonts w:ascii="Arial" w:cs="Arial" w:eastAsia="Arial" w:hAnsi="Arial"/>
                  <w:sz w:val="16"/>
                  <w:szCs w:val="16"/>
                  <w:color w:val="0000EE"/>
                  <w:w w:val="97"/>
                </w:rPr>
                <w:t>Certificate of Amendment of Certificate of Incorporation, dated June 8, 2006.</w:t>
              </w:r>
            </w:hyperlink>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2"/>
              </w:rPr>
              <w:t>10-Q (Q2 2007)</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2"/>
              </w:rPr>
              <w:t>9/13/2006</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3.1(b)</w:t>
            </w:r>
          </w:p>
        </w:tc>
        <w:tc>
          <w:tcPr>
            <w:tcW w:w="5040" w:type="dxa"/>
            <w:vAlign w:val="bottom"/>
            <w:tcBorders>
              <w:bottom w:val="single" w:sz="8" w:color="0000EE"/>
            </w:tcBorders>
            <w:gridSpan w:val="25"/>
            <w:shd w:val="clear" w:color="auto" w:fill="CCEEFF"/>
          </w:tcPr>
          <w:p>
            <w:pPr>
              <w:spacing w:after="0" w:line="162" w:lineRule="exact"/>
              <w:rPr>
                <w:rFonts w:ascii="Arial" w:cs="Arial" w:eastAsia="Arial" w:hAnsi="Arial"/>
                <w:sz w:val="16"/>
                <w:szCs w:val="16"/>
                <w:color w:val="0000EE"/>
                <w:w w:val="92"/>
              </w:rPr>
            </w:pPr>
            <w:hyperlink r:id="rId77">
              <w:r>
                <w:rPr>
                  <w:rFonts w:ascii="Arial" w:cs="Arial" w:eastAsia="Arial" w:hAnsi="Arial"/>
                  <w:sz w:val="16"/>
                  <w:szCs w:val="16"/>
                  <w:color w:val="0000EE"/>
                  <w:w w:val="92"/>
                </w:rPr>
                <w:t>Certificate of Amendment of Certificate of Incorporation, dated June 7, 2011.</w:t>
              </w:r>
            </w:hyperlink>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tcBorders>
              <w:bottom w:val="single" w:sz="8" w:color="CCEEFF"/>
            </w:tcBorders>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6/9/2011</w:t>
            </w:r>
          </w:p>
        </w:tc>
        <w:tc>
          <w:tcPr>
            <w:tcW w:w="0" w:type="dxa"/>
            <w:vAlign w:val="bottom"/>
          </w:tcPr>
          <w:p>
            <w:pPr>
              <w:spacing w:after="0"/>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3.1(c)</w:t>
            </w:r>
          </w:p>
        </w:tc>
        <w:tc>
          <w:tcPr>
            <w:tcW w:w="5280" w:type="dxa"/>
            <w:vAlign w:val="bottom"/>
            <w:gridSpan w:val="27"/>
          </w:tcPr>
          <w:p>
            <w:pPr>
              <w:spacing w:after="0" w:line="162" w:lineRule="exact"/>
              <w:rPr>
                <w:rFonts w:ascii="Arial" w:cs="Arial" w:eastAsia="Arial" w:hAnsi="Arial"/>
                <w:sz w:val="16"/>
                <w:szCs w:val="16"/>
                <w:color w:val="0000EE"/>
                <w:w w:val="95"/>
              </w:rPr>
            </w:pPr>
            <w:hyperlink r:id="rId78">
              <w:r>
                <w:rPr>
                  <w:rFonts w:ascii="Arial" w:cs="Arial" w:eastAsia="Arial" w:hAnsi="Arial"/>
                  <w:sz w:val="16"/>
                  <w:szCs w:val="16"/>
                  <w:color w:val="0000EE"/>
                  <w:w w:val="95"/>
                </w:rPr>
                <w:t>Certificate of Amendment of Certificate of Incorporation, dated June 30, 2015.</w:t>
              </w:r>
            </w:hyperlink>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3"/>
              </w:rPr>
              <w:t>7/1/2015</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4"/>
                <w:szCs w:val="14"/>
                <w:color w:val="auto"/>
              </w:rPr>
            </w:pPr>
          </w:p>
        </w:tc>
        <w:tc>
          <w:tcPr>
            <w:tcW w:w="5280" w:type="dxa"/>
            <w:vAlign w:val="bottom"/>
            <w:gridSpan w:val="27"/>
            <w:shd w:val="clear" w:color="auto" w:fill="CCEEFF"/>
          </w:tcPr>
          <w:p>
            <w:pPr>
              <w:spacing w:after="0" w:line="162" w:lineRule="exact"/>
              <w:rPr>
                <w:rFonts w:ascii="Arial" w:cs="Arial" w:eastAsia="Arial" w:hAnsi="Arial"/>
                <w:sz w:val="16"/>
                <w:szCs w:val="16"/>
                <w:color w:val="0000EE"/>
              </w:rPr>
            </w:pPr>
            <w:hyperlink r:id="rId79">
              <w:r>
                <w:rPr>
                  <w:rFonts w:ascii="Arial" w:cs="Arial" w:eastAsia="Arial" w:hAnsi="Arial"/>
                  <w:sz w:val="16"/>
                  <w:szCs w:val="16"/>
                  <w:color w:val="0000EE"/>
                </w:rPr>
                <w:t>By-Laws, as amended, of G-III.</w:t>
              </w:r>
            </w:hyperlink>
          </w:p>
        </w:tc>
        <w:tc>
          <w:tcPr>
            <w:tcW w:w="122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3/15/2013</w:t>
            </w:r>
          </w:p>
        </w:tc>
        <w:tc>
          <w:tcPr>
            <w:tcW w:w="0" w:type="dxa"/>
            <w:vAlign w:val="bottom"/>
          </w:tcPr>
          <w:p>
            <w:pPr>
              <w:spacing w:after="0"/>
              <w:rPr>
                <w:sz w:val="1"/>
                <w:szCs w:val="1"/>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ind w:left="20"/>
              <w:spacing w:after="0" w:line="162" w:lineRule="exact"/>
              <w:rPr>
                <w:sz w:val="20"/>
                <w:szCs w:val="20"/>
                <w:color w:val="auto"/>
              </w:rPr>
            </w:pPr>
            <w:r>
              <w:rPr>
                <w:rFonts w:ascii="Arial" w:cs="Arial" w:eastAsia="Arial" w:hAnsi="Arial"/>
                <w:sz w:val="16"/>
                <w:szCs w:val="16"/>
                <w:color w:val="auto"/>
              </w:rPr>
              <w:t>4.1</w:t>
            </w:r>
          </w:p>
        </w:tc>
        <w:tc>
          <w:tcPr>
            <w:tcW w:w="140" w:type="dxa"/>
            <w:vAlign w:val="bottom"/>
          </w:tcPr>
          <w:p>
            <w:pPr>
              <w:spacing w:after="0"/>
              <w:rPr>
                <w:sz w:val="14"/>
                <w:szCs w:val="14"/>
                <w:color w:val="auto"/>
              </w:rPr>
            </w:pPr>
          </w:p>
        </w:tc>
        <w:tc>
          <w:tcPr>
            <w:tcW w:w="5280" w:type="dxa"/>
            <w:vAlign w:val="bottom"/>
            <w:gridSpan w:val="27"/>
          </w:tcPr>
          <w:p>
            <w:pPr>
              <w:spacing w:after="0" w:line="162" w:lineRule="exact"/>
              <w:rPr>
                <w:rFonts w:ascii="Arial" w:cs="Arial" w:eastAsia="Arial" w:hAnsi="Arial"/>
                <w:sz w:val="16"/>
                <w:szCs w:val="16"/>
                <w:color w:val="0000EE"/>
              </w:rPr>
            </w:pPr>
            <w:hyperlink r:id="rId80">
              <w:r>
                <w:rPr>
                  <w:rFonts w:ascii="Arial" w:cs="Arial" w:eastAsia="Arial" w:hAnsi="Arial"/>
                  <w:sz w:val="16"/>
                  <w:szCs w:val="16"/>
                  <w:color w:val="0000EE"/>
                </w:rPr>
                <w:t>Promissory Note, dated December 1, 2016, from G-III to LVMH.</w:t>
              </w:r>
            </w:hyperlink>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2"/>
              </w:rPr>
              <w:t>12/6/2016</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0000EE"/>
            </w:tcBorders>
            <w:gridSpan w:val="4"/>
            <w:shd w:val="clear" w:color="auto" w:fill="CCEEFF"/>
          </w:tcPr>
          <w:p>
            <w:pPr>
              <w:spacing w:after="0" w:line="162" w:lineRule="exact"/>
              <w:rPr>
                <w:rFonts w:ascii="Arial" w:cs="Arial" w:eastAsia="Arial" w:hAnsi="Arial"/>
                <w:sz w:val="16"/>
                <w:szCs w:val="16"/>
                <w:color w:val="0000EE"/>
                <w:w w:val="92"/>
              </w:rPr>
            </w:pPr>
            <w:hyperlink w:anchor="page107">
              <w:r>
                <w:rPr>
                  <w:rFonts w:ascii="Arial" w:cs="Arial" w:eastAsia="Arial" w:hAnsi="Arial"/>
                  <w:sz w:val="16"/>
                  <w:szCs w:val="16"/>
                  <w:color w:val="0000EE"/>
                  <w:w w:val="92"/>
                </w:rPr>
                <w:t>Description of Securities</w:t>
              </w:r>
            </w:hyperlink>
          </w:p>
        </w:tc>
        <w:tc>
          <w:tcPr>
            <w:tcW w:w="3660" w:type="dxa"/>
            <w:vAlign w:val="bottom"/>
            <w:tcBorders>
              <w:bottom w:val="single" w:sz="8" w:color="CCEEFF"/>
            </w:tcBorders>
            <w:gridSpan w:val="23"/>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CCEEFF"/>
            </w:tcBorders>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680" w:type="dxa"/>
            <w:vAlign w:val="bottom"/>
          </w:tcPr>
          <w:p>
            <w:pPr>
              <w:ind w:left="20"/>
              <w:spacing w:after="0" w:line="162" w:lineRule="exact"/>
              <w:rPr>
                <w:sz w:val="20"/>
                <w:szCs w:val="20"/>
                <w:color w:val="auto"/>
              </w:rPr>
            </w:pPr>
            <w:r>
              <w:rPr>
                <w:rFonts w:ascii="Arial" w:cs="Arial" w:eastAsia="Arial" w:hAnsi="Arial"/>
                <w:sz w:val="16"/>
                <w:szCs w:val="16"/>
                <w:color w:val="auto"/>
              </w:rPr>
              <w:t>10.1</w:t>
            </w:r>
          </w:p>
        </w:tc>
        <w:tc>
          <w:tcPr>
            <w:tcW w:w="140" w:type="dxa"/>
            <w:vAlign w:val="bottom"/>
          </w:tcPr>
          <w:p>
            <w:pPr>
              <w:spacing w:after="0"/>
              <w:rPr>
                <w:sz w:val="14"/>
                <w:szCs w:val="14"/>
                <w:color w:val="auto"/>
              </w:rPr>
            </w:pPr>
          </w:p>
        </w:tc>
        <w:tc>
          <w:tcPr>
            <w:tcW w:w="4940" w:type="dxa"/>
            <w:vAlign w:val="bottom"/>
            <w:tcBorders>
              <w:bottom w:val="single" w:sz="8" w:color="0000EE"/>
            </w:tcBorders>
            <w:gridSpan w:val="21"/>
          </w:tcPr>
          <w:p>
            <w:pPr>
              <w:spacing w:after="0" w:line="162" w:lineRule="exact"/>
              <w:rPr>
                <w:rFonts w:ascii="Arial" w:cs="Arial" w:eastAsia="Arial" w:hAnsi="Arial"/>
                <w:sz w:val="16"/>
                <w:szCs w:val="16"/>
                <w:color w:val="0000EE"/>
                <w:w w:val="92"/>
              </w:rPr>
            </w:pPr>
            <w:hyperlink r:id="rId81">
              <w:r>
                <w:rPr>
                  <w:rFonts w:ascii="Arial" w:cs="Arial" w:eastAsia="Arial" w:hAnsi="Arial"/>
                  <w:sz w:val="16"/>
                  <w:szCs w:val="16"/>
                  <w:color w:val="0000EE"/>
                  <w:w w:val="92"/>
                </w:rPr>
                <w:t>Employment Agreement, dated February 1, 1994, between G-III and Morris</w:t>
              </w:r>
            </w:hyperlink>
          </w:p>
        </w:tc>
        <w:tc>
          <w:tcPr>
            <w:tcW w:w="340" w:type="dxa"/>
            <w:vAlign w:val="bottom"/>
            <w:gridSpan w:val="6"/>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w w:val="98"/>
              </w:rPr>
              <w:t>10-K/A (2006)</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3"/>
              </w:rPr>
              <w:t>5/8/2006</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80" w:type="dxa"/>
            <w:vAlign w:val="bottom"/>
            <w:gridSpan w:val="27"/>
          </w:tcPr>
          <w:p>
            <w:pPr>
              <w:spacing w:after="0" w:line="183" w:lineRule="exact"/>
              <w:rPr>
                <w:rFonts w:ascii="Arial" w:cs="Arial" w:eastAsia="Arial" w:hAnsi="Arial"/>
                <w:sz w:val="16"/>
                <w:szCs w:val="16"/>
                <w:color w:val="0000EE"/>
              </w:rPr>
            </w:pPr>
            <w:hyperlink r:id="rId81">
              <w:r>
                <w:rPr>
                  <w:rFonts w:ascii="Arial" w:cs="Arial" w:eastAsia="Arial" w:hAnsi="Arial"/>
                  <w:sz w:val="16"/>
                  <w:szCs w:val="16"/>
                  <w:color w:val="0000EE"/>
                </w:rPr>
                <w:t>Goldfarb.</w:t>
              </w:r>
            </w:hyperlink>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10.1(a)</w:t>
            </w:r>
          </w:p>
        </w:tc>
        <w:tc>
          <w:tcPr>
            <w:tcW w:w="4840" w:type="dxa"/>
            <w:vAlign w:val="bottom"/>
            <w:tcBorders>
              <w:bottom w:val="single" w:sz="8" w:color="0000EE"/>
            </w:tcBorders>
            <w:gridSpan w:val="18"/>
            <w:shd w:val="clear" w:color="auto" w:fill="CCEEFF"/>
          </w:tcPr>
          <w:p>
            <w:pPr>
              <w:spacing w:after="0" w:line="162" w:lineRule="exact"/>
              <w:rPr>
                <w:rFonts w:ascii="Arial" w:cs="Arial" w:eastAsia="Arial" w:hAnsi="Arial"/>
                <w:sz w:val="16"/>
                <w:szCs w:val="16"/>
                <w:color w:val="0000EE"/>
                <w:w w:val="91"/>
              </w:rPr>
            </w:pPr>
            <w:hyperlink r:id="rId82">
              <w:r>
                <w:rPr>
                  <w:rFonts w:ascii="Arial" w:cs="Arial" w:eastAsia="Arial" w:hAnsi="Arial"/>
                  <w:sz w:val="16"/>
                  <w:szCs w:val="16"/>
                  <w:color w:val="0000EE"/>
                  <w:w w:val="91"/>
                </w:rPr>
                <w:t>Amendment, dated October 1, 1999, to the Employment Agreement, dated</w:t>
              </w:r>
            </w:hyperlink>
          </w:p>
        </w:tc>
        <w:tc>
          <w:tcPr>
            <w:tcW w:w="440" w:type="dxa"/>
            <w:vAlign w:val="bottom"/>
            <w:tcBorders>
              <w:bottom w:val="single" w:sz="8" w:color="CCEEFF"/>
            </w:tcBorders>
            <w:gridSpan w:val="9"/>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color w:val="auto"/>
                <w:w w:val="98"/>
              </w:rPr>
              <w:t>10-K/A (2006)</w:t>
            </w:r>
          </w:p>
        </w:tc>
        <w:tc>
          <w:tcPr>
            <w:tcW w:w="840" w:type="dxa"/>
            <w:vAlign w:val="bottom"/>
            <w:tcBorders>
              <w:bottom w:val="single" w:sz="8" w:color="CCEEFF"/>
            </w:tcBorders>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3"/>
              </w:rPr>
              <w:t>5/8/2006</w:t>
            </w: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80" w:type="dxa"/>
            <w:vAlign w:val="bottom"/>
            <w:gridSpan w:val="27"/>
            <w:shd w:val="clear" w:color="auto" w:fill="CCEEFF"/>
          </w:tcPr>
          <w:p>
            <w:pPr>
              <w:spacing w:after="0" w:line="183" w:lineRule="exact"/>
              <w:rPr>
                <w:rFonts w:ascii="Arial" w:cs="Arial" w:eastAsia="Arial" w:hAnsi="Arial"/>
                <w:sz w:val="16"/>
                <w:szCs w:val="16"/>
                <w:color w:val="0000EE"/>
              </w:rPr>
            </w:pPr>
            <w:hyperlink r:id="rId82">
              <w:r>
                <w:rPr>
                  <w:rFonts w:ascii="Arial" w:cs="Arial" w:eastAsia="Arial" w:hAnsi="Arial"/>
                  <w:sz w:val="16"/>
                  <w:szCs w:val="16"/>
                  <w:color w:val="0000EE"/>
                </w:rPr>
                <w:t>February 1, 1994, between G-III and Morris Goldfarb.</w:t>
              </w:r>
            </w:hyperlink>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10.1(b)</w:t>
            </w:r>
          </w:p>
        </w:tc>
        <w:tc>
          <w:tcPr>
            <w:tcW w:w="4680" w:type="dxa"/>
            <w:vAlign w:val="bottom"/>
            <w:tcBorders>
              <w:bottom w:val="single" w:sz="8" w:color="0000EE"/>
            </w:tcBorders>
            <w:gridSpan w:val="15"/>
          </w:tcPr>
          <w:p>
            <w:pPr>
              <w:spacing w:after="0" w:line="162" w:lineRule="exact"/>
              <w:rPr>
                <w:rFonts w:ascii="Arial" w:cs="Arial" w:eastAsia="Arial" w:hAnsi="Arial"/>
                <w:sz w:val="16"/>
                <w:szCs w:val="16"/>
                <w:color w:val="0000EE"/>
                <w:w w:val="91"/>
              </w:rPr>
            </w:pPr>
            <w:hyperlink r:id="rId83">
              <w:r>
                <w:rPr>
                  <w:rFonts w:ascii="Arial" w:cs="Arial" w:eastAsia="Arial" w:hAnsi="Arial"/>
                  <w:sz w:val="16"/>
                  <w:szCs w:val="16"/>
                  <w:color w:val="0000EE"/>
                  <w:w w:val="91"/>
                </w:rPr>
                <w:t>Amendment, dated January 28, 2009, to Employment Agreement, dated</w:t>
              </w:r>
            </w:hyperlink>
          </w:p>
        </w:tc>
        <w:tc>
          <w:tcPr>
            <w:tcW w:w="600" w:type="dxa"/>
            <w:vAlign w:val="bottom"/>
            <w:gridSpan w:val="12"/>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3"/>
              </w:rPr>
              <w:t>2/3/2009</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80" w:type="dxa"/>
            <w:vAlign w:val="bottom"/>
            <w:gridSpan w:val="27"/>
          </w:tcPr>
          <w:p>
            <w:pPr>
              <w:spacing w:after="0" w:line="183" w:lineRule="exact"/>
              <w:rPr>
                <w:rFonts w:ascii="Arial" w:cs="Arial" w:eastAsia="Arial" w:hAnsi="Arial"/>
                <w:sz w:val="16"/>
                <w:szCs w:val="16"/>
                <w:color w:val="0000EE"/>
              </w:rPr>
            </w:pPr>
            <w:hyperlink r:id="rId83">
              <w:r>
                <w:rPr>
                  <w:rFonts w:ascii="Arial" w:cs="Arial" w:eastAsia="Arial" w:hAnsi="Arial"/>
                  <w:sz w:val="16"/>
                  <w:szCs w:val="16"/>
                  <w:color w:val="0000EE"/>
                </w:rPr>
                <w:t>February 1, 1994, between G-III and Morris Goldfarb.</w:t>
              </w:r>
            </w:hyperlink>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10.1(c)</w:t>
            </w:r>
          </w:p>
        </w:tc>
        <w:tc>
          <w:tcPr>
            <w:tcW w:w="5020" w:type="dxa"/>
            <w:vAlign w:val="bottom"/>
            <w:tcBorders>
              <w:bottom w:val="single" w:sz="8" w:color="0000EE"/>
            </w:tcBorders>
            <w:gridSpan w:val="24"/>
            <w:shd w:val="clear" w:color="auto" w:fill="CCEEFF"/>
          </w:tcPr>
          <w:p>
            <w:pPr>
              <w:spacing w:after="0" w:line="162" w:lineRule="exact"/>
              <w:rPr>
                <w:rFonts w:ascii="Arial" w:cs="Arial" w:eastAsia="Arial" w:hAnsi="Arial"/>
                <w:sz w:val="16"/>
                <w:szCs w:val="16"/>
                <w:color w:val="0000EE"/>
                <w:w w:val="92"/>
              </w:rPr>
            </w:pPr>
            <w:hyperlink r:id="rId84">
              <w:r>
                <w:rPr>
                  <w:rFonts w:ascii="Arial" w:cs="Arial" w:eastAsia="Arial" w:hAnsi="Arial"/>
                  <w:sz w:val="16"/>
                  <w:szCs w:val="16"/>
                  <w:color w:val="0000EE"/>
                  <w:w w:val="92"/>
                </w:rPr>
                <w:t>Letter Amendment, dated March 13, 2013, to Employment Agreement, dated</w:t>
              </w:r>
            </w:hyperlink>
          </w:p>
        </w:tc>
        <w:tc>
          <w:tcPr>
            <w:tcW w:w="260" w:type="dxa"/>
            <w:vAlign w:val="bottom"/>
            <w:tcBorders>
              <w:bottom w:val="single" w:sz="8" w:color="CCEEFF"/>
            </w:tcBorders>
            <w:gridSpan w:val="3"/>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tcBorders>
              <w:bottom w:val="single" w:sz="8" w:color="CCEEFF"/>
            </w:tcBorders>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3/15/2013</w:t>
            </w: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80" w:type="dxa"/>
            <w:vAlign w:val="bottom"/>
            <w:gridSpan w:val="27"/>
            <w:shd w:val="clear" w:color="auto" w:fill="CCEEFF"/>
          </w:tcPr>
          <w:p>
            <w:pPr>
              <w:spacing w:after="0" w:line="183" w:lineRule="exact"/>
              <w:rPr>
                <w:rFonts w:ascii="Arial" w:cs="Arial" w:eastAsia="Arial" w:hAnsi="Arial"/>
                <w:sz w:val="16"/>
                <w:szCs w:val="16"/>
                <w:color w:val="0000EE"/>
              </w:rPr>
            </w:pPr>
            <w:hyperlink r:id="rId84">
              <w:r>
                <w:rPr>
                  <w:rFonts w:ascii="Arial" w:cs="Arial" w:eastAsia="Arial" w:hAnsi="Arial"/>
                  <w:sz w:val="16"/>
                  <w:szCs w:val="16"/>
                  <w:color w:val="0000EE"/>
                </w:rPr>
                <w:t>February 1, 1994, between G-III and Morris Goldfarb.</w:t>
              </w:r>
            </w:hyperlink>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10.1(d)</w:t>
            </w:r>
          </w:p>
        </w:tc>
        <w:tc>
          <w:tcPr>
            <w:tcW w:w="4940" w:type="dxa"/>
            <w:vAlign w:val="bottom"/>
            <w:tcBorders>
              <w:bottom w:val="single" w:sz="8" w:color="0000EE"/>
            </w:tcBorders>
            <w:gridSpan w:val="21"/>
          </w:tcPr>
          <w:p>
            <w:pPr>
              <w:spacing w:after="0" w:line="162" w:lineRule="exact"/>
              <w:rPr>
                <w:rFonts w:ascii="Arial" w:cs="Arial" w:eastAsia="Arial" w:hAnsi="Arial"/>
                <w:sz w:val="16"/>
                <w:szCs w:val="16"/>
                <w:color w:val="0000EE"/>
                <w:w w:val="92"/>
              </w:rPr>
            </w:pPr>
            <w:hyperlink r:id="rId85">
              <w:r>
                <w:rPr>
                  <w:rFonts w:ascii="Arial" w:cs="Arial" w:eastAsia="Arial" w:hAnsi="Arial"/>
                  <w:sz w:val="16"/>
                  <w:szCs w:val="16"/>
                  <w:color w:val="0000EE"/>
                  <w:w w:val="92"/>
                </w:rPr>
                <w:t>Letter Amendment, dated April 28, 2014, to Employment Agreement, dated</w:t>
              </w:r>
            </w:hyperlink>
          </w:p>
        </w:tc>
        <w:tc>
          <w:tcPr>
            <w:tcW w:w="340" w:type="dxa"/>
            <w:vAlign w:val="bottom"/>
            <w:gridSpan w:val="6"/>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2"/>
              </w:rPr>
              <w:t>5/14/2015</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80" w:type="dxa"/>
            <w:vAlign w:val="bottom"/>
            <w:gridSpan w:val="27"/>
          </w:tcPr>
          <w:p>
            <w:pPr>
              <w:spacing w:after="0" w:line="183" w:lineRule="exact"/>
              <w:rPr>
                <w:rFonts w:ascii="Arial" w:cs="Arial" w:eastAsia="Arial" w:hAnsi="Arial"/>
                <w:sz w:val="16"/>
                <w:szCs w:val="16"/>
                <w:color w:val="0000EE"/>
              </w:rPr>
            </w:pPr>
            <w:hyperlink r:id="rId85">
              <w:r>
                <w:rPr>
                  <w:rFonts w:ascii="Arial" w:cs="Arial" w:eastAsia="Arial" w:hAnsi="Arial"/>
                  <w:sz w:val="16"/>
                  <w:szCs w:val="16"/>
                  <w:color w:val="0000EE"/>
                </w:rPr>
                <w:t>February 1, 1994, between G-III and Morris Goldfarb.</w:t>
              </w:r>
            </w:hyperlink>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14"/>
                <w:szCs w:val="14"/>
                <w:color w:val="auto"/>
              </w:rPr>
            </w:pPr>
          </w:p>
        </w:tc>
        <w:tc>
          <w:tcPr>
            <w:tcW w:w="5280" w:type="dxa"/>
            <w:vAlign w:val="bottom"/>
            <w:gridSpan w:val="27"/>
            <w:shd w:val="clear" w:color="auto" w:fill="CCEEFF"/>
          </w:tcPr>
          <w:p>
            <w:pPr>
              <w:spacing w:after="0" w:line="162" w:lineRule="exact"/>
              <w:rPr>
                <w:rFonts w:ascii="Arial" w:cs="Arial" w:eastAsia="Arial" w:hAnsi="Arial"/>
                <w:sz w:val="16"/>
                <w:szCs w:val="16"/>
                <w:color w:val="0000EE"/>
                <w:w w:val="99"/>
              </w:rPr>
            </w:pPr>
            <w:hyperlink r:id="rId86">
              <w:r>
                <w:rPr>
                  <w:rFonts w:ascii="Arial" w:cs="Arial" w:eastAsia="Arial" w:hAnsi="Arial"/>
                  <w:sz w:val="16"/>
                  <w:szCs w:val="16"/>
                  <w:color w:val="0000EE"/>
                  <w:w w:val="99"/>
                </w:rPr>
                <w:t>Amended and Restated Credit Agreement, dated as of December 1, 2016,</w:t>
              </w:r>
            </w:hyperlink>
          </w:p>
        </w:tc>
        <w:tc>
          <w:tcPr>
            <w:tcW w:w="122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12/6/2016</w:t>
            </w:r>
          </w:p>
        </w:tc>
        <w:tc>
          <w:tcPr>
            <w:tcW w:w="0" w:type="dxa"/>
            <w:vAlign w:val="bottom"/>
          </w:tcPr>
          <w:p>
            <w:pPr>
              <w:spacing w:after="0"/>
              <w:rPr>
                <w:sz w:val="1"/>
                <w:szCs w:val="1"/>
                <w:color w:val="auto"/>
              </w:rPr>
            </w:pPr>
          </w:p>
        </w:tc>
      </w:tr>
      <w:tr>
        <w:trPr>
          <w:trHeight w:val="183"/>
        </w:trPr>
        <w:tc>
          <w:tcPr>
            <w:tcW w:w="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760" w:type="dxa"/>
            <w:vAlign w:val="bottom"/>
            <w:tcBorders>
              <w:top w:val="single" w:sz="8" w:color="0000EE"/>
            </w:tcBorders>
            <w:gridSpan w:val="17"/>
            <w:shd w:val="clear" w:color="auto" w:fill="CCEEFF"/>
          </w:tcPr>
          <w:p>
            <w:pPr>
              <w:spacing w:after="0" w:line="183" w:lineRule="exact"/>
              <w:rPr>
                <w:rFonts w:ascii="Arial" w:cs="Arial" w:eastAsia="Arial" w:hAnsi="Arial"/>
                <w:sz w:val="16"/>
                <w:szCs w:val="16"/>
                <w:color w:val="0000EE"/>
                <w:w w:val="95"/>
              </w:rPr>
            </w:pPr>
            <w:hyperlink r:id="rId86">
              <w:r>
                <w:rPr>
                  <w:rFonts w:ascii="Arial" w:cs="Arial" w:eastAsia="Arial" w:hAnsi="Arial"/>
                  <w:sz w:val="16"/>
                  <w:szCs w:val="16"/>
                  <w:color w:val="0000EE"/>
                  <w:w w:val="95"/>
                </w:rPr>
                <w:t>among G-III Leather, Riviera Sun, Inc., CK Outerwear, LLC, AM Retail</w:t>
              </w:r>
            </w:hyperlink>
          </w:p>
        </w:tc>
        <w:tc>
          <w:tcPr>
            <w:tcW w:w="520" w:type="dxa"/>
            <w:vAlign w:val="bottom"/>
            <w:tcBorders>
              <w:top w:val="single" w:sz="8" w:color="CCEEFF"/>
            </w:tcBorders>
            <w:gridSpan w:val="10"/>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CCEEFF"/>
            </w:tcBorders>
            <w:gridSpan w:val="2"/>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880" w:type="dxa"/>
            <w:vAlign w:val="bottom"/>
            <w:tcBorders>
              <w:bottom w:val="single" w:sz="8" w:color="0000EE"/>
            </w:tcBorders>
            <w:gridSpan w:val="19"/>
            <w:shd w:val="clear" w:color="auto" w:fill="CCEEFF"/>
          </w:tcPr>
          <w:p>
            <w:pPr>
              <w:spacing w:after="0" w:line="183" w:lineRule="exact"/>
              <w:rPr>
                <w:rFonts w:ascii="Arial" w:cs="Arial" w:eastAsia="Arial" w:hAnsi="Arial"/>
                <w:sz w:val="16"/>
                <w:szCs w:val="16"/>
                <w:color w:val="0000EE"/>
                <w:w w:val="91"/>
              </w:rPr>
            </w:pPr>
            <w:hyperlink r:id="rId86">
              <w:r>
                <w:rPr>
                  <w:rFonts w:ascii="Arial" w:cs="Arial" w:eastAsia="Arial" w:hAnsi="Arial"/>
                  <w:sz w:val="16"/>
                  <w:szCs w:val="16"/>
                  <w:color w:val="0000EE"/>
                  <w:w w:val="91"/>
                </w:rPr>
                <w:t>Group, Inc, and The Donna Karan Company Store, LLC, as Borrowers, the</w:t>
              </w:r>
            </w:hyperlink>
          </w:p>
        </w:tc>
        <w:tc>
          <w:tcPr>
            <w:tcW w:w="400" w:type="dxa"/>
            <w:vAlign w:val="bottom"/>
            <w:tcBorders>
              <w:bottom w:val="single" w:sz="8" w:color="CCEEFF"/>
            </w:tcBorders>
            <w:gridSpan w:val="8"/>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tcBorders>
            <w:gridSpan w:val="25"/>
            <w:shd w:val="clear" w:color="auto" w:fill="CCEEFF"/>
          </w:tcPr>
          <w:p>
            <w:pPr>
              <w:spacing w:after="0" w:line="183" w:lineRule="exact"/>
              <w:rPr>
                <w:rFonts w:ascii="Arial" w:cs="Arial" w:eastAsia="Arial" w:hAnsi="Arial"/>
                <w:sz w:val="16"/>
                <w:szCs w:val="16"/>
                <w:color w:val="0000EE"/>
                <w:w w:val="91"/>
              </w:rPr>
            </w:pPr>
            <w:hyperlink r:id="rId86">
              <w:r>
                <w:rPr>
                  <w:rFonts w:ascii="Arial" w:cs="Arial" w:eastAsia="Arial" w:hAnsi="Arial"/>
                  <w:sz w:val="16"/>
                  <w:szCs w:val="16"/>
                  <w:color w:val="0000EE"/>
                  <w:w w:val="91"/>
                </w:rPr>
                <w:t>other Borrowers party thereto, the Loan Guarantors party thereto, the Lenders</w:t>
              </w:r>
            </w:hyperlink>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80" w:type="dxa"/>
            <w:vAlign w:val="bottom"/>
            <w:gridSpan w:val="27"/>
            <w:shd w:val="clear" w:color="auto" w:fill="CCEEFF"/>
          </w:tcPr>
          <w:p>
            <w:pPr>
              <w:spacing w:after="0" w:line="183" w:lineRule="exact"/>
              <w:rPr>
                <w:rFonts w:ascii="Arial" w:cs="Arial" w:eastAsia="Arial" w:hAnsi="Arial"/>
                <w:sz w:val="16"/>
                <w:szCs w:val="16"/>
                <w:color w:val="0000EE"/>
                <w:w w:val="97"/>
              </w:rPr>
            </w:pPr>
            <w:hyperlink r:id="rId86">
              <w:r>
                <w:rPr>
                  <w:rFonts w:ascii="Arial" w:cs="Arial" w:eastAsia="Arial" w:hAnsi="Arial"/>
                  <w:sz w:val="16"/>
                  <w:szCs w:val="16"/>
                  <w:color w:val="0000EE"/>
                  <w:w w:val="97"/>
                </w:rPr>
                <w:t>party thereto and JPMorgan Chase Bank, N.A., as the Administrative Agent.</w:t>
              </w:r>
            </w:hyperlink>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10.2(a)</w:t>
            </w:r>
          </w:p>
        </w:tc>
        <w:tc>
          <w:tcPr>
            <w:tcW w:w="5280" w:type="dxa"/>
            <w:vAlign w:val="bottom"/>
            <w:gridSpan w:val="27"/>
          </w:tcPr>
          <w:p>
            <w:pPr>
              <w:spacing w:after="0" w:line="162" w:lineRule="exact"/>
              <w:rPr>
                <w:rFonts w:ascii="Arial" w:cs="Arial" w:eastAsia="Arial" w:hAnsi="Arial"/>
                <w:sz w:val="16"/>
                <w:szCs w:val="16"/>
                <w:color w:val="0000EE"/>
                <w:w w:val="96"/>
              </w:rPr>
            </w:pPr>
            <w:hyperlink r:id="rId87">
              <w:r>
                <w:rPr>
                  <w:rFonts w:ascii="Arial" w:cs="Arial" w:eastAsia="Arial" w:hAnsi="Arial"/>
                  <w:sz w:val="16"/>
                  <w:szCs w:val="16"/>
                  <w:color w:val="0000EE"/>
                  <w:w w:val="96"/>
                </w:rPr>
                <w:t>Credit Agreement dated as of December 1, 2016, among G-III, the other loan</w:t>
              </w:r>
            </w:hyperlink>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rPr>
              <w:t>8-K</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2"/>
              </w:rPr>
              <w:t>12/6/2016</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color w:val="0000EE"/>
                <w:w w:val="90"/>
              </w:rPr>
            </w:pPr>
            <w:hyperlink r:id="rId87">
              <w:r>
                <w:rPr>
                  <w:rFonts w:ascii="Arial" w:cs="Arial" w:eastAsia="Arial" w:hAnsi="Arial"/>
                  <w:sz w:val="16"/>
                  <w:szCs w:val="16"/>
                  <w:color w:val="0000EE"/>
                  <w:w w:val="90"/>
                </w:rPr>
                <w:t>parties thereto, the lenders party thereto and Barclays Bank PLC, as the</w:t>
              </w:r>
            </w:hyperlink>
          </w:p>
        </w:tc>
        <w:tc>
          <w:tcPr>
            <w:tcW w:w="360" w:type="dxa"/>
            <w:vAlign w:val="bottom"/>
            <w:tcBorders>
              <w:top w:val="single" w:sz="8" w:color="0000EE"/>
            </w:tcBorders>
            <w:gridSpan w:val="10"/>
          </w:tcPr>
          <w:p>
            <w:pPr>
              <w:spacing w:after="0"/>
              <w:rPr>
                <w:sz w:val="15"/>
                <w:szCs w:val="15"/>
                <w:color w:val="auto"/>
              </w:rPr>
            </w:pPr>
          </w:p>
        </w:tc>
        <w:tc>
          <w:tcPr>
            <w:tcW w:w="28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80" w:type="dxa"/>
            <w:vAlign w:val="bottom"/>
            <w:gridSpan w:val="27"/>
          </w:tcPr>
          <w:p>
            <w:pPr>
              <w:spacing w:after="0" w:line="183" w:lineRule="exact"/>
              <w:rPr>
                <w:rFonts w:ascii="Arial" w:cs="Arial" w:eastAsia="Arial" w:hAnsi="Arial"/>
                <w:sz w:val="16"/>
                <w:szCs w:val="16"/>
                <w:color w:val="0000EE"/>
              </w:rPr>
            </w:pPr>
            <w:hyperlink r:id="rId87">
              <w:r>
                <w:rPr>
                  <w:rFonts w:ascii="Arial" w:cs="Arial" w:eastAsia="Arial" w:hAnsi="Arial"/>
                  <w:sz w:val="16"/>
                  <w:szCs w:val="16"/>
                  <w:color w:val="0000EE"/>
                </w:rPr>
                <w:t>Administrative Agent.</w:t>
              </w:r>
            </w:hyperlink>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14"/>
                <w:szCs w:val="14"/>
                <w:color w:val="auto"/>
              </w:rPr>
            </w:pPr>
          </w:p>
        </w:tc>
        <w:tc>
          <w:tcPr>
            <w:tcW w:w="5280" w:type="dxa"/>
            <w:vAlign w:val="bottom"/>
            <w:gridSpan w:val="27"/>
            <w:shd w:val="clear" w:color="auto" w:fill="CCEEFF"/>
          </w:tcPr>
          <w:p>
            <w:pPr>
              <w:spacing w:after="0" w:line="162" w:lineRule="exact"/>
              <w:rPr>
                <w:rFonts w:ascii="Arial" w:cs="Arial" w:eastAsia="Arial" w:hAnsi="Arial"/>
                <w:sz w:val="16"/>
                <w:szCs w:val="16"/>
                <w:color w:val="0000EE"/>
                <w:w w:val="96"/>
              </w:rPr>
            </w:pPr>
            <w:hyperlink r:id="rId88">
              <w:r>
                <w:rPr>
                  <w:rFonts w:ascii="Arial" w:cs="Arial" w:eastAsia="Arial" w:hAnsi="Arial"/>
                  <w:sz w:val="16"/>
                  <w:szCs w:val="16"/>
                  <w:color w:val="0000EE"/>
                  <w:w w:val="96"/>
                </w:rPr>
                <w:t>Lease, dated June 1, 1993, between 512 Seventh Avenue Associates (“512”)</w:t>
              </w:r>
            </w:hyperlink>
          </w:p>
        </w:tc>
        <w:tc>
          <w:tcPr>
            <w:tcW w:w="122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color w:val="auto"/>
                <w:w w:val="98"/>
              </w:rPr>
              <w:t>10-K/A (2006)</w:t>
            </w:r>
          </w:p>
        </w:tc>
        <w:tc>
          <w:tcPr>
            <w:tcW w:w="84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3"/>
              </w:rPr>
              <w:t>5/8/2006</w:t>
            </w:r>
          </w:p>
        </w:tc>
        <w:tc>
          <w:tcPr>
            <w:tcW w:w="0" w:type="dxa"/>
            <w:vAlign w:val="bottom"/>
          </w:tcPr>
          <w:p>
            <w:pPr>
              <w:spacing w:after="0"/>
              <w:rPr>
                <w:sz w:val="1"/>
                <w:szCs w:val="1"/>
                <w:color w:val="auto"/>
              </w:rPr>
            </w:pPr>
          </w:p>
        </w:tc>
      </w:tr>
      <w:tr>
        <w:trPr>
          <w:trHeight w:val="183"/>
        </w:trPr>
        <w:tc>
          <w:tcPr>
            <w:tcW w:w="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940" w:type="dxa"/>
            <w:vAlign w:val="bottom"/>
            <w:tcBorders>
              <w:top w:val="single" w:sz="8" w:color="0000EE"/>
            </w:tcBorders>
            <w:gridSpan w:val="21"/>
            <w:shd w:val="clear" w:color="auto" w:fill="CCEEFF"/>
          </w:tcPr>
          <w:p>
            <w:pPr>
              <w:spacing w:after="0" w:line="183" w:lineRule="exact"/>
              <w:rPr>
                <w:rFonts w:ascii="Arial" w:cs="Arial" w:eastAsia="Arial" w:hAnsi="Arial"/>
                <w:sz w:val="16"/>
                <w:szCs w:val="16"/>
                <w:color w:val="0000EE"/>
                <w:w w:val="98"/>
              </w:rPr>
            </w:pPr>
            <w:hyperlink r:id="rId88">
              <w:r>
                <w:rPr>
                  <w:rFonts w:ascii="Arial" w:cs="Arial" w:eastAsia="Arial" w:hAnsi="Arial"/>
                  <w:sz w:val="16"/>
                  <w:szCs w:val="16"/>
                  <w:color w:val="0000EE"/>
                  <w:w w:val="98"/>
                </w:rPr>
                <w:t>and G-III Leather Fashions, Inc. (“G-III Leather”) (34th and 35th floors).</w:t>
              </w:r>
            </w:hyperlink>
          </w:p>
        </w:tc>
        <w:tc>
          <w:tcPr>
            <w:tcW w:w="340" w:type="dxa"/>
            <w:vAlign w:val="bottom"/>
            <w:tcBorders>
              <w:top w:val="single" w:sz="8" w:color="CCEEFF"/>
            </w:tcBorders>
            <w:gridSpan w:val="6"/>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10.3(a)</w:t>
            </w:r>
          </w:p>
        </w:tc>
        <w:tc>
          <w:tcPr>
            <w:tcW w:w="4920" w:type="dxa"/>
            <w:vAlign w:val="bottom"/>
            <w:tcBorders>
              <w:bottom w:val="single" w:sz="8" w:color="0000EE"/>
            </w:tcBorders>
            <w:gridSpan w:val="20"/>
          </w:tcPr>
          <w:p>
            <w:pPr>
              <w:spacing w:after="0" w:line="162" w:lineRule="exact"/>
              <w:rPr>
                <w:rFonts w:ascii="Arial" w:cs="Arial" w:eastAsia="Arial" w:hAnsi="Arial"/>
                <w:sz w:val="16"/>
                <w:szCs w:val="16"/>
                <w:color w:val="0000EE"/>
                <w:w w:val="90"/>
              </w:rPr>
            </w:pPr>
            <w:hyperlink r:id="rId89">
              <w:r>
                <w:rPr>
                  <w:rFonts w:ascii="Arial" w:cs="Arial" w:eastAsia="Arial" w:hAnsi="Arial"/>
                  <w:sz w:val="16"/>
                  <w:szCs w:val="16"/>
                  <w:color w:val="0000EE"/>
                  <w:w w:val="90"/>
                </w:rPr>
                <w:t>Lease amendment, dated July 1, 2000, between 512 and G-III Leather (34th</w:t>
              </w:r>
            </w:hyperlink>
          </w:p>
        </w:tc>
        <w:tc>
          <w:tcPr>
            <w:tcW w:w="360" w:type="dxa"/>
            <w:vAlign w:val="bottom"/>
            <w:gridSpan w:val="7"/>
          </w:tcPr>
          <w:p>
            <w:pPr>
              <w:spacing w:after="0"/>
              <w:rPr>
                <w:sz w:val="14"/>
                <w:szCs w:val="14"/>
                <w:color w:val="auto"/>
              </w:rPr>
            </w:pPr>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w w:val="98"/>
              </w:rPr>
              <w:t>10-K/A (2006)</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3"/>
              </w:rPr>
              <w:t>5/8/2006</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80" w:type="dxa"/>
            <w:vAlign w:val="bottom"/>
            <w:gridSpan w:val="27"/>
          </w:tcPr>
          <w:p>
            <w:pPr>
              <w:spacing w:after="0" w:line="183" w:lineRule="exact"/>
              <w:rPr>
                <w:rFonts w:ascii="Arial" w:cs="Arial" w:eastAsia="Arial" w:hAnsi="Arial"/>
                <w:sz w:val="16"/>
                <w:szCs w:val="16"/>
                <w:color w:val="0000EE"/>
              </w:rPr>
            </w:pPr>
            <w:hyperlink r:id="rId89">
              <w:r>
                <w:rPr>
                  <w:rFonts w:ascii="Arial" w:cs="Arial" w:eastAsia="Arial" w:hAnsi="Arial"/>
                  <w:sz w:val="16"/>
                  <w:szCs w:val="16"/>
                  <w:color w:val="0000EE"/>
                </w:rPr>
                <w:t>and 35th floors).</w:t>
              </w:r>
            </w:hyperlink>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10.3(b)</w:t>
            </w:r>
          </w:p>
        </w:tc>
        <w:tc>
          <w:tcPr>
            <w:tcW w:w="4620" w:type="dxa"/>
            <w:vAlign w:val="bottom"/>
            <w:tcBorders>
              <w:bottom w:val="single" w:sz="8" w:color="0000EE"/>
            </w:tcBorders>
            <w:gridSpan w:val="12"/>
            <w:shd w:val="clear" w:color="auto" w:fill="CCEEFF"/>
          </w:tcPr>
          <w:p>
            <w:pPr>
              <w:spacing w:after="0" w:line="162" w:lineRule="exact"/>
              <w:rPr>
                <w:rFonts w:ascii="Arial" w:cs="Arial" w:eastAsia="Arial" w:hAnsi="Arial"/>
                <w:sz w:val="16"/>
                <w:szCs w:val="16"/>
                <w:color w:val="0000EE"/>
                <w:w w:val="90"/>
              </w:rPr>
            </w:pPr>
            <w:hyperlink r:id="rId90">
              <w:r>
                <w:rPr>
                  <w:rFonts w:ascii="Arial" w:cs="Arial" w:eastAsia="Arial" w:hAnsi="Arial"/>
                  <w:sz w:val="16"/>
                  <w:szCs w:val="16"/>
                  <w:color w:val="0000EE"/>
                  <w:w w:val="90"/>
                </w:rPr>
                <w:t>Second Amendment of Lease, dated March 26, 2010, between 500-512</w:t>
              </w:r>
            </w:hyperlink>
          </w:p>
        </w:tc>
        <w:tc>
          <w:tcPr>
            <w:tcW w:w="660" w:type="dxa"/>
            <w:vAlign w:val="bottom"/>
            <w:tcBorders>
              <w:bottom w:val="single" w:sz="8" w:color="CCEEFF"/>
            </w:tcBorders>
            <w:gridSpan w:val="15"/>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2"/>
              </w:rPr>
              <w:t>10-Q (Q3 2011)</w:t>
            </w:r>
          </w:p>
        </w:tc>
        <w:tc>
          <w:tcPr>
            <w:tcW w:w="840" w:type="dxa"/>
            <w:vAlign w:val="bottom"/>
            <w:tcBorders>
              <w:bottom w:val="single" w:sz="8" w:color="CCEEFF"/>
            </w:tcBorders>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12/10/2010</w:t>
            </w:r>
          </w:p>
        </w:tc>
        <w:tc>
          <w:tcPr>
            <w:tcW w:w="0" w:type="dxa"/>
            <w:vAlign w:val="bottom"/>
          </w:tcPr>
          <w:p>
            <w:pPr>
              <w:spacing w:after="0"/>
              <w:rPr>
                <w:sz w:val="1"/>
                <w:szCs w:val="1"/>
                <w:color w:val="auto"/>
              </w:rPr>
            </w:pPr>
          </w:p>
        </w:tc>
      </w:tr>
      <w:tr>
        <w:trPr>
          <w:trHeight w:val="183"/>
        </w:trPr>
        <w:tc>
          <w:tcPr>
            <w:tcW w:w="6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60" w:type="dxa"/>
            <w:vAlign w:val="bottom"/>
            <w:tcBorders>
              <w:bottom w:val="single" w:sz="8" w:color="0000EE"/>
            </w:tcBorders>
            <w:gridSpan w:val="14"/>
            <w:shd w:val="clear" w:color="auto" w:fill="CCEEFF"/>
          </w:tcPr>
          <w:p>
            <w:pPr>
              <w:spacing w:after="0" w:line="183" w:lineRule="exact"/>
              <w:rPr>
                <w:rFonts w:ascii="Arial" w:cs="Arial" w:eastAsia="Arial" w:hAnsi="Arial"/>
                <w:sz w:val="16"/>
                <w:szCs w:val="16"/>
                <w:color w:val="0000EE"/>
                <w:w w:val="91"/>
              </w:rPr>
            </w:pPr>
            <w:hyperlink r:id="rId90">
              <w:r>
                <w:rPr>
                  <w:rFonts w:ascii="Arial" w:cs="Arial" w:eastAsia="Arial" w:hAnsi="Arial"/>
                  <w:sz w:val="16"/>
                  <w:szCs w:val="16"/>
                  <w:color w:val="0000EE"/>
                  <w:w w:val="91"/>
                </w:rPr>
                <w:t>Seventh Avenue Limited Partnership, the successor to 512 (collectively,</w:t>
              </w:r>
            </w:hyperlink>
          </w:p>
        </w:tc>
        <w:tc>
          <w:tcPr>
            <w:tcW w:w="620" w:type="dxa"/>
            <w:vAlign w:val="bottom"/>
            <w:tcBorders>
              <w:bottom w:val="single" w:sz="8" w:color="CCEEFF"/>
            </w:tcBorders>
            <w:gridSpan w:val="13"/>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80" w:type="dxa"/>
            <w:vAlign w:val="bottom"/>
            <w:gridSpan w:val="27"/>
            <w:shd w:val="clear" w:color="auto" w:fill="CCEEFF"/>
          </w:tcPr>
          <w:p>
            <w:pPr>
              <w:spacing w:after="0" w:line="183" w:lineRule="exact"/>
              <w:rPr>
                <w:rFonts w:ascii="Arial" w:cs="Arial" w:eastAsia="Arial" w:hAnsi="Arial"/>
                <w:sz w:val="16"/>
                <w:szCs w:val="16"/>
                <w:color w:val="0000EE"/>
              </w:rPr>
            </w:pPr>
            <w:hyperlink r:id="rId90">
              <w:r>
                <w:rPr>
                  <w:rFonts w:ascii="Arial" w:cs="Arial" w:eastAsia="Arial" w:hAnsi="Arial"/>
                  <w:sz w:val="16"/>
                  <w:szCs w:val="16"/>
                  <w:color w:val="0000EE"/>
                </w:rPr>
                <w:t>“512”) and G-III Leather (34th and 35th floors).</w:t>
              </w:r>
            </w:hyperlink>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ind w:left="20"/>
              <w:spacing w:after="0" w:line="162" w:lineRule="exact"/>
              <w:rPr>
                <w:sz w:val="20"/>
                <w:szCs w:val="20"/>
                <w:color w:val="auto"/>
              </w:rPr>
            </w:pPr>
            <w:r>
              <w:rPr>
                <w:rFonts w:ascii="Arial" w:cs="Arial" w:eastAsia="Arial" w:hAnsi="Arial"/>
                <w:sz w:val="16"/>
                <w:szCs w:val="16"/>
                <w:color w:val="auto"/>
              </w:rPr>
              <w:t>10.4</w:t>
            </w:r>
          </w:p>
        </w:tc>
        <w:tc>
          <w:tcPr>
            <w:tcW w:w="140" w:type="dxa"/>
            <w:vAlign w:val="bottom"/>
          </w:tcPr>
          <w:p>
            <w:pPr>
              <w:spacing w:after="0"/>
              <w:rPr>
                <w:sz w:val="14"/>
                <w:szCs w:val="14"/>
                <w:color w:val="auto"/>
              </w:rPr>
            </w:pPr>
          </w:p>
        </w:tc>
        <w:tc>
          <w:tcPr>
            <w:tcW w:w="5280" w:type="dxa"/>
            <w:vAlign w:val="bottom"/>
            <w:gridSpan w:val="27"/>
          </w:tcPr>
          <w:p>
            <w:pPr>
              <w:spacing w:after="0" w:line="162" w:lineRule="exact"/>
              <w:rPr>
                <w:rFonts w:ascii="Arial" w:cs="Arial" w:eastAsia="Arial" w:hAnsi="Arial"/>
                <w:sz w:val="16"/>
                <w:szCs w:val="16"/>
                <w:color w:val="0000EE"/>
              </w:rPr>
            </w:pPr>
            <w:hyperlink r:id="rId91">
              <w:r>
                <w:rPr>
                  <w:rFonts w:ascii="Arial" w:cs="Arial" w:eastAsia="Arial" w:hAnsi="Arial"/>
                  <w:sz w:val="16"/>
                  <w:szCs w:val="16"/>
                  <w:color w:val="0000EE"/>
                </w:rPr>
                <w:t>Lease, dated January 31, 1994, between 512 and G-III (33rd floor).</w:t>
              </w:r>
            </w:hyperlink>
          </w:p>
        </w:tc>
        <w:tc>
          <w:tcPr>
            <w:tcW w:w="122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w w:val="98"/>
              </w:rPr>
              <w:t>10-K/A (2006)</w:t>
            </w:r>
          </w:p>
        </w:tc>
        <w:tc>
          <w:tcPr>
            <w:tcW w:w="84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3"/>
              </w:rPr>
              <w:t>5/8/2006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10.4(a)</w:t>
            </w:r>
          </w:p>
        </w:tc>
        <w:tc>
          <w:tcPr>
            <w:tcW w:w="5280" w:type="dxa"/>
            <w:vAlign w:val="bottom"/>
            <w:gridSpan w:val="27"/>
            <w:shd w:val="clear" w:color="auto" w:fill="CCEEFF"/>
          </w:tcPr>
          <w:p>
            <w:pPr>
              <w:spacing w:after="0" w:line="162" w:lineRule="exact"/>
              <w:rPr>
                <w:rFonts w:ascii="Arial" w:cs="Arial" w:eastAsia="Arial" w:hAnsi="Arial"/>
                <w:sz w:val="16"/>
                <w:szCs w:val="16"/>
                <w:color w:val="0000EE"/>
                <w:w w:val="99"/>
              </w:rPr>
            </w:pPr>
            <w:hyperlink r:id="rId92">
              <w:r>
                <w:rPr>
                  <w:rFonts w:ascii="Arial" w:cs="Arial" w:eastAsia="Arial" w:hAnsi="Arial"/>
                  <w:sz w:val="16"/>
                  <w:szCs w:val="16"/>
                  <w:color w:val="0000EE"/>
                  <w:w w:val="99"/>
                </w:rPr>
                <w:t>Lease amendment, dated July 1, 2000, between 512 and G-III (33rd floor).</w:t>
              </w:r>
            </w:hyperlink>
          </w:p>
        </w:tc>
        <w:tc>
          <w:tcPr>
            <w:tcW w:w="122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color w:val="auto"/>
                <w:w w:val="98"/>
              </w:rPr>
              <w:t>10-K/A (2006)</w:t>
            </w:r>
          </w:p>
        </w:tc>
        <w:tc>
          <w:tcPr>
            <w:tcW w:w="84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1"/>
              </w:rPr>
              <w:t>000-18183</w:t>
            </w:r>
          </w:p>
        </w:tc>
        <w:tc>
          <w:tcPr>
            <w:tcW w:w="7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3"/>
              </w:rPr>
              <w:t>5/8/2006</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80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520" w:type="dxa"/>
            <w:vAlign w:val="bottom"/>
            <w:gridSpan w:val="29"/>
            <w:vMerge w:val="restart"/>
          </w:tcPr>
          <w:p>
            <w:pPr>
              <w:ind w:left="500"/>
              <w:spacing w:after="0"/>
              <w:rPr>
                <w:sz w:val="20"/>
                <w:szCs w:val="20"/>
                <w:color w:val="auto"/>
              </w:rPr>
            </w:pPr>
            <w:r>
              <w:rPr>
                <w:rFonts w:ascii="Arial" w:cs="Arial" w:eastAsia="Arial" w:hAnsi="Arial"/>
                <w:sz w:val="14"/>
                <w:szCs w:val="14"/>
                <w:b w:val="1"/>
                <w:bCs w:val="1"/>
                <w:color w:val="auto"/>
              </w:rPr>
              <w:t>Document</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File No.</w:t>
            </w: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05"/>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w:t>
            </w: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520" w:type="dxa"/>
            <w:vAlign w:val="bottom"/>
            <w:gridSpan w:val="29"/>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8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80" w:type="dxa"/>
            <w:vAlign w:val="bottom"/>
            <w:tcBorders>
              <w:top w:val="single" w:sz="8" w:color="auto"/>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10.4(b)</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980" w:type="dxa"/>
            <w:vAlign w:val="bottom"/>
            <w:tcBorders>
              <w:top w:val="single" w:sz="8" w:color="auto"/>
              <w:bottom w:val="single" w:sz="8" w:color="0000EE"/>
            </w:tcBorders>
            <w:gridSpan w:val="24"/>
            <w:shd w:val="clear" w:color="auto" w:fill="CCEEFF"/>
          </w:tcPr>
          <w:p>
            <w:pPr>
              <w:spacing w:after="0" w:line="155" w:lineRule="exact"/>
              <w:rPr>
                <w:rFonts w:ascii="Arial" w:cs="Arial" w:eastAsia="Arial" w:hAnsi="Arial"/>
                <w:sz w:val="16"/>
                <w:szCs w:val="16"/>
                <w:color w:val="0000EE"/>
                <w:w w:val="91"/>
              </w:rPr>
            </w:pPr>
            <w:hyperlink r:id="rId94">
              <w:r>
                <w:rPr>
                  <w:rFonts w:ascii="Arial" w:cs="Arial" w:eastAsia="Arial" w:hAnsi="Arial"/>
                  <w:sz w:val="16"/>
                  <w:szCs w:val="16"/>
                  <w:color w:val="0000EE"/>
                  <w:w w:val="91"/>
                </w:rPr>
                <w:t>Second Amendment of Lease, dated March 26, 2010, between 512 and G-III</w:t>
              </w:r>
            </w:hyperlink>
          </w:p>
        </w:tc>
        <w:tc>
          <w:tcPr>
            <w:tcW w:w="240" w:type="dxa"/>
            <w:vAlign w:val="bottom"/>
            <w:tcBorders>
              <w:top w:val="single" w:sz="8" w:color="auto"/>
              <w:bottom w:val="single" w:sz="8" w:color="CCEEFF"/>
            </w:tcBorders>
            <w:gridSpan w:val="10"/>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2"/>
              </w:rPr>
              <w:t>10-Q (Q3 2011)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1"/>
              </w:rPr>
              <w:t>000-18183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2"/>
              </w:rPr>
              <w:t>12/10/2010</w:t>
            </w: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5"/>
            <w:shd w:val="clear" w:color="auto" w:fill="CCEEFF"/>
          </w:tcPr>
          <w:p>
            <w:pPr>
              <w:spacing w:after="0" w:line="183" w:lineRule="exact"/>
              <w:rPr>
                <w:rFonts w:ascii="Arial" w:cs="Arial" w:eastAsia="Arial" w:hAnsi="Arial"/>
                <w:sz w:val="16"/>
                <w:szCs w:val="16"/>
                <w:color w:val="0000EE"/>
              </w:rPr>
            </w:pPr>
            <w:hyperlink r:id="rId94">
              <w:r>
                <w:rPr>
                  <w:rFonts w:ascii="Arial" w:cs="Arial" w:eastAsia="Arial" w:hAnsi="Arial"/>
                  <w:sz w:val="16"/>
                  <w:szCs w:val="16"/>
                  <w:color w:val="0000EE"/>
                </w:rPr>
                <w:t>Leather (33rd floor).</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10.4(c)</w:t>
            </w:r>
          </w:p>
        </w:tc>
        <w:tc>
          <w:tcPr>
            <w:tcW w:w="4980" w:type="dxa"/>
            <w:vAlign w:val="bottom"/>
            <w:tcBorders>
              <w:bottom w:val="single" w:sz="8" w:color="0000EE"/>
            </w:tcBorders>
            <w:gridSpan w:val="24"/>
          </w:tcPr>
          <w:p>
            <w:pPr>
              <w:spacing w:after="0" w:line="162" w:lineRule="exact"/>
              <w:rPr>
                <w:rFonts w:ascii="Arial" w:cs="Arial" w:eastAsia="Arial" w:hAnsi="Arial"/>
                <w:sz w:val="16"/>
                <w:szCs w:val="16"/>
                <w:color w:val="0000EE"/>
                <w:w w:val="91"/>
              </w:rPr>
            </w:pPr>
            <w:hyperlink r:id="rId95">
              <w:r>
                <w:rPr>
                  <w:rFonts w:ascii="Arial" w:cs="Arial" w:eastAsia="Arial" w:hAnsi="Arial"/>
                  <w:sz w:val="16"/>
                  <w:szCs w:val="16"/>
                  <w:color w:val="0000EE"/>
                  <w:w w:val="91"/>
                </w:rPr>
                <w:t>Second Amendment of Lease, dated March 26, 2010, between 512 and G-III</w:t>
              </w:r>
            </w:hyperlink>
          </w:p>
        </w:tc>
        <w:tc>
          <w:tcPr>
            <w:tcW w:w="340" w:type="dxa"/>
            <w:vAlign w:val="bottom"/>
            <w:gridSpan w:val="11"/>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2"/>
              </w:rPr>
              <w:t>10-Q (Q3 2011)</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12/10/2010</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rPr>
            </w:pPr>
            <w:hyperlink r:id="rId95">
              <w:r>
                <w:rPr>
                  <w:rFonts w:ascii="Arial" w:cs="Arial" w:eastAsia="Arial" w:hAnsi="Arial"/>
                  <w:sz w:val="16"/>
                  <w:szCs w:val="16"/>
                  <w:color w:val="0000EE"/>
                </w:rPr>
                <w:t>Leather (10th floor).</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10.4(d)</w:t>
            </w:r>
          </w:p>
        </w:tc>
        <w:tc>
          <w:tcPr>
            <w:tcW w:w="4860" w:type="dxa"/>
            <w:vAlign w:val="bottom"/>
            <w:tcBorders>
              <w:bottom w:val="single" w:sz="8" w:color="0000EE"/>
            </w:tcBorders>
            <w:gridSpan w:val="19"/>
            <w:shd w:val="clear" w:color="auto" w:fill="CCEEFF"/>
          </w:tcPr>
          <w:p>
            <w:pPr>
              <w:spacing w:after="0" w:line="162" w:lineRule="exact"/>
              <w:rPr>
                <w:rFonts w:ascii="Arial" w:cs="Arial" w:eastAsia="Arial" w:hAnsi="Arial"/>
                <w:sz w:val="16"/>
                <w:szCs w:val="16"/>
                <w:color w:val="0000EE"/>
                <w:w w:val="92"/>
              </w:rPr>
            </w:pPr>
            <w:hyperlink r:id="rId96">
              <w:r>
                <w:rPr>
                  <w:rFonts w:ascii="Arial" w:cs="Arial" w:eastAsia="Arial" w:hAnsi="Arial"/>
                  <w:sz w:val="16"/>
                  <w:szCs w:val="16"/>
                  <w:color w:val="0000EE"/>
                  <w:w w:val="92"/>
                </w:rPr>
                <w:t>Third Amendment of Lease, dated March 26, 2010, between 512 and G-III</w:t>
              </w:r>
            </w:hyperlink>
          </w:p>
        </w:tc>
        <w:tc>
          <w:tcPr>
            <w:tcW w:w="460" w:type="dxa"/>
            <w:vAlign w:val="bottom"/>
            <w:tcBorders>
              <w:bottom w:val="single" w:sz="8" w:color="CCEEFF"/>
            </w:tcBorders>
            <w:gridSpan w:val="16"/>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2"/>
              </w:rPr>
              <w:t>10-Q (Q3 2011)</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12/10/2010</w:t>
            </w:r>
          </w:p>
        </w:tc>
        <w:tc>
          <w:tcPr>
            <w:tcW w:w="0" w:type="dxa"/>
            <w:vAlign w:val="bottom"/>
          </w:tcPr>
          <w:p>
            <w:pPr>
              <w:spacing w:after="0"/>
              <w:rPr>
                <w:sz w:val="1"/>
                <w:szCs w:val="1"/>
                <w:color w:val="auto"/>
              </w:rPr>
            </w:pPr>
          </w:p>
        </w:tc>
      </w:tr>
      <w:tr>
        <w:trPr>
          <w:trHeight w:val="203"/>
        </w:trPr>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0000EE"/>
            </w:tcBorders>
            <w:gridSpan w:val="9"/>
            <w:shd w:val="clear" w:color="auto" w:fill="CCEEFF"/>
          </w:tcPr>
          <w:p>
            <w:pPr>
              <w:spacing w:after="0" w:line="183" w:lineRule="exact"/>
              <w:rPr>
                <w:rFonts w:ascii="Arial" w:cs="Arial" w:eastAsia="Arial" w:hAnsi="Arial"/>
                <w:sz w:val="16"/>
                <w:szCs w:val="16"/>
                <w:color w:val="0000EE"/>
                <w:w w:val="91"/>
              </w:rPr>
            </w:pPr>
            <w:hyperlink r:id="rId96">
              <w:r>
                <w:rPr>
                  <w:rFonts w:ascii="Arial" w:cs="Arial" w:eastAsia="Arial" w:hAnsi="Arial"/>
                  <w:sz w:val="16"/>
                  <w:szCs w:val="16"/>
                  <w:color w:val="0000EE"/>
                  <w:w w:val="91"/>
                </w:rPr>
                <w:t>Leather (21st, 22nd, 23rd, 24th and 36th floors).</w:t>
              </w:r>
            </w:hyperlink>
          </w:p>
        </w:tc>
        <w:tc>
          <w:tcPr>
            <w:tcW w:w="2180" w:type="dxa"/>
            <w:vAlign w:val="bottom"/>
            <w:tcBorders>
              <w:bottom w:val="single" w:sz="8" w:color="CCEEFF"/>
            </w:tcBorders>
            <w:gridSpan w:val="26"/>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10.4(e)</w:t>
            </w:r>
          </w:p>
        </w:tc>
        <w:tc>
          <w:tcPr>
            <w:tcW w:w="5320" w:type="dxa"/>
            <w:vAlign w:val="bottom"/>
            <w:gridSpan w:val="35"/>
          </w:tcPr>
          <w:p>
            <w:pPr>
              <w:spacing w:after="0" w:line="162" w:lineRule="exact"/>
              <w:rPr>
                <w:rFonts w:ascii="Arial" w:cs="Arial" w:eastAsia="Arial" w:hAnsi="Arial"/>
                <w:sz w:val="16"/>
                <w:szCs w:val="16"/>
                <w:color w:val="0000EE"/>
                <w:w w:val="94"/>
              </w:rPr>
            </w:pPr>
            <w:hyperlink r:id="rId97">
              <w:r>
                <w:rPr>
                  <w:rFonts w:ascii="Arial" w:cs="Arial" w:eastAsia="Arial" w:hAnsi="Arial"/>
                  <w:sz w:val="16"/>
                  <w:szCs w:val="16"/>
                  <w:color w:val="0000EE"/>
                  <w:w w:val="94"/>
                </w:rPr>
                <w:t>Sixth Amendment of Lease, dated May 23, 2013, by and between G-III Leather</w:t>
              </w:r>
            </w:hyperlink>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2"/>
              </w:rPr>
              <w:t>10-Q (Q1 2014)</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6/10/2013</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Borders>
              <w:top w:val="single" w:sz="8" w:color="0000EE"/>
              <w:bottom w:val="single" w:sz="8" w:color="0000EE"/>
            </w:tcBorders>
            <w:gridSpan w:val="27"/>
          </w:tcPr>
          <w:p>
            <w:pPr>
              <w:spacing w:after="0" w:line="183" w:lineRule="exact"/>
              <w:rPr>
                <w:rFonts w:ascii="Arial" w:cs="Arial" w:eastAsia="Arial" w:hAnsi="Arial"/>
                <w:sz w:val="16"/>
                <w:szCs w:val="16"/>
                <w:color w:val="0000EE"/>
                <w:w w:val="90"/>
              </w:rPr>
            </w:pPr>
            <w:hyperlink r:id="rId97">
              <w:r>
                <w:rPr>
                  <w:rFonts w:ascii="Arial" w:cs="Arial" w:eastAsia="Arial" w:hAnsi="Arial"/>
                  <w:sz w:val="16"/>
                  <w:szCs w:val="16"/>
                  <w:color w:val="0000EE"/>
                  <w:w w:val="90"/>
                </w:rPr>
                <w:t>Fashions, Inc. as Tenant and 500-512 Seventh Avenue Limited Partnership as</w:t>
              </w:r>
            </w:hyperlink>
          </w:p>
        </w:tc>
        <w:tc>
          <w:tcPr>
            <w:tcW w:w="120" w:type="dxa"/>
            <w:vAlign w:val="bottom"/>
            <w:tcBorders>
              <w:top w:val="single" w:sz="8" w:color="0000EE"/>
            </w:tcBorders>
            <w:gridSpan w:val="5"/>
          </w:tcPr>
          <w:p>
            <w:pPr>
              <w:spacing w:after="0"/>
              <w:rPr>
                <w:sz w:val="15"/>
                <w:szCs w:val="15"/>
                <w:color w:val="auto"/>
              </w:rPr>
            </w:pPr>
          </w:p>
        </w:tc>
        <w:tc>
          <w:tcPr>
            <w:tcW w:w="16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Borders>
              <w:bottom w:val="single" w:sz="8" w:color="0000EE"/>
            </w:tcBorders>
            <w:gridSpan w:val="32"/>
          </w:tcPr>
          <w:p>
            <w:pPr>
              <w:spacing w:after="0" w:line="183" w:lineRule="exact"/>
              <w:rPr>
                <w:rFonts w:ascii="Arial" w:cs="Arial" w:eastAsia="Arial" w:hAnsi="Arial"/>
                <w:sz w:val="16"/>
                <w:szCs w:val="16"/>
                <w:color w:val="0000EE"/>
                <w:w w:val="92"/>
              </w:rPr>
            </w:pPr>
            <w:hyperlink r:id="rId97">
              <w:r>
                <w:rPr>
                  <w:rFonts w:ascii="Arial" w:cs="Arial" w:eastAsia="Arial" w:hAnsi="Arial"/>
                  <w:sz w:val="16"/>
                  <w:szCs w:val="16"/>
                  <w:color w:val="0000EE"/>
                  <w:w w:val="92"/>
                </w:rPr>
                <w:t>Landlord, (2nd Floor (including mezzanine), 21st, 22nd, 23rd, 24th, 27th, 29th,</w:t>
              </w:r>
            </w:hyperlink>
          </w:p>
        </w:tc>
        <w:tc>
          <w:tcPr>
            <w:tcW w:w="16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rPr>
            </w:pPr>
            <w:hyperlink r:id="rId97">
              <w:r>
                <w:rPr>
                  <w:rFonts w:ascii="Arial" w:cs="Arial" w:eastAsia="Arial" w:hAnsi="Arial"/>
                  <w:sz w:val="16"/>
                  <w:szCs w:val="16"/>
                  <w:color w:val="0000EE"/>
                </w:rPr>
                <w:t>31st, 36th and 40th Floors).</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10.4(f)</w:t>
            </w:r>
          </w:p>
        </w:tc>
        <w:tc>
          <w:tcPr>
            <w:tcW w:w="4820" w:type="dxa"/>
            <w:vAlign w:val="bottom"/>
            <w:tcBorders>
              <w:bottom w:val="single" w:sz="8" w:color="0000EE"/>
            </w:tcBorders>
            <w:gridSpan w:val="18"/>
            <w:shd w:val="clear" w:color="auto" w:fill="CCEEFF"/>
          </w:tcPr>
          <w:p>
            <w:pPr>
              <w:spacing w:after="0" w:line="162" w:lineRule="exact"/>
              <w:rPr>
                <w:rFonts w:ascii="Arial" w:cs="Arial" w:eastAsia="Arial" w:hAnsi="Arial"/>
                <w:sz w:val="16"/>
                <w:szCs w:val="16"/>
                <w:color w:val="0000EE"/>
                <w:w w:val="92"/>
              </w:rPr>
            </w:pPr>
            <w:hyperlink r:id="rId98">
              <w:r>
                <w:rPr>
                  <w:rFonts w:ascii="Arial" w:cs="Arial" w:eastAsia="Arial" w:hAnsi="Arial"/>
                  <w:sz w:val="16"/>
                  <w:szCs w:val="16"/>
                  <w:color w:val="0000EE"/>
                  <w:w w:val="92"/>
                </w:rPr>
                <w:t>Seventh Amendment of Lease dated April 25, 2014, by and between G-III</w:t>
              </w:r>
            </w:hyperlink>
          </w:p>
        </w:tc>
        <w:tc>
          <w:tcPr>
            <w:tcW w:w="500" w:type="dxa"/>
            <w:vAlign w:val="bottom"/>
            <w:tcBorders>
              <w:bottom w:val="single" w:sz="8" w:color="CCEEFF"/>
            </w:tcBorders>
            <w:gridSpan w:val="17"/>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2"/>
              </w:rPr>
              <w:t>10-Q (Q1 2015)</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3"/>
              </w:rPr>
              <w:t>6/5/2014</w:t>
            </w: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5"/>
            <w:shd w:val="clear" w:color="auto" w:fill="CCEEFF"/>
          </w:tcPr>
          <w:p>
            <w:pPr>
              <w:spacing w:after="0" w:line="183" w:lineRule="exact"/>
              <w:rPr>
                <w:rFonts w:ascii="Arial" w:cs="Arial" w:eastAsia="Arial" w:hAnsi="Arial"/>
                <w:sz w:val="16"/>
                <w:szCs w:val="16"/>
                <w:color w:val="0000EE"/>
              </w:rPr>
            </w:pPr>
            <w:hyperlink r:id="rId98">
              <w:r>
                <w:rPr>
                  <w:rFonts w:ascii="Arial" w:cs="Arial" w:eastAsia="Arial" w:hAnsi="Arial"/>
                  <w:sz w:val="16"/>
                  <w:szCs w:val="16"/>
                  <w:color w:val="0000EE"/>
                </w:rPr>
                <w:t>Leather Fashions, Inc. as Tenant and 500-512 Seventh Avenue Limited</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23"/>
            <w:shd w:val="clear" w:color="auto" w:fill="CCEEFF"/>
          </w:tcPr>
          <w:p>
            <w:pPr>
              <w:spacing w:after="0" w:line="183" w:lineRule="exact"/>
              <w:rPr>
                <w:rFonts w:ascii="Arial" w:cs="Arial" w:eastAsia="Arial" w:hAnsi="Arial"/>
                <w:sz w:val="16"/>
                <w:szCs w:val="16"/>
                <w:color w:val="0000EE"/>
                <w:w w:val="92"/>
              </w:rPr>
            </w:pPr>
            <w:hyperlink r:id="rId98">
              <w:r>
                <w:rPr>
                  <w:rFonts w:ascii="Arial" w:cs="Arial" w:eastAsia="Arial" w:hAnsi="Arial"/>
                  <w:sz w:val="16"/>
                  <w:szCs w:val="16"/>
                  <w:color w:val="0000EE"/>
                  <w:w w:val="92"/>
                </w:rPr>
                <w:t>Partnership as Landlord (2nd Floor (including mezzanine), 21st, 22nd, 23rd,</w:t>
              </w:r>
            </w:hyperlink>
          </w:p>
        </w:tc>
        <w:tc>
          <w:tcPr>
            <w:tcW w:w="360" w:type="dxa"/>
            <w:vAlign w:val="bottom"/>
            <w:tcBorders>
              <w:bottom w:val="single" w:sz="8" w:color="CCEEFF"/>
            </w:tcBorders>
            <w:gridSpan w:val="12"/>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0000EE"/>
            </w:tcBorders>
            <w:gridSpan w:val="10"/>
            <w:shd w:val="clear" w:color="auto" w:fill="CCEEFF"/>
          </w:tcPr>
          <w:p>
            <w:pPr>
              <w:spacing w:after="0" w:line="183" w:lineRule="exact"/>
              <w:rPr>
                <w:rFonts w:ascii="Arial" w:cs="Arial" w:eastAsia="Arial" w:hAnsi="Arial"/>
                <w:sz w:val="16"/>
                <w:szCs w:val="16"/>
                <w:color w:val="0000EE"/>
                <w:w w:val="91"/>
              </w:rPr>
            </w:pPr>
            <w:hyperlink r:id="rId98">
              <w:r>
                <w:rPr>
                  <w:rFonts w:ascii="Arial" w:cs="Arial" w:eastAsia="Arial" w:hAnsi="Arial"/>
                  <w:sz w:val="16"/>
                  <w:szCs w:val="16"/>
                  <w:color w:val="0000EE"/>
                  <w:w w:val="91"/>
                </w:rPr>
                <w:t>24th, 27th, 29th, 31st, 36th, 39th and 40th Floors).</w:t>
              </w:r>
            </w:hyperlink>
          </w:p>
        </w:tc>
        <w:tc>
          <w:tcPr>
            <w:tcW w:w="2040" w:type="dxa"/>
            <w:vAlign w:val="bottom"/>
            <w:tcBorders>
              <w:bottom w:val="single" w:sz="8" w:color="CCEEFF"/>
            </w:tcBorders>
            <w:gridSpan w:val="25"/>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10.4(g)</w:t>
            </w:r>
          </w:p>
        </w:tc>
        <w:tc>
          <w:tcPr>
            <w:tcW w:w="4760" w:type="dxa"/>
            <w:vAlign w:val="bottom"/>
            <w:tcBorders>
              <w:bottom w:val="single" w:sz="8" w:color="0000EE"/>
            </w:tcBorders>
            <w:gridSpan w:val="16"/>
          </w:tcPr>
          <w:p>
            <w:pPr>
              <w:spacing w:after="0" w:line="162" w:lineRule="exact"/>
              <w:rPr>
                <w:rFonts w:ascii="Arial" w:cs="Arial" w:eastAsia="Arial" w:hAnsi="Arial"/>
                <w:sz w:val="16"/>
                <w:szCs w:val="16"/>
                <w:color w:val="0000EE"/>
                <w:w w:val="91"/>
              </w:rPr>
            </w:pPr>
            <w:hyperlink r:id="rId99">
              <w:r>
                <w:rPr>
                  <w:rFonts w:ascii="Arial" w:cs="Arial" w:eastAsia="Arial" w:hAnsi="Arial"/>
                  <w:sz w:val="16"/>
                  <w:szCs w:val="16"/>
                  <w:color w:val="0000EE"/>
                  <w:w w:val="91"/>
                </w:rPr>
                <w:t>Eighth Amendment Of Lease, dated June 16, 2017, by and between G-III</w:t>
              </w:r>
            </w:hyperlink>
          </w:p>
        </w:tc>
        <w:tc>
          <w:tcPr>
            <w:tcW w:w="560" w:type="dxa"/>
            <w:vAlign w:val="bottom"/>
            <w:gridSpan w:val="19"/>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4"/>
              </w:rPr>
              <w:t>10-K (2018)</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3"/>
              </w:rPr>
              <w:t>4/2/2018</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rPr>
            </w:pPr>
            <w:hyperlink r:id="rId99">
              <w:r>
                <w:rPr>
                  <w:rFonts w:ascii="Arial" w:cs="Arial" w:eastAsia="Arial" w:hAnsi="Arial"/>
                  <w:sz w:val="16"/>
                  <w:szCs w:val="16"/>
                  <w:color w:val="0000EE"/>
                </w:rPr>
                <w:t>Leather Fashions, Inc. as Tenant and 500-512 Seventh Avenue Limited</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w w:val="96"/>
              </w:rPr>
            </w:pPr>
            <w:hyperlink r:id="rId99">
              <w:r>
                <w:rPr>
                  <w:rFonts w:ascii="Arial" w:cs="Arial" w:eastAsia="Arial" w:hAnsi="Arial"/>
                  <w:sz w:val="16"/>
                  <w:szCs w:val="16"/>
                  <w:color w:val="0000EE"/>
                  <w:w w:val="96"/>
                </w:rPr>
                <w:t>Partnership as Landlord* (2nd Floor (including mezzanine), 3rd, 4th, 5th, 21st,</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tcBorders>
              <w:top w:val="single" w:sz="8" w:color="0000EE"/>
            </w:tcBorders>
            <w:gridSpan w:val="29"/>
          </w:tcPr>
          <w:p>
            <w:pPr>
              <w:spacing w:after="0" w:line="183" w:lineRule="exact"/>
              <w:rPr>
                <w:rFonts w:ascii="Arial" w:cs="Arial" w:eastAsia="Arial" w:hAnsi="Arial"/>
                <w:sz w:val="16"/>
                <w:szCs w:val="16"/>
                <w:color w:val="0000EE"/>
                <w:w w:val="98"/>
              </w:rPr>
            </w:pPr>
            <w:hyperlink r:id="rId99">
              <w:r>
                <w:rPr>
                  <w:rFonts w:ascii="Arial" w:cs="Arial" w:eastAsia="Arial" w:hAnsi="Arial"/>
                  <w:sz w:val="16"/>
                  <w:szCs w:val="16"/>
                  <w:color w:val="0000EE"/>
                  <w:w w:val="98"/>
                </w:rPr>
                <w:t>22nd, 23rd, 24th, 27th, 28th, 29th, 30th, 31st, 36th, 39th and 40th Floors)</w:t>
              </w:r>
            </w:hyperlink>
          </w:p>
        </w:tc>
        <w:tc>
          <w:tcPr>
            <w:tcW w:w="200" w:type="dxa"/>
            <w:vAlign w:val="bottom"/>
            <w:gridSpan w:val="6"/>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10.4(h)</w:t>
            </w:r>
          </w:p>
        </w:tc>
        <w:tc>
          <w:tcPr>
            <w:tcW w:w="5200" w:type="dxa"/>
            <w:vAlign w:val="bottom"/>
            <w:tcBorders>
              <w:bottom w:val="single" w:sz="8" w:color="0000EE"/>
            </w:tcBorders>
            <w:gridSpan w:val="33"/>
            <w:shd w:val="clear" w:color="auto" w:fill="CCEEFF"/>
          </w:tcPr>
          <w:p>
            <w:pPr>
              <w:spacing w:after="0" w:line="162" w:lineRule="exact"/>
              <w:rPr>
                <w:rFonts w:ascii="Arial" w:cs="Arial" w:eastAsia="Arial" w:hAnsi="Arial"/>
                <w:sz w:val="16"/>
                <w:szCs w:val="16"/>
                <w:color w:val="0000EE"/>
                <w:w w:val="92"/>
              </w:rPr>
            </w:pPr>
            <w:hyperlink r:id="rId100">
              <w:r>
                <w:rPr>
                  <w:rFonts w:ascii="Arial" w:cs="Arial" w:eastAsia="Arial" w:hAnsi="Arial"/>
                  <w:sz w:val="16"/>
                  <w:szCs w:val="16"/>
                  <w:color w:val="0000EE"/>
                  <w:w w:val="92"/>
                </w:rPr>
                <w:t>Ninth Amendment of Lease, dated May 14, 2018, by and between G-III Leather</w:t>
              </w:r>
            </w:hyperlink>
          </w:p>
        </w:tc>
        <w:tc>
          <w:tcPr>
            <w:tcW w:w="120" w:type="dxa"/>
            <w:vAlign w:val="bottom"/>
            <w:tcBorders>
              <w:bottom w:val="single" w:sz="8" w:color="CCEEFF"/>
            </w:tcBorders>
            <w:gridSpan w:val="2"/>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2"/>
              </w:rPr>
              <w:t>10-Q (Q1 2019)</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6/11/2018</w:t>
            </w:r>
          </w:p>
        </w:tc>
        <w:tc>
          <w:tcPr>
            <w:tcW w:w="0" w:type="dxa"/>
            <w:vAlign w:val="bottom"/>
          </w:tcPr>
          <w:p>
            <w:pPr>
              <w:spacing w:after="0"/>
              <w:rPr>
                <w:sz w:val="1"/>
                <w:szCs w:val="1"/>
                <w:color w:val="auto"/>
              </w:rPr>
            </w:pPr>
          </w:p>
        </w:tc>
      </w:tr>
      <w:tr>
        <w:trPr>
          <w:trHeight w:val="182"/>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5"/>
            <w:shd w:val="clear" w:color="auto" w:fill="CCEEFF"/>
          </w:tcPr>
          <w:p>
            <w:pPr>
              <w:spacing w:after="0" w:line="183" w:lineRule="exact"/>
              <w:rPr>
                <w:rFonts w:ascii="Arial" w:cs="Arial" w:eastAsia="Arial" w:hAnsi="Arial"/>
                <w:sz w:val="16"/>
                <w:szCs w:val="16"/>
                <w:color w:val="0000EE"/>
                <w:w w:val="95"/>
              </w:rPr>
            </w:pPr>
            <w:hyperlink r:id="rId100">
              <w:r>
                <w:rPr>
                  <w:rFonts w:ascii="Arial" w:cs="Arial" w:eastAsia="Arial" w:hAnsi="Arial"/>
                  <w:sz w:val="16"/>
                  <w:szCs w:val="16"/>
                  <w:color w:val="0000EE"/>
                  <w:w w:val="95"/>
                </w:rPr>
                <w:t>Fashions, Inc. as Tenant and 500-512 Seventh Avenue Limited Partnership as</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920" w:type="dxa"/>
            <w:vAlign w:val="bottom"/>
            <w:tcBorders>
              <w:top w:val="single" w:sz="8" w:color="0000EE"/>
              <w:bottom w:val="single" w:sz="8" w:color="0000EE"/>
            </w:tcBorders>
            <w:gridSpan w:val="21"/>
            <w:shd w:val="clear" w:color="auto" w:fill="CCEEFF"/>
          </w:tcPr>
          <w:p>
            <w:pPr>
              <w:spacing w:after="0" w:line="183" w:lineRule="exact"/>
              <w:rPr>
                <w:rFonts w:ascii="Arial" w:cs="Arial" w:eastAsia="Arial" w:hAnsi="Arial"/>
                <w:sz w:val="16"/>
                <w:szCs w:val="16"/>
                <w:color w:val="0000EE"/>
                <w:w w:val="92"/>
              </w:rPr>
            </w:pPr>
            <w:hyperlink r:id="rId100">
              <w:r>
                <w:rPr>
                  <w:rFonts w:ascii="Arial" w:cs="Arial" w:eastAsia="Arial" w:hAnsi="Arial"/>
                  <w:sz w:val="16"/>
                  <w:szCs w:val="16"/>
                  <w:color w:val="0000EE"/>
                  <w:w w:val="92"/>
                </w:rPr>
                <w:t>Landlord, (2nd Floor (including mezzanine), 3rd, 4th, 5th, 21st, 22nd, 23rd,</w:t>
              </w:r>
            </w:hyperlink>
          </w:p>
        </w:tc>
        <w:tc>
          <w:tcPr>
            <w:tcW w:w="100" w:type="dxa"/>
            <w:vAlign w:val="bottom"/>
            <w:tcBorders>
              <w:top w:val="single" w:sz="8" w:color="0000EE"/>
              <w:bottom w:val="single" w:sz="8" w:color="CCEEFF"/>
            </w:tcBorders>
            <w:gridSpan w:val="5"/>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5"/>
            <w:shd w:val="clear" w:color="auto" w:fill="CCEEFF"/>
          </w:tcPr>
          <w:p>
            <w:pPr>
              <w:spacing w:after="0" w:line="183" w:lineRule="exact"/>
              <w:rPr>
                <w:rFonts w:ascii="Arial" w:cs="Arial" w:eastAsia="Arial" w:hAnsi="Arial"/>
                <w:sz w:val="16"/>
                <w:szCs w:val="16"/>
                <w:color w:val="0000EE"/>
              </w:rPr>
            </w:pPr>
            <w:hyperlink r:id="rId100">
              <w:r>
                <w:rPr>
                  <w:rFonts w:ascii="Arial" w:cs="Arial" w:eastAsia="Arial" w:hAnsi="Arial"/>
                  <w:sz w:val="16"/>
                  <w:szCs w:val="16"/>
                  <w:color w:val="0000EE"/>
                </w:rPr>
                <w:t>24th, 26th, 27th, 28th, 29th, 30th, 31st, 36th, 39th and 40th Floors at 512</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60" w:type="dxa"/>
            <w:vAlign w:val="bottom"/>
            <w:tcBorders>
              <w:top w:val="single" w:sz="8" w:color="0000EE"/>
              <w:bottom w:val="single" w:sz="8" w:color="0000EE"/>
            </w:tcBorders>
            <w:gridSpan w:val="13"/>
            <w:shd w:val="clear" w:color="auto" w:fill="CCEEFF"/>
          </w:tcPr>
          <w:p>
            <w:pPr>
              <w:spacing w:after="0" w:line="183" w:lineRule="exact"/>
              <w:rPr>
                <w:rFonts w:ascii="Arial" w:cs="Arial" w:eastAsia="Arial" w:hAnsi="Arial"/>
                <w:sz w:val="16"/>
                <w:szCs w:val="16"/>
                <w:color w:val="0000EE"/>
                <w:w w:val="90"/>
              </w:rPr>
            </w:pPr>
            <w:hyperlink r:id="rId100">
              <w:r>
                <w:rPr>
                  <w:rFonts w:ascii="Arial" w:cs="Arial" w:eastAsia="Arial" w:hAnsi="Arial"/>
                  <w:sz w:val="16"/>
                  <w:szCs w:val="16"/>
                  <w:color w:val="0000EE"/>
                  <w:w w:val="90"/>
                </w:rPr>
                <w:t>Seventh Avenue and 2nd and Part of 3rd at 500 Seventh Avenue).</w:t>
              </w:r>
            </w:hyperlink>
          </w:p>
        </w:tc>
        <w:tc>
          <w:tcPr>
            <w:tcW w:w="46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600" w:type="dxa"/>
            <w:vAlign w:val="bottom"/>
            <w:tcBorders>
              <w:top w:val="single" w:sz="8" w:color="CCEEFF"/>
              <w:bottom w:val="single" w:sz="8" w:color="CCEEFF"/>
            </w:tcBorders>
            <w:gridSpan w:val="20"/>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20"/>
              <w:spacing w:after="0" w:line="162" w:lineRule="exact"/>
              <w:rPr>
                <w:sz w:val="20"/>
                <w:szCs w:val="20"/>
                <w:color w:val="auto"/>
              </w:rPr>
            </w:pPr>
            <w:r>
              <w:rPr>
                <w:rFonts w:ascii="Arial" w:cs="Arial" w:eastAsia="Arial" w:hAnsi="Arial"/>
                <w:sz w:val="16"/>
                <w:szCs w:val="16"/>
                <w:color w:val="auto"/>
              </w:rPr>
              <w:t>10.5</w:t>
            </w:r>
          </w:p>
        </w:tc>
        <w:tc>
          <w:tcPr>
            <w:tcW w:w="120" w:type="dxa"/>
            <w:vAlign w:val="bottom"/>
          </w:tcPr>
          <w:p>
            <w:pPr>
              <w:spacing w:after="0"/>
              <w:rPr>
                <w:sz w:val="14"/>
                <w:szCs w:val="14"/>
                <w:color w:val="auto"/>
              </w:rPr>
            </w:pPr>
          </w:p>
        </w:tc>
        <w:tc>
          <w:tcPr>
            <w:tcW w:w="4780" w:type="dxa"/>
            <w:vAlign w:val="bottom"/>
            <w:tcBorders>
              <w:bottom w:val="single" w:sz="8" w:color="0000EE"/>
            </w:tcBorders>
            <w:gridSpan w:val="17"/>
          </w:tcPr>
          <w:p>
            <w:pPr>
              <w:spacing w:after="0" w:line="162" w:lineRule="exact"/>
              <w:rPr>
                <w:rFonts w:ascii="Arial" w:cs="Arial" w:eastAsia="Arial" w:hAnsi="Arial"/>
                <w:sz w:val="16"/>
                <w:szCs w:val="16"/>
                <w:color w:val="0000EE"/>
                <w:w w:val="91"/>
              </w:rPr>
            </w:pPr>
            <w:hyperlink r:id="rId101">
              <w:r>
                <w:rPr>
                  <w:rFonts w:ascii="Arial" w:cs="Arial" w:eastAsia="Arial" w:hAnsi="Arial"/>
                  <w:sz w:val="16"/>
                  <w:szCs w:val="16"/>
                  <w:color w:val="0000EE"/>
                  <w:w w:val="91"/>
                </w:rPr>
                <w:t>Lease, dated February 10, 2009, between IRET Properties and AM Retail</w:t>
              </w:r>
            </w:hyperlink>
          </w:p>
        </w:tc>
        <w:tc>
          <w:tcPr>
            <w:tcW w:w="540" w:type="dxa"/>
            <w:vAlign w:val="bottom"/>
            <w:gridSpan w:val="18"/>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2"/>
              </w:rPr>
              <w:t>10-Q (Q3 2011)</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12/10/2010</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rPr>
            </w:pPr>
            <w:hyperlink r:id="rId101">
              <w:r>
                <w:rPr>
                  <w:rFonts w:ascii="Arial" w:cs="Arial" w:eastAsia="Arial" w:hAnsi="Arial"/>
                  <w:sz w:val="16"/>
                  <w:szCs w:val="16"/>
                  <w:color w:val="0000EE"/>
                </w:rPr>
                <w:t>Group, Inc.</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4900" w:type="dxa"/>
            <w:vAlign w:val="bottom"/>
            <w:tcBorders>
              <w:bottom w:val="single" w:sz="8" w:color="0000EE"/>
            </w:tcBorders>
            <w:gridSpan w:val="20"/>
            <w:shd w:val="clear" w:color="auto" w:fill="CCEEFF"/>
          </w:tcPr>
          <w:p>
            <w:pPr>
              <w:spacing w:after="0" w:line="162" w:lineRule="exact"/>
              <w:rPr>
                <w:rFonts w:ascii="Arial" w:cs="Arial" w:eastAsia="Arial" w:hAnsi="Arial"/>
                <w:sz w:val="16"/>
                <w:szCs w:val="16"/>
                <w:color w:val="0000EE"/>
                <w:w w:val="92"/>
              </w:rPr>
            </w:pPr>
            <w:hyperlink r:id="rId102">
              <w:r>
                <w:rPr>
                  <w:rFonts w:ascii="Arial" w:cs="Arial" w:eastAsia="Arial" w:hAnsi="Arial"/>
                  <w:sz w:val="16"/>
                  <w:szCs w:val="16"/>
                  <w:color w:val="0000EE"/>
                  <w:w w:val="92"/>
                </w:rPr>
                <w:t>G-III 2005 Amended and Restated Stock Incentive Plan, (the “2005 Plan”).</w:t>
              </w:r>
            </w:hyperlink>
          </w:p>
        </w:tc>
        <w:tc>
          <w:tcPr>
            <w:tcW w:w="420" w:type="dxa"/>
            <w:vAlign w:val="bottom"/>
            <w:tcBorders>
              <w:bottom w:val="single" w:sz="8" w:color="CCEEFF"/>
            </w:tcBorders>
            <w:gridSpan w:val="15"/>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3/15/2013</w:t>
            </w:r>
          </w:p>
        </w:tc>
        <w:tc>
          <w:tcPr>
            <w:tcW w:w="0" w:type="dxa"/>
            <w:vAlign w:val="bottom"/>
          </w:tcPr>
          <w:p>
            <w:pPr>
              <w:spacing w:after="0"/>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10.6(a)</w:t>
            </w:r>
          </w:p>
        </w:tc>
        <w:tc>
          <w:tcPr>
            <w:tcW w:w="5320" w:type="dxa"/>
            <w:vAlign w:val="bottom"/>
            <w:gridSpan w:val="35"/>
          </w:tcPr>
          <w:p>
            <w:pPr>
              <w:spacing w:after="0" w:line="162" w:lineRule="exact"/>
              <w:rPr>
                <w:rFonts w:ascii="Arial" w:cs="Arial" w:eastAsia="Arial" w:hAnsi="Arial"/>
                <w:sz w:val="16"/>
                <w:szCs w:val="16"/>
                <w:color w:val="0000EE"/>
              </w:rPr>
            </w:pPr>
            <w:hyperlink r:id="rId103">
              <w:r>
                <w:rPr>
                  <w:rFonts w:ascii="Arial" w:cs="Arial" w:eastAsia="Arial" w:hAnsi="Arial"/>
                  <w:sz w:val="16"/>
                  <w:szCs w:val="16"/>
                  <w:color w:val="0000EE"/>
                </w:rPr>
                <w:t>Form of Option Agreement for awards made pursuant to the 2005 Plan.</w:t>
              </w:r>
            </w:hyperlink>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4"/>
              </w:rPr>
              <w:t>10-K (2009)</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4/16/2009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10.6(b)</w:t>
            </w:r>
          </w:p>
        </w:tc>
        <w:tc>
          <w:tcPr>
            <w:tcW w:w="5160" w:type="dxa"/>
            <w:vAlign w:val="bottom"/>
            <w:tcBorders>
              <w:bottom w:val="single" w:sz="8" w:color="0000EE"/>
            </w:tcBorders>
            <w:gridSpan w:val="31"/>
            <w:shd w:val="clear" w:color="auto" w:fill="CCEEFF"/>
          </w:tcPr>
          <w:p>
            <w:pPr>
              <w:spacing w:after="0" w:line="162" w:lineRule="exact"/>
              <w:rPr>
                <w:rFonts w:ascii="Arial" w:cs="Arial" w:eastAsia="Arial" w:hAnsi="Arial"/>
                <w:sz w:val="16"/>
                <w:szCs w:val="16"/>
                <w:color w:val="0000EE"/>
                <w:w w:val="91"/>
              </w:rPr>
            </w:pPr>
            <w:hyperlink r:id="rId104">
              <w:r>
                <w:rPr>
                  <w:rFonts w:ascii="Arial" w:cs="Arial" w:eastAsia="Arial" w:hAnsi="Arial"/>
                  <w:sz w:val="16"/>
                  <w:szCs w:val="16"/>
                  <w:color w:val="0000EE"/>
                  <w:w w:val="91"/>
                </w:rPr>
                <w:t>Form of Restricted Stock Agreement for restricted stock awards made pursuant</w:t>
              </w:r>
            </w:hyperlink>
          </w:p>
        </w:tc>
        <w:tc>
          <w:tcPr>
            <w:tcW w:w="160" w:type="dxa"/>
            <w:vAlign w:val="bottom"/>
            <w:tcBorders>
              <w:bottom w:val="single" w:sz="8" w:color="CCEEFF"/>
            </w:tcBorders>
            <w:gridSpan w:val="4"/>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6/15/2005</w:t>
            </w:r>
          </w:p>
        </w:tc>
        <w:tc>
          <w:tcPr>
            <w:tcW w:w="0" w:type="dxa"/>
            <w:vAlign w:val="bottom"/>
          </w:tcPr>
          <w:p>
            <w:pPr>
              <w:spacing w:after="0"/>
              <w:rPr>
                <w:sz w:val="1"/>
                <w:szCs w:val="1"/>
                <w:color w:val="auto"/>
              </w:rPr>
            </w:pPr>
          </w:p>
        </w:tc>
      </w:tr>
      <w:tr>
        <w:trPr>
          <w:trHeight w:val="183"/>
        </w:trPr>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5"/>
            <w:shd w:val="clear" w:color="auto" w:fill="CCEEFF"/>
          </w:tcPr>
          <w:p>
            <w:pPr>
              <w:spacing w:after="0" w:line="183" w:lineRule="exact"/>
              <w:rPr>
                <w:rFonts w:ascii="Arial" w:cs="Arial" w:eastAsia="Arial" w:hAnsi="Arial"/>
                <w:sz w:val="16"/>
                <w:szCs w:val="16"/>
                <w:color w:val="0000EE"/>
              </w:rPr>
            </w:pPr>
            <w:hyperlink r:id="rId104">
              <w:r>
                <w:rPr>
                  <w:rFonts w:ascii="Arial" w:cs="Arial" w:eastAsia="Arial" w:hAnsi="Arial"/>
                  <w:sz w:val="16"/>
                  <w:szCs w:val="16"/>
                  <w:color w:val="0000EE"/>
                </w:rPr>
                <w:t>to the 2005 Plan.</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10.6(c)</w:t>
            </w:r>
          </w:p>
        </w:tc>
        <w:tc>
          <w:tcPr>
            <w:tcW w:w="5320" w:type="dxa"/>
            <w:vAlign w:val="bottom"/>
            <w:gridSpan w:val="35"/>
          </w:tcPr>
          <w:p>
            <w:pPr>
              <w:spacing w:after="0" w:line="162" w:lineRule="exact"/>
              <w:rPr>
                <w:rFonts w:ascii="Arial" w:cs="Arial" w:eastAsia="Arial" w:hAnsi="Arial"/>
                <w:sz w:val="16"/>
                <w:szCs w:val="16"/>
                <w:color w:val="0000EE"/>
              </w:rPr>
            </w:pPr>
            <w:hyperlink r:id="rId105">
              <w:r>
                <w:rPr>
                  <w:rFonts w:ascii="Arial" w:cs="Arial" w:eastAsia="Arial" w:hAnsi="Arial"/>
                  <w:sz w:val="16"/>
                  <w:szCs w:val="16"/>
                  <w:color w:val="0000EE"/>
                </w:rPr>
                <w:t>Form of Deferred Stock Award Agreement for October 23, 2014 restricted</w:t>
              </w:r>
            </w:hyperlink>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10/28/2014</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2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r:id="rId105">
              <w:r>
                <w:rPr>
                  <w:rFonts w:ascii="Arial" w:cs="Arial" w:eastAsia="Arial" w:hAnsi="Arial"/>
                  <w:sz w:val="16"/>
                  <w:szCs w:val="16"/>
                  <w:color w:val="0000EE"/>
                </w:rPr>
                <w:t>stock unit grant.</w:t>
              </w:r>
            </w:hyperlink>
          </w:p>
        </w:tc>
        <w:tc>
          <w:tcPr>
            <w:tcW w:w="500" w:type="dxa"/>
            <w:vAlign w:val="bottom"/>
            <w:gridSpan w:val="17"/>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10.6(d)</w:t>
            </w:r>
          </w:p>
        </w:tc>
        <w:tc>
          <w:tcPr>
            <w:tcW w:w="5000" w:type="dxa"/>
            <w:vAlign w:val="bottom"/>
            <w:tcBorders>
              <w:bottom w:val="single" w:sz="8" w:color="0000EE"/>
            </w:tcBorders>
            <w:gridSpan w:val="25"/>
            <w:shd w:val="clear" w:color="auto" w:fill="CCEEFF"/>
          </w:tcPr>
          <w:p>
            <w:pPr>
              <w:spacing w:after="0" w:line="162" w:lineRule="exact"/>
              <w:rPr>
                <w:rFonts w:ascii="Arial" w:cs="Arial" w:eastAsia="Arial" w:hAnsi="Arial"/>
                <w:sz w:val="16"/>
                <w:szCs w:val="16"/>
                <w:color w:val="0000EE"/>
                <w:w w:val="93"/>
              </w:rPr>
            </w:pPr>
            <w:hyperlink r:id="rId106">
              <w:r>
                <w:rPr>
                  <w:rFonts w:ascii="Arial" w:cs="Arial" w:eastAsia="Arial" w:hAnsi="Arial"/>
                  <w:sz w:val="16"/>
                  <w:szCs w:val="16"/>
                  <w:color w:val="0000EE"/>
                  <w:w w:val="93"/>
                </w:rPr>
                <w:t>Form of Deferred Stock Award Agreement for May 12, 2015 restricted stock</w:t>
              </w:r>
            </w:hyperlink>
          </w:p>
        </w:tc>
        <w:tc>
          <w:tcPr>
            <w:tcW w:w="320" w:type="dxa"/>
            <w:vAlign w:val="bottom"/>
            <w:tcBorders>
              <w:bottom w:val="single" w:sz="8" w:color="CCEEFF"/>
            </w:tcBorders>
            <w:gridSpan w:val="10"/>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5/14/2015</w:t>
            </w:r>
          </w:p>
        </w:tc>
        <w:tc>
          <w:tcPr>
            <w:tcW w:w="0" w:type="dxa"/>
            <w:vAlign w:val="bottom"/>
          </w:tcPr>
          <w:p>
            <w:pPr>
              <w:spacing w:after="0"/>
              <w:rPr>
                <w:sz w:val="1"/>
                <w:szCs w:val="1"/>
                <w:color w:val="auto"/>
              </w:rPr>
            </w:pPr>
          </w:p>
        </w:tc>
      </w:tr>
      <w:tr>
        <w:trPr>
          <w:trHeight w:val="203"/>
        </w:trPr>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gridSpan w:val="8"/>
            <w:shd w:val="clear" w:color="auto" w:fill="CCEEFF"/>
          </w:tcPr>
          <w:p>
            <w:pPr>
              <w:spacing w:after="0" w:line="183" w:lineRule="exact"/>
              <w:rPr>
                <w:rFonts w:ascii="Arial" w:cs="Arial" w:eastAsia="Arial" w:hAnsi="Arial"/>
                <w:sz w:val="16"/>
                <w:szCs w:val="16"/>
                <w:color w:val="0000EE"/>
                <w:w w:val="93"/>
              </w:rPr>
            </w:pPr>
            <w:hyperlink r:id="rId106">
              <w:r>
                <w:rPr>
                  <w:rFonts w:ascii="Arial" w:cs="Arial" w:eastAsia="Arial" w:hAnsi="Arial"/>
                  <w:sz w:val="16"/>
                  <w:szCs w:val="16"/>
                  <w:color w:val="0000EE"/>
                  <w:w w:val="93"/>
                </w:rPr>
                <w:t>unit grant vesting on April 12, 2019.</w:t>
              </w:r>
            </w:hyperlink>
          </w:p>
        </w:tc>
        <w:tc>
          <w:tcPr>
            <w:tcW w:w="2940" w:type="dxa"/>
            <w:vAlign w:val="bottom"/>
            <w:tcBorders>
              <w:bottom w:val="single" w:sz="8" w:color="CCEEFF"/>
            </w:tcBorders>
            <w:gridSpan w:val="27"/>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10.6(e)</w:t>
            </w:r>
          </w:p>
        </w:tc>
        <w:tc>
          <w:tcPr>
            <w:tcW w:w="5000" w:type="dxa"/>
            <w:vAlign w:val="bottom"/>
            <w:tcBorders>
              <w:bottom w:val="single" w:sz="8" w:color="0000EE"/>
            </w:tcBorders>
            <w:gridSpan w:val="25"/>
          </w:tcPr>
          <w:p>
            <w:pPr>
              <w:spacing w:after="0" w:line="162" w:lineRule="exact"/>
              <w:rPr>
                <w:rFonts w:ascii="Arial" w:cs="Arial" w:eastAsia="Arial" w:hAnsi="Arial"/>
                <w:sz w:val="16"/>
                <w:szCs w:val="16"/>
                <w:color w:val="0000EE"/>
                <w:w w:val="93"/>
              </w:rPr>
            </w:pPr>
            <w:hyperlink r:id="rId107">
              <w:r>
                <w:rPr>
                  <w:rFonts w:ascii="Arial" w:cs="Arial" w:eastAsia="Arial" w:hAnsi="Arial"/>
                  <w:sz w:val="16"/>
                  <w:szCs w:val="16"/>
                  <w:color w:val="0000EE"/>
                  <w:w w:val="93"/>
                </w:rPr>
                <w:t>Form of Deferred Stock Award Agreement for May 12, 2015 restricted stock</w:t>
              </w:r>
            </w:hyperlink>
          </w:p>
        </w:tc>
        <w:tc>
          <w:tcPr>
            <w:tcW w:w="320" w:type="dxa"/>
            <w:vAlign w:val="bottom"/>
            <w:gridSpan w:val="10"/>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5/14/2015</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rPr>
            </w:pPr>
            <w:hyperlink r:id="rId107">
              <w:r>
                <w:rPr>
                  <w:rFonts w:ascii="Arial" w:cs="Arial" w:eastAsia="Arial" w:hAnsi="Arial"/>
                  <w:sz w:val="16"/>
                  <w:szCs w:val="16"/>
                  <w:color w:val="0000EE"/>
                </w:rPr>
                <w:t>unit grant vesting on June 12, 2020.</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3340" w:type="dxa"/>
            <w:vAlign w:val="bottom"/>
            <w:tcBorders>
              <w:bottom w:val="single" w:sz="8" w:color="0000EE"/>
            </w:tcBorders>
            <w:gridSpan w:val="11"/>
            <w:shd w:val="clear" w:color="auto" w:fill="CCEEFF"/>
          </w:tcPr>
          <w:p>
            <w:pPr>
              <w:spacing w:after="0" w:line="162" w:lineRule="exact"/>
              <w:rPr>
                <w:rFonts w:ascii="Arial" w:cs="Arial" w:eastAsia="Arial" w:hAnsi="Arial"/>
                <w:sz w:val="16"/>
                <w:szCs w:val="16"/>
                <w:color w:val="0000EE"/>
                <w:w w:val="92"/>
              </w:rPr>
            </w:pPr>
            <w:hyperlink r:id="rId108">
              <w:r>
                <w:rPr>
                  <w:rFonts w:ascii="Arial" w:cs="Arial" w:eastAsia="Arial" w:hAnsi="Arial"/>
                  <w:sz w:val="16"/>
                  <w:szCs w:val="16"/>
                  <w:color w:val="0000EE"/>
                  <w:w w:val="92"/>
                </w:rPr>
                <w:t>G-III 2015 Long-Term Incentive Plan, as amended.</w:t>
              </w:r>
            </w:hyperlink>
          </w:p>
        </w:tc>
        <w:tc>
          <w:tcPr>
            <w:tcW w:w="1980" w:type="dxa"/>
            <w:vAlign w:val="bottom"/>
            <w:tcBorders>
              <w:bottom w:val="single" w:sz="8" w:color="CCEEFF"/>
            </w:tcBorders>
            <w:gridSpan w:val="24"/>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6/13/2019</w:t>
            </w:r>
          </w:p>
        </w:tc>
        <w:tc>
          <w:tcPr>
            <w:tcW w:w="0" w:type="dxa"/>
            <w:vAlign w:val="bottom"/>
          </w:tcPr>
          <w:p>
            <w:pPr>
              <w:spacing w:after="0"/>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10.7(a)</w:t>
            </w:r>
          </w:p>
        </w:tc>
        <w:tc>
          <w:tcPr>
            <w:tcW w:w="4920" w:type="dxa"/>
            <w:vAlign w:val="bottom"/>
            <w:tcBorders>
              <w:bottom w:val="single" w:sz="8" w:color="0000EE"/>
            </w:tcBorders>
            <w:gridSpan w:val="21"/>
          </w:tcPr>
          <w:p>
            <w:pPr>
              <w:spacing w:after="0" w:line="162" w:lineRule="exact"/>
              <w:rPr>
                <w:rFonts w:ascii="Arial" w:cs="Arial" w:eastAsia="Arial" w:hAnsi="Arial"/>
                <w:sz w:val="16"/>
                <w:szCs w:val="16"/>
                <w:color w:val="0000EE"/>
                <w:w w:val="92"/>
              </w:rPr>
            </w:pPr>
            <w:hyperlink r:id="rId109">
              <w:r>
                <w:rPr>
                  <w:rFonts w:ascii="Arial" w:cs="Arial" w:eastAsia="Arial" w:hAnsi="Arial"/>
                  <w:sz w:val="16"/>
                  <w:szCs w:val="16"/>
                  <w:color w:val="0000EE"/>
                  <w:w w:val="92"/>
                </w:rPr>
                <w:t>Form of Restricted Stock Unit Agreement for December 10, 2015 restricted</w:t>
              </w:r>
            </w:hyperlink>
          </w:p>
        </w:tc>
        <w:tc>
          <w:tcPr>
            <w:tcW w:w="400" w:type="dxa"/>
            <w:vAlign w:val="bottom"/>
            <w:gridSpan w:val="14"/>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12/14/2015</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rPr>
            </w:pPr>
            <w:hyperlink r:id="rId109">
              <w:r>
                <w:rPr>
                  <w:rFonts w:ascii="Arial" w:cs="Arial" w:eastAsia="Arial" w:hAnsi="Arial"/>
                  <w:sz w:val="16"/>
                  <w:szCs w:val="16"/>
                  <w:color w:val="0000EE"/>
                </w:rPr>
                <w:t>stock unit grants.</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10.7(b)</w:t>
            </w:r>
          </w:p>
        </w:tc>
        <w:tc>
          <w:tcPr>
            <w:tcW w:w="5140" w:type="dxa"/>
            <w:vAlign w:val="bottom"/>
            <w:tcBorders>
              <w:bottom w:val="single" w:sz="8" w:color="0000EE"/>
            </w:tcBorders>
            <w:gridSpan w:val="30"/>
            <w:shd w:val="clear" w:color="auto" w:fill="CCEEFF"/>
          </w:tcPr>
          <w:p>
            <w:pPr>
              <w:spacing w:after="0" w:line="162" w:lineRule="exact"/>
              <w:rPr>
                <w:rFonts w:ascii="Arial" w:cs="Arial" w:eastAsia="Arial" w:hAnsi="Arial"/>
                <w:sz w:val="16"/>
                <w:szCs w:val="16"/>
                <w:color w:val="0000EE"/>
                <w:w w:val="92"/>
              </w:rPr>
            </w:pPr>
            <w:hyperlink r:id="rId110">
              <w:r>
                <w:rPr>
                  <w:rFonts w:ascii="Arial" w:cs="Arial" w:eastAsia="Arial" w:hAnsi="Arial"/>
                  <w:sz w:val="16"/>
                  <w:szCs w:val="16"/>
                  <w:color w:val="0000EE"/>
                  <w:w w:val="92"/>
                </w:rPr>
                <w:t>Form of Restricted Stock Unit Agreement for January 27, 2017 restricted stock</w:t>
              </w:r>
            </w:hyperlink>
          </w:p>
        </w:tc>
        <w:tc>
          <w:tcPr>
            <w:tcW w:w="180" w:type="dxa"/>
            <w:vAlign w:val="bottom"/>
            <w:tcBorders>
              <w:bottom w:val="single" w:sz="8" w:color="CCEEFF"/>
            </w:tcBorders>
            <w:gridSpan w:val="5"/>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1/31/2017</w:t>
            </w:r>
          </w:p>
        </w:tc>
        <w:tc>
          <w:tcPr>
            <w:tcW w:w="0" w:type="dxa"/>
            <w:vAlign w:val="bottom"/>
          </w:tcPr>
          <w:p>
            <w:pPr>
              <w:spacing w:after="0"/>
              <w:rPr>
                <w:sz w:val="1"/>
                <w:szCs w:val="1"/>
                <w:color w:val="auto"/>
              </w:rPr>
            </w:pPr>
          </w:p>
        </w:tc>
      </w:tr>
      <w:tr>
        <w:trPr>
          <w:trHeight w:val="203"/>
        </w:trPr>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shd w:val="clear" w:color="auto" w:fill="CCEEFF"/>
          </w:tcPr>
          <w:p>
            <w:pPr>
              <w:spacing w:after="0" w:line="183" w:lineRule="exact"/>
              <w:rPr>
                <w:rFonts w:ascii="Arial" w:cs="Arial" w:eastAsia="Arial" w:hAnsi="Arial"/>
                <w:sz w:val="16"/>
                <w:szCs w:val="16"/>
                <w:color w:val="0000EE"/>
                <w:w w:val="90"/>
              </w:rPr>
            </w:pPr>
            <w:hyperlink r:id="rId110">
              <w:r>
                <w:rPr>
                  <w:rFonts w:ascii="Arial" w:cs="Arial" w:eastAsia="Arial" w:hAnsi="Arial"/>
                  <w:sz w:val="16"/>
                  <w:szCs w:val="16"/>
                  <w:color w:val="0000EE"/>
                  <w:w w:val="90"/>
                </w:rPr>
                <w:t>unit grants.</w:t>
              </w:r>
            </w:hyperlink>
          </w:p>
        </w:tc>
        <w:tc>
          <w:tcPr>
            <w:tcW w:w="4580" w:type="dxa"/>
            <w:vAlign w:val="bottom"/>
            <w:tcBorders>
              <w:bottom w:val="single" w:sz="8" w:color="CCEEFF"/>
            </w:tcBorders>
            <w:gridSpan w:val="34"/>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10.7(c)</w:t>
            </w:r>
          </w:p>
        </w:tc>
        <w:tc>
          <w:tcPr>
            <w:tcW w:w="5060" w:type="dxa"/>
            <w:vAlign w:val="bottom"/>
            <w:tcBorders>
              <w:bottom w:val="single" w:sz="8" w:color="0000EE"/>
            </w:tcBorders>
            <w:gridSpan w:val="28"/>
          </w:tcPr>
          <w:p>
            <w:pPr>
              <w:spacing w:after="0" w:line="162" w:lineRule="exact"/>
              <w:rPr>
                <w:rFonts w:ascii="Arial" w:cs="Arial" w:eastAsia="Arial" w:hAnsi="Arial"/>
                <w:sz w:val="16"/>
                <w:szCs w:val="16"/>
                <w:color w:val="0000EE"/>
                <w:w w:val="92"/>
              </w:rPr>
            </w:pPr>
            <w:hyperlink r:id="rId111">
              <w:r>
                <w:rPr>
                  <w:rFonts w:ascii="Arial" w:cs="Arial" w:eastAsia="Arial" w:hAnsi="Arial"/>
                  <w:sz w:val="16"/>
                  <w:szCs w:val="16"/>
                  <w:color w:val="0000EE"/>
                  <w:w w:val="92"/>
                </w:rPr>
                <w:t>Form of Restricted Stock Unit Agreement for March 28, 2017 restricted stock</w:t>
              </w:r>
            </w:hyperlink>
          </w:p>
        </w:tc>
        <w:tc>
          <w:tcPr>
            <w:tcW w:w="260" w:type="dxa"/>
            <w:vAlign w:val="bottom"/>
            <w:gridSpan w:val="7"/>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3/17/2017</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rPr>
            </w:pPr>
            <w:hyperlink r:id="rId111">
              <w:r>
                <w:rPr>
                  <w:rFonts w:ascii="Arial" w:cs="Arial" w:eastAsia="Arial" w:hAnsi="Arial"/>
                  <w:sz w:val="16"/>
                  <w:szCs w:val="16"/>
                  <w:color w:val="0000EE"/>
                </w:rPr>
                <w:t>unit grants.</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10.7(d)</w:t>
            </w:r>
          </w:p>
        </w:tc>
        <w:tc>
          <w:tcPr>
            <w:tcW w:w="4980" w:type="dxa"/>
            <w:vAlign w:val="bottom"/>
            <w:tcBorders>
              <w:bottom w:val="single" w:sz="8" w:color="0000EE"/>
            </w:tcBorders>
            <w:gridSpan w:val="24"/>
            <w:shd w:val="clear" w:color="auto" w:fill="CCEEFF"/>
          </w:tcPr>
          <w:p>
            <w:pPr>
              <w:spacing w:after="0" w:line="162" w:lineRule="exact"/>
              <w:rPr>
                <w:rFonts w:ascii="Arial" w:cs="Arial" w:eastAsia="Arial" w:hAnsi="Arial"/>
                <w:sz w:val="16"/>
                <w:szCs w:val="16"/>
                <w:color w:val="0000EE"/>
                <w:w w:val="93"/>
              </w:rPr>
            </w:pPr>
            <w:hyperlink r:id="rId112">
              <w:r>
                <w:rPr>
                  <w:rFonts w:ascii="Arial" w:cs="Arial" w:eastAsia="Arial" w:hAnsi="Arial"/>
                  <w:sz w:val="16"/>
                  <w:szCs w:val="16"/>
                  <w:color w:val="0000EE"/>
                  <w:w w:val="93"/>
                </w:rPr>
                <w:t>Form of Restricted Stock Unit Agreement for April 26, 2018 restricted stock</w:t>
              </w:r>
            </w:hyperlink>
          </w:p>
        </w:tc>
        <w:tc>
          <w:tcPr>
            <w:tcW w:w="340" w:type="dxa"/>
            <w:vAlign w:val="bottom"/>
            <w:tcBorders>
              <w:bottom w:val="single" w:sz="8" w:color="CCEEFF"/>
            </w:tcBorders>
            <w:gridSpan w:val="11"/>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4/30/2018</w:t>
            </w:r>
          </w:p>
        </w:tc>
        <w:tc>
          <w:tcPr>
            <w:tcW w:w="0" w:type="dxa"/>
            <w:vAlign w:val="bottom"/>
          </w:tcPr>
          <w:p>
            <w:pPr>
              <w:spacing w:after="0"/>
              <w:rPr>
                <w:sz w:val="1"/>
                <w:szCs w:val="1"/>
                <w:color w:val="auto"/>
              </w:rPr>
            </w:pPr>
          </w:p>
        </w:tc>
      </w:tr>
      <w:tr>
        <w:trPr>
          <w:trHeight w:val="203"/>
        </w:trPr>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shd w:val="clear" w:color="auto" w:fill="CCEEFF"/>
          </w:tcPr>
          <w:p>
            <w:pPr>
              <w:spacing w:after="0" w:line="183" w:lineRule="exact"/>
              <w:rPr>
                <w:rFonts w:ascii="Arial" w:cs="Arial" w:eastAsia="Arial" w:hAnsi="Arial"/>
                <w:sz w:val="16"/>
                <w:szCs w:val="16"/>
                <w:color w:val="0000EE"/>
                <w:w w:val="90"/>
              </w:rPr>
            </w:pPr>
            <w:hyperlink r:id="rId112">
              <w:r>
                <w:rPr>
                  <w:rFonts w:ascii="Arial" w:cs="Arial" w:eastAsia="Arial" w:hAnsi="Arial"/>
                  <w:sz w:val="16"/>
                  <w:szCs w:val="16"/>
                  <w:color w:val="0000EE"/>
                  <w:w w:val="90"/>
                </w:rPr>
                <w:t>unit grants.</w:t>
              </w:r>
            </w:hyperlink>
          </w:p>
        </w:tc>
        <w:tc>
          <w:tcPr>
            <w:tcW w:w="4580" w:type="dxa"/>
            <w:vAlign w:val="bottom"/>
            <w:tcBorders>
              <w:bottom w:val="single" w:sz="8" w:color="CCEEFF"/>
            </w:tcBorders>
            <w:gridSpan w:val="34"/>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10.7(e)</w:t>
            </w:r>
          </w:p>
        </w:tc>
        <w:tc>
          <w:tcPr>
            <w:tcW w:w="4980" w:type="dxa"/>
            <w:vAlign w:val="bottom"/>
            <w:tcBorders>
              <w:bottom w:val="single" w:sz="8" w:color="0000EE"/>
            </w:tcBorders>
            <w:gridSpan w:val="24"/>
          </w:tcPr>
          <w:p>
            <w:pPr>
              <w:spacing w:after="0" w:line="162" w:lineRule="exact"/>
              <w:rPr>
                <w:rFonts w:ascii="Arial" w:cs="Arial" w:eastAsia="Arial" w:hAnsi="Arial"/>
                <w:sz w:val="16"/>
                <w:szCs w:val="16"/>
                <w:color w:val="0000EE"/>
                <w:w w:val="92"/>
              </w:rPr>
            </w:pPr>
            <w:hyperlink r:id="rId113">
              <w:r>
                <w:rPr>
                  <w:rFonts w:ascii="Arial" w:cs="Arial" w:eastAsia="Arial" w:hAnsi="Arial"/>
                  <w:sz w:val="16"/>
                  <w:szCs w:val="16"/>
                  <w:color w:val="0000EE"/>
                  <w:w w:val="92"/>
                </w:rPr>
                <w:t>Form of Performance Share Unit Agreement for April 17, 2019 performance</w:t>
              </w:r>
            </w:hyperlink>
          </w:p>
        </w:tc>
        <w:tc>
          <w:tcPr>
            <w:tcW w:w="340" w:type="dxa"/>
            <w:vAlign w:val="bottom"/>
            <w:gridSpan w:val="11"/>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4/23/2019</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5"/>
          </w:tcPr>
          <w:p>
            <w:pPr>
              <w:spacing w:after="0" w:line="183" w:lineRule="exact"/>
              <w:rPr>
                <w:rFonts w:ascii="Arial" w:cs="Arial" w:eastAsia="Arial" w:hAnsi="Arial"/>
                <w:sz w:val="16"/>
                <w:szCs w:val="16"/>
                <w:color w:val="0000EE"/>
              </w:rPr>
            </w:pPr>
            <w:hyperlink r:id="rId113">
              <w:r>
                <w:rPr>
                  <w:rFonts w:ascii="Arial" w:cs="Arial" w:eastAsia="Arial" w:hAnsi="Arial"/>
                  <w:sz w:val="16"/>
                  <w:szCs w:val="16"/>
                  <w:color w:val="0000EE"/>
                </w:rPr>
                <w:t>share unit grants.</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4"/>
                <w:szCs w:val="14"/>
                <w:color w:val="auto"/>
              </w:rPr>
            </w:pPr>
          </w:p>
        </w:tc>
        <w:tc>
          <w:tcPr>
            <w:tcW w:w="5320" w:type="dxa"/>
            <w:vAlign w:val="bottom"/>
            <w:gridSpan w:val="35"/>
            <w:shd w:val="clear" w:color="auto" w:fill="CCEEFF"/>
          </w:tcPr>
          <w:p>
            <w:pPr>
              <w:spacing w:after="0" w:line="162" w:lineRule="exact"/>
              <w:rPr>
                <w:rFonts w:ascii="Arial" w:cs="Arial" w:eastAsia="Arial" w:hAnsi="Arial"/>
                <w:sz w:val="16"/>
                <w:szCs w:val="16"/>
                <w:color w:val="0000EE"/>
              </w:rPr>
            </w:pPr>
            <w:hyperlink r:id="rId114">
              <w:r>
                <w:rPr>
                  <w:rFonts w:ascii="Arial" w:cs="Arial" w:eastAsia="Arial" w:hAnsi="Arial"/>
                  <w:sz w:val="16"/>
                  <w:szCs w:val="16"/>
                  <w:color w:val="0000EE"/>
                </w:rPr>
                <w:t>Form of Executive Transition Agreement, as amended.</w:t>
              </w:r>
            </w:hyperlink>
          </w:p>
        </w:tc>
        <w:tc>
          <w:tcPr>
            <w:tcW w:w="120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9"/>
              </w:rPr>
              <w:t>2/16/2011</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ind w:left="20"/>
              <w:spacing w:after="0" w:line="162" w:lineRule="exact"/>
              <w:rPr>
                <w:sz w:val="20"/>
                <w:szCs w:val="20"/>
                <w:color w:val="auto"/>
              </w:rPr>
            </w:pPr>
            <w:r>
              <w:rPr>
                <w:rFonts w:ascii="Arial" w:cs="Arial" w:eastAsia="Arial" w:hAnsi="Arial"/>
                <w:sz w:val="16"/>
                <w:szCs w:val="16"/>
                <w:color w:val="auto"/>
              </w:rPr>
              <w:t>10.9</w:t>
            </w:r>
          </w:p>
        </w:tc>
        <w:tc>
          <w:tcPr>
            <w:tcW w:w="120" w:type="dxa"/>
            <w:vAlign w:val="bottom"/>
          </w:tcPr>
          <w:p>
            <w:pPr>
              <w:spacing w:after="0"/>
              <w:rPr>
                <w:sz w:val="14"/>
                <w:szCs w:val="14"/>
                <w:color w:val="auto"/>
              </w:rPr>
            </w:pPr>
          </w:p>
        </w:tc>
        <w:tc>
          <w:tcPr>
            <w:tcW w:w="4940" w:type="dxa"/>
            <w:vAlign w:val="bottom"/>
            <w:tcBorders>
              <w:bottom w:val="single" w:sz="8" w:color="0000EE"/>
            </w:tcBorders>
            <w:gridSpan w:val="22"/>
          </w:tcPr>
          <w:p>
            <w:pPr>
              <w:spacing w:after="0" w:line="162" w:lineRule="exact"/>
              <w:rPr>
                <w:rFonts w:ascii="Arial" w:cs="Arial" w:eastAsia="Arial" w:hAnsi="Arial"/>
                <w:sz w:val="16"/>
                <w:szCs w:val="16"/>
                <w:color w:val="0000EE"/>
                <w:w w:val="91"/>
              </w:rPr>
            </w:pPr>
            <w:hyperlink r:id="rId115">
              <w:r>
                <w:rPr>
                  <w:rFonts w:ascii="Arial" w:cs="Arial" w:eastAsia="Arial" w:hAnsi="Arial"/>
                  <w:sz w:val="16"/>
                  <w:szCs w:val="16"/>
                  <w:color w:val="0000EE"/>
                  <w:w w:val="91"/>
                </w:rPr>
                <w:t>Employment Agreement, dated as of July 11, 2005, by and between Sammy</w:t>
              </w:r>
            </w:hyperlink>
          </w:p>
        </w:tc>
        <w:tc>
          <w:tcPr>
            <w:tcW w:w="380" w:type="dxa"/>
            <w:vAlign w:val="bottom"/>
            <w:gridSpan w:val="13"/>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2"/>
              </w:rPr>
              <w:t>10-Q (Q3 2011)</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12/10/2010</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0000EE"/>
            </w:tcBorders>
            <w:gridSpan w:val="3"/>
          </w:tcPr>
          <w:p>
            <w:pPr>
              <w:spacing w:after="0" w:line="183" w:lineRule="exact"/>
              <w:rPr>
                <w:rFonts w:ascii="Arial" w:cs="Arial" w:eastAsia="Arial" w:hAnsi="Arial"/>
                <w:sz w:val="16"/>
                <w:szCs w:val="16"/>
                <w:color w:val="0000EE"/>
                <w:w w:val="94"/>
              </w:rPr>
            </w:pPr>
            <w:hyperlink r:id="rId115">
              <w:r>
                <w:rPr>
                  <w:rFonts w:ascii="Arial" w:cs="Arial" w:eastAsia="Arial" w:hAnsi="Arial"/>
                  <w:sz w:val="16"/>
                  <w:szCs w:val="16"/>
                  <w:color w:val="0000EE"/>
                  <w:w w:val="94"/>
                </w:rPr>
                <w:t>Aaron and G-III.</w:t>
              </w:r>
            </w:hyperlink>
          </w:p>
        </w:tc>
        <w:tc>
          <w:tcPr>
            <w:tcW w:w="4220" w:type="dxa"/>
            <w:vAlign w:val="bottom"/>
            <w:gridSpan w:val="32"/>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-6299835</wp:posOffset>
            </wp:positionV>
            <wp:extent cx="774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6">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-6299835</wp:posOffset>
            </wp:positionV>
            <wp:extent cx="768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a:extLst>
                        <a:ext uri="{28A0092B-C50C-407E-A947-70E740481C1C}"/>
                      </a:extLst>
                    </a:blip>
                    <a:srcRect/>
                    <a:stretch>
                      <a:fillRect/>
                    </a:stretch>
                  </pic:blipFill>
                  <pic:spPr bwMode="auto">
                    <a:xfrm>
                      <a:off x="0" y="0"/>
                      <a:ext cx="76835" cy="1714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-6299835</wp:posOffset>
            </wp:positionV>
            <wp:extent cx="768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8">
                      <a:extLst>
                        <a:ext uri="{28A0092B-C50C-407E-A947-70E740481C1C}"/>
                      </a:extLst>
                    </a:blip>
                    <a:srcRect/>
                    <a:stretch>
                      <a:fillRect/>
                    </a:stretch>
                  </pic:blipFill>
                  <pic:spPr bwMode="auto">
                    <a:xfrm>
                      <a:off x="0" y="0"/>
                      <a:ext cx="76835" cy="1714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-6299835</wp:posOffset>
            </wp:positionV>
            <wp:extent cx="768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7683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10.9(a)</w:t>
            </w:r>
          </w:p>
        </w:tc>
        <w:tc>
          <w:tcPr>
            <w:tcW w:w="4960" w:type="dxa"/>
            <w:vAlign w:val="bottom"/>
            <w:tcBorders>
              <w:bottom w:val="single" w:sz="8" w:color="0000EE"/>
            </w:tcBorders>
            <w:gridSpan w:val="26"/>
            <w:shd w:val="clear" w:color="auto" w:fill="CCEEFF"/>
          </w:tcPr>
          <w:p>
            <w:pPr>
              <w:spacing w:after="0"/>
              <w:rPr>
                <w:rFonts w:ascii="Arial" w:cs="Arial" w:eastAsia="Arial" w:hAnsi="Arial"/>
                <w:sz w:val="16"/>
                <w:szCs w:val="16"/>
                <w:color w:val="0000EE"/>
                <w:w w:val="91"/>
              </w:rPr>
            </w:pPr>
            <w:hyperlink r:id="rId121">
              <w:r>
                <w:rPr>
                  <w:rFonts w:ascii="Arial" w:cs="Arial" w:eastAsia="Arial" w:hAnsi="Arial"/>
                  <w:sz w:val="16"/>
                  <w:szCs w:val="16"/>
                  <w:color w:val="0000EE"/>
                  <w:w w:val="91"/>
                </w:rPr>
                <w:t>Amendment, dated October 3, 2008, to Employment Agreement, dated as of</w:t>
              </w:r>
            </w:hyperlink>
          </w:p>
        </w:tc>
        <w:tc>
          <w:tcPr>
            <w:tcW w:w="360" w:type="dxa"/>
            <w:vAlign w:val="bottom"/>
            <w:tcBorders>
              <w:bottom w:val="single" w:sz="8" w:color="CCEEFF"/>
            </w:tcBorders>
            <w:gridSpan w:val="11"/>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10/6/2008</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rPr>
            </w:pPr>
            <w:hyperlink r:id="rId121">
              <w:r>
                <w:rPr>
                  <w:rFonts w:ascii="Arial" w:cs="Arial" w:eastAsia="Arial" w:hAnsi="Arial"/>
                  <w:sz w:val="16"/>
                  <w:szCs w:val="16"/>
                  <w:color w:val="0000EE"/>
                </w:rPr>
                <w:t>July 11, 2005, by and between Sammy Aaron and G-III.</w:t>
              </w:r>
            </w:hyperlink>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780" w:type="dxa"/>
            <w:vAlign w:val="bottom"/>
            <w:tcBorders>
              <w:top w:val="single" w:sz="8" w:color="CCEEFF"/>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8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500" w:type="dxa"/>
            <w:vAlign w:val="bottom"/>
            <w:gridSpan w:val="27"/>
            <w:vMerge w:val="restart"/>
          </w:tcPr>
          <w:p>
            <w:pPr>
              <w:ind w:left="460"/>
              <w:spacing w:after="0"/>
              <w:rPr>
                <w:sz w:val="20"/>
                <w:szCs w:val="20"/>
                <w:color w:val="auto"/>
              </w:rPr>
            </w:pPr>
            <w:r>
              <w:rPr>
                <w:rFonts w:ascii="Arial" w:cs="Arial" w:eastAsia="Arial" w:hAnsi="Arial"/>
                <w:sz w:val="14"/>
                <w:szCs w:val="14"/>
                <w:b w:val="1"/>
                <w:bCs w:val="1"/>
                <w:color w:val="auto"/>
              </w:rPr>
              <w:t>Document</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File No.</w:t>
            </w: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8"/>
              </w:rPr>
              <w:t>Date Filed</w:t>
            </w:r>
          </w:p>
        </w:tc>
        <w:tc>
          <w:tcPr>
            <w:tcW w:w="0" w:type="dxa"/>
            <w:vAlign w:val="bottom"/>
          </w:tcPr>
          <w:p>
            <w:pPr>
              <w:spacing w:after="0"/>
              <w:rPr>
                <w:sz w:val="1"/>
                <w:szCs w:val="1"/>
                <w:color w:val="auto"/>
              </w:rPr>
            </w:pPr>
          </w:p>
        </w:tc>
      </w:tr>
      <w:tr>
        <w:trPr>
          <w:trHeight w:val="105"/>
        </w:trPr>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500" w:type="dxa"/>
            <w:vAlign w:val="bottom"/>
            <w:gridSpan w:val="27"/>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0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8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6"/>
                <w:szCs w:val="16"/>
                <w:color w:val="auto"/>
              </w:rPr>
              <w:t>10.9(b)</w:t>
            </w:r>
          </w:p>
        </w:tc>
        <w:tc>
          <w:tcPr>
            <w:tcW w:w="120" w:type="dxa"/>
            <w:vAlign w:val="bottom"/>
            <w:tcBorders>
              <w:bottom w:val="single" w:sz="8" w:color="CCEEFF"/>
            </w:tcBorders>
            <w:shd w:val="clear" w:color="auto" w:fill="CCEEFF"/>
          </w:tcPr>
          <w:p>
            <w:pPr>
              <w:spacing w:after="0"/>
              <w:rPr>
                <w:sz w:val="13"/>
                <w:szCs w:val="13"/>
                <w:color w:val="auto"/>
              </w:rPr>
            </w:pPr>
          </w:p>
        </w:tc>
        <w:tc>
          <w:tcPr>
            <w:tcW w:w="5020" w:type="dxa"/>
            <w:vAlign w:val="bottom"/>
            <w:tcBorders>
              <w:bottom w:val="single" w:sz="8" w:color="0000EE"/>
            </w:tcBorders>
            <w:gridSpan w:val="28"/>
            <w:shd w:val="clear" w:color="auto" w:fill="CCEEFF"/>
          </w:tcPr>
          <w:p>
            <w:pPr>
              <w:spacing w:after="0" w:line="155" w:lineRule="exact"/>
              <w:rPr>
                <w:rFonts w:ascii="Arial" w:cs="Arial" w:eastAsia="Arial" w:hAnsi="Arial"/>
                <w:sz w:val="16"/>
                <w:szCs w:val="16"/>
                <w:color w:val="0000EE"/>
                <w:w w:val="90"/>
              </w:rPr>
            </w:pPr>
            <w:hyperlink r:id="rId122">
              <w:r>
                <w:rPr>
                  <w:rFonts w:ascii="Arial" w:cs="Arial" w:eastAsia="Arial" w:hAnsi="Arial"/>
                  <w:sz w:val="16"/>
                  <w:szCs w:val="16"/>
                  <w:color w:val="0000EE"/>
                  <w:w w:val="90"/>
                </w:rPr>
                <w:t>Amendment, dated January 28, 2009, to Employment Agreement, dated as of</w:t>
              </w:r>
            </w:hyperlink>
          </w:p>
        </w:tc>
        <w:tc>
          <w:tcPr>
            <w:tcW w:w="200" w:type="dxa"/>
            <w:vAlign w:val="bottom"/>
            <w:tcBorders>
              <w:bottom w:val="single" w:sz="8" w:color="CCEEFF"/>
            </w:tcBorders>
            <w:gridSpan w:val="8"/>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6"/>
              </w:rPr>
              <w:t>8-K</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1"/>
              </w:rPr>
              <w:t>000-18183</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3"/>
              </w:rPr>
              <w:t>2/3/2009</w:t>
            </w:r>
          </w:p>
        </w:tc>
        <w:tc>
          <w:tcPr>
            <w:tcW w:w="0" w:type="dxa"/>
            <w:vAlign w:val="bottom"/>
          </w:tcPr>
          <w:p>
            <w:pPr>
              <w:spacing w:after="0"/>
              <w:rPr>
                <w:sz w:val="1"/>
                <w:szCs w:val="1"/>
                <w:color w:val="auto"/>
              </w:rPr>
            </w:pPr>
          </w:p>
        </w:tc>
      </w:tr>
      <w:tr>
        <w:trPr>
          <w:trHeight w:val="183"/>
        </w:trPr>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rPr>
            </w:pPr>
            <w:hyperlink r:id="rId122">
              <w:r>
                <w:rPr>
                  <w:rFonts w:ascii="Arial" w:cs="Arial" w:eastAsia="Arial" w:hAnsi="Arial"/>
                  <w:sz w:val="16"/>
                  <w:szCs w:val="16"/>
                  <w:color w:val="0000EE"/>
                </w:rPr>
                <w:t>July 11, 2005, by and between Sammy Aaron and G-III.</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10.9(c)</w:t>
            </w:r>
          </w:p>
        </w:tc>
        <w:tc>
          <w:tcPr>
            <w:tcW w:w="5200" w:type="dxa"/>
            <w:vAlign w:val="bottom"/>
            <w:tcBorders>
              <w:bottom w:val="single" w:sz="8" w:color="0000EE"/>
            </w:tcBorders>
            <w:gridSpan w:val="35"/>
          </w:tcPr>
          <w:p>
            <w:pPr>
              <w:spacing w:after="0" w:line="162" w:lineRule="exact"/>
              <w:rPr>
                <w:rFonts w:ascii="Arial" w:cs="Arial" w:eastAsia="Arial" w:hAnsi="Arial"/>
                <w:sz w:val="16"/>
                <w:szCs w:val="16"/>
                <w:color w:val="0000EE"/>
                <w:w w:val="91"/>
              </w:rPr>
            </w:pPr>
            <w:hyperlink r:id="rId123">
              <w:r>
                <w:rPr>
                  <w:rFonts w:ascii="Arial" w:cs="Arial" w:eastAsia="Arial" w:hAnsi="Arial"/>
                  <w:sz w:val="16"/>
                  <w:szCs w:val="16"/>
                  <w:color w:val="0000EE"/>
                  <w:w w:val="91"/>
                </w:rPr>
                <w:t>Letter Amendment, dated March 13, 2013, to Employment Agreement, dated as</w:t>
              </w:r>
            </w:hyperlink>
          </w:p>
        </w:tc>
        <w:tc>
          <w:tcPr>
            <w:tcW w:w="120" w:type="dxa"/>
            <w:vAlign w:val="bottom"/>
            <w:gridSpan w:val="2"/>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3/15/2013</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7"/>
          </w:tcPr>
          <w:p>
            <w:pPr>
              <w:spacing w:after="0" w:line="183" w:lineRule="exact"/>
              <w:rPr>
                <w:rFonts w:ascii="Arial" w:cs="Arial" w:eastAsia="Arial" w:hAnsi="Arial"/>
                <w:sz w:val="16"/>
                <w:szCs w:val="16"/>
                <w:color w:val="0000EE"/>
              </w:rPr>
            </w:pPr>
            <w:hyperlink r:id="rId123">
              <w:r>
                <w:rPr>
                  <w:rFonts w:ascii="Arial" w:cs="Arial" w:eastAsia="Arial" w:hAnsi="Arial"/>
                  <w:sz w:val="16"/>
                  <w:szCs w:val="16"/>
                  <w:color w:val="0000EE"/>
                </w:rPr>
                <w:t>of July 11, 2005, by and between Sammy Aaron and G-III.</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3"/>
            <w:shd w:val="clear" w:color="auto" w:fill="CCEEFF"/>
          </w:tcPr>
          <w:p>
            <w:pPr>
              <w:ind w:left="20"/>
              <w:spacing w:after="0" w:line="162" w:lineRule="exact"/>
              <w:rPr>
                <w:sz w:val="20"/>
                <w:szCs w:val="20"/>
                <w:color w:val="auto"/>
              </w:rPr>
            </w:pPr>
            <w:r>
              <w:rPr>
                <w:rFonts w:ascii="Arial" w:cs="Arial" w:eastAsia="Arial" w:hAnsi="Arial"/>
                <w:sz w:val="16"/>
                <w:szCs w:val="16"/>
                <w:color w:val="auto"/>
              </w:rPr>
              <w:t>10.9(d)</w:t>
            </w:r>
          </w:p>
        </w:tc>
        <w:tc>
          <w:tcPr>
            <w:tcW w:w="5120" w:type="dxa"/>
            <w:vAlign w:val="bottom"/>
            <w:tcBorders>
              <w:bottom w:val="single" w:sz="8" w:color="0000EE"/>
            </w:tcBorders>
            <w:gridSpan w:val="32"/>
            <w:shd w:val="clear" w:color="auto" w:fill="CCEEFF"/>
          </w:tcPr>
          <w:p>
            <w:pPr>
              <w:spacing w:after="0" w:line="162" w:lineRule="exact"/>
              <w:rPr>
                <w:rFonts w:ascii="Arial" w:cs="Arial" w:eastAsia="Arial" w:hAnsi="Arial"/>
                <w:sz w:val="16"/>
                <w:szCs w:val="16"/>
                <w:color w:val="0000EE"/>
                <w:w w:val="92"/>
              </w:rPr>
            </w:pPr>
            <w:hyperlink r:id="rId124">
              <w:r>
                <w:rPr>
                  <w:rFonts w:ascii="Arial" w:cs="Arial" w:eastAsia="Arial" w:hAnsi="Arial"/>
                  <w:sz w:val="16"/>
                  <w:szCs w:val="16"/>
                  <w:color w:val="0000EE"/>
                  <w:w w:val="92"/>
                </w:rPr>
                <w:t>Letter Amendment, dated April 28, 2014, to Employment Agreement, dated as</w:t>
              </w:r>
            </w:hyperlink>
          </w:p>
        </w:tc>
        <w:tc>
          <w:tcPr>
            <w:tcW w:w="200" w:type="dxa"/>
            <w:vAlign w:val="bottom"/>
            <w:tcBorders>
              <w:bottom w:val="single" w:sz="8" w:color="CCEEFF"/>
            </w:tcBorders>
            <w:gridSpan w:val="5"/>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4/30/2014</w:t>
            </w:r>
          </w:p>
        </w:tc>
        <w:tc>
          <w:tcPr>
            <w:tcW w:w="0" w:type="dxa"/>
            <w:vAlign w:val="bottom"/>
          </w:tcPr>
          <w:p>
            <w:pPr>
              <w:spacing w:after="0"/>
              <w:rPr>
                <w:sz w:val="1"/>
                <w:szCs w:val="1"/>
                <w:color w:val="auto"/>
              </w:rPr>
            </w:pPr>
          </w:p>
        </w:tc>
      </w:tr>
      <w:tr>
        <w:trPr>
          <w:trHeight w:val="183"/>
        </w:trPr>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rPr>
            </w:pPr>
            <w:hyperlink r:id="rId124">
              <w:r>
                <w:rPr>
                  <w:rFonts w:ascii="Arial" w:cs="Arial" w:eastAsia="Arial" w:hAnsi="Arial"/>
                  <w:sz w:val="16"/>
                  <w:szCs w:val="16"/>
                  <w:color w:val="0000EE"/>
                </w:rPr>
                <w:t>of July 11, 2005, by and between Sammy Aaron and G-III.</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Pr>
          <w:p>
            <w:pPr>
              <w:ind w:left="20"/>
              <w:spacing w:after="0" w:line="162" w:lineRule="exact"/>
              <w:rPr>
                <w:sz w:val="20"/>
                <w:szCs w:val="20"/>
                <w:color w:val="auto"/>
              </w:rPr>
            </w:pPr>
            <w:r>
              <w:rPr>
                <w:rFonts w:ascii="Arial" w:cs="Arial" w:eastAsia="Arial" w:hAnsi="Arial"/>
                <w:sz w:val="16"/>
                <w:szCs w:val="16"/>
                <w:color w:val="auto"/>
                <w:w w:val="89"/>
              </w:rPr>
              <w:t>10.10</w:t>
            </w:r>
          </w:p>
        </w:tc>
        <w:tc>
          <w:tcPr>
            <w:tcW w:w="4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w:t>
            </w:r>
          </w:p>
        </w:tc>
        <w:tc>
          <w:tcPr>
            <w:tcW w:w="5140" w:type="dxa"/>
            <w:vAlign w:val="bottom"/>
            <w:tcBorders>
              <w:bottom w:val="single" w:sz="8" w:color="0000EE"/>
            </w:tcBorders>
            <w:gridSpan w:val="33"/>
          </w:tcPr>
          <w:p>
            <w:pPr>
              <w:spacing w:after="0" w:line="162" w:lineRule="exact"/>
              <w:rPr>
                <w:rFonts w:ascii="Arial" w:cs="Arial" w:eastAsia="Arial" w:hAnsi="Arial"/>
                <w:sz w:val="16"/>
                <w:szCs w:val="16"/>
                <w:color w:val="0000EE"/>
                <w:w w:val="90"/>
              </w:rPr>
            </w:pPr>
            <w:hyperlink r:id="rId125">
              <w:r>
                <w:rPr>
                  <w:rFonts w:ascii="Arial" w:cs="Arial" w:eastAsia="Arial" w:hAnsi="Arial"/>
                  <w:sz w:val="16"/>
                  <w:szCs w:val="16"/>
                  <w:color w:val="0000EE"/>
                  <w:w w:val="90"/>
                </w:rPr>
                <w:t>Lease agreement dated June 29, 2006 between The Realty Associates Fund VI,</w:t>
              </w:r>
            </w:hyperlink>
          </w:p>
        </w:tc>
        <w:tc>
          <w:tcPr>
            <w:tcW w:w="180" w:type="dxa"/>
            <w:vAlign w:val="bottom"/>
            <w:gridSpan w:val="4"/>
          </w:tcPr>
          <w:p>
            <w:pPr>
              <w:spacing w:after="0"/>
              <w:rPr>
                <w:sz w:val="14"/>
                <w:szCs w:val="14"/>
                <w:color w:val="auto"/>
              </w:rPr>
            </w:pPr>
          </w:p>
        </w:tc>
        <w:tc>
          <w:tcPr>
            <w:tcW w:w="1200" w:type="dxa"/>
            <w:vAlign w:val="bottom"/>
            <w:gridSpan w:val="2"/>
          </w:tcPr>
          <w:p>
            <w:pPr>
              <w:jc w:val="center"/>
              <w:ind w:right="160"/>
              <w:spacing w:after="0" w:line="162" w:lineRule="exact"/>
              <w:rPr>
                <w:sz w:val="20"/>
                <w:szCs w:val="20"/>
                <w:color w:val="auto"/>
              </w:rPr>
            </w:pPr>
            <w:r>
              <w:rPr>
                <w:rFonts w:ascii="Arial" w:cs="Arial" w:eastAsia="Arial" w:hAnsi="Arial"/>
                <w:sz w:val="16"/>
                <w:szCs w:val="16"/>
                <w:color w:val="auto"/>
                <w:w w:val="92"/>
              </w:rPr>
              <w:t>10-Q (Q2 2007)</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9/13/2006</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7"/>
          </w:tcPr>
          <w:p>
            <w:pPr>
              <w:spacing w:after="0" w:line="183" w:lineRule="exact"/>
              <w:rPr>
                <w:rFonts w:ascii="Arial" w:cs="Arial" w:eastAsia="Arial" w:hAnsi="Arial"/>
                <w:sz w:val="16"/>
                <w:szCs w:val="16"/>
                <w:color w:val="0000EE"/>
              </w:rPr>
            </w:pPr>
            <w:hyperlink r:id="rId125">
              <w:r>
                <w:rPr>
                  <w:rFonts w:ascii="Arial" w:cs="Arial" w:eastAsia="Arial" w:hAnsi="Arial"/>
                  <w:sz w:val="16"/>
                  <w:szCs w:val="16"/>
                  <w:color w:val="0000EE"/>
                </w:rPr>
                <w:t>LP and G-III.</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6"/>
                <w:szCs w:val="16"/>
                <w:color w:val="auto"/>
                <w:w w:val="89"/>
              </w:rPr>
              <w:t>10.10</w:t>
            </w:r>
          </w:p>
        </w:tc>
        <w:tc>
          <w:tcPr>
            <w:tcW w:w="4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(b)</w:t>
            </w:r>
          </w:p>
        </w:tc>
        <w:tc>
          <w:tcPr>
            <w:tcW w:w="5000" w:type="dxa"/>
            <w:vAlign w:val="bottom"/>
            <w:tcBorders>
              <w:bottom w:val="single" w:sz="8" w:color="0000EE"/>
            </w:tcBorders>
            <w:gridSpan w:val="27"/>
            <w:shd w:val="clear" w:color="auto" w:fill="CCEEFF"/>
          </w:tcPr>
          <w:p>
            <w:pPr>
              <w:spacing w:after="0" w:line="162" w:lineRule="exact"/>
              <w:rPr>
                <w:rFonts w:ascii="Arial" w:cs="Arial" w:eastAsia="Arial" w:hAnsi="Arial"/>
                <w:sz w:val="16"/>
                <w:szCs w:val="16"/>
                <w:color w:val="0000EE"/>
                <w:w w:val="91"/>
              </w:rPr>
            </w:pPr>
            <w:hyperlink r:id="rId126">
              <w:r>
                <w:rPr>
                  <w:rFonts w:ascii="Arial" w:cs="Arial" w:eastAsia="Arial" w:hAnsi="Arial"/>
                  <w:sz w:val="16"/>
                  <w:szCs w:val="16"/>
                  <w:color w:val="0000EE"/>
                  <w:w w:val="91"/>
                </w:rPr>
                <w:t>First Amendment of Lease, dated July 31, 2012, by and between Centerpoint</w:t>
              </w:r>
            </w:hyperlink>
          </w:p>
        </w:tc>
        <w:tc>
          <w:tcPr>
            <w:tcW w:w="320" w:type="dxa"/>
            <w:vAlign w:val="bottom"/>
            <w:tcBorders>
              <w:bottom w:val="single" w:sz="8" w:color="CCEEFF"/>
            </w:tcBorders>
            <w:gridSpan w:val="10"/>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4"/>
              </w:rPr>
              <w:t>10-K (2019)</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3/28/2019</w:t>
            </w:r>
          </w:p>
        </w:tc>
        <w:tc>
          <w:tcPr>
            <w:tcW w:w="0" w:type="dxa"/>
            <w:vAlign w:val="bottom"/>
          </w:tcPr>
          <w:p>
            <w:pPr>
              <w:spacing w:after="0"/>
              <w:rPr>
                <w:sz w:val="1"/>
                <w:szCs w:val="1"/>
                <w:color w:val="auto"/>
              </w:rPr>
            </w:pPr>
          </w:p>
        </w:tc>
      </w:tr>
      <w:tr>
        <w:trPr>
          <w:trHeight w:val="183"/>
        </w:trPr>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w w:val="98"/>
              </w:rPr>
            </w:pPr>
            <w:hyperlink r:id="rId126">
              <w:r>
                <w:rPr>
                  <w:rFonts w:ascii="Arial" w:cs="Arial" w:eastAsia="Arial" w:hAnsi="Arial"/>
                  <w:sz w:val="16"/>
                  <w:szCs w:val="16"/>
                  <w:color w:val="0000EE"/>
                  <w:w w:val="98"/>
                </w:rPr>
                <w:t>Herrod, LLC, as successor in interest to The Realty Associates Fund VI, LP,</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0000EE"/>
              <w:bottom w:val="single" w:sz="8" w:color="0000EE"/>
            </w:tcBorders>
            <w:gridSpan w:val="3"/>
            <w:shd w:val="clear" w:color="auto" w:fill="CCEEFF"/>
          </w:tcPr>
          <w:p>
            <w:pPr>
              <w:spacing w:after="0" w:line="183" w:lineRule="exact"/>
              <w:rPr>
                <w:rFonts w:ascii="Arial" w:cs="Arial" w:eastAsia="Arial" w:hAnsi="Arial"/>
                <w:sz w:val="16"/>
                <w:szCs w:val="16"/>
                <w:color w:val="0000EE"/>
                <w:w w:val="95"/>
              </w:rPr>
            </w:pPr>
            <w:hyperlink r:id="rId126">
              <w:r>
                <w:rPr>
                  <w:rFonts w:ascii="Arial" w:cs="Arial" w:eastAsia="Arial" w:hAnsi="Arial"/>
                  <w:sz w:val="16"/>
                  <w:szCs w:val="16"/>
                  <w:color w:val="0000EE"/>
                  <w:w w:val="95"/>
                </w:rPr>
                <w:t>and G-III.</w:t>
              </w:r>
            </w:hyperlink>
          </w:p>
        </w:tc>
        <w:tc>
          <w:tcPr>
            <w:tcW w:w="4280" w:type="dxa"/>
            <w:vAlign w:val="bottom"/>
            <w:tcBorders>
              <w:top w:val="single" w:sz="8" w:color="0000EE"/>
              <w:bottom w:val="single" w:sz="8" w:color="CCEEFF"/>
            </w:tcBorders>
            <w:gridSpan w:val="22"/>
            <w:shd w:val="clear" w:color="auto" w:fill="CCEEFF"/>
          </w:tcPr>
          <w:p>
            <w:pPr>
              <w:spacing w:after="0"/>
              <w:rPr>
                <w:sz w:val="17"/>
                <w:szCs w:val="17"/>
                <w:color w:val="auto"/>
              </w:rPr>
            </w:pPr>
          </w:p>
        </w:tc>
        <w:tc>
          <w:tcPr>
            <w:tcW w:w="380" w:type="dxa"/>
            <w:vAlign w:val="bottom"/>
            <w:tcBorders>
              <w:top w:val="single" w:sz="8" w:color="CCEEFF"/>
              <w:bottom w:val="single" w:sz="8" w:color="CCEEFF"/>
            </w:tcBorders>
            <w:gridSpan w:val="12"/>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0" w:type="dxa"/>
            <w:vAlign w:val="bottom"/>
          </w:tcPr>
          <w:p>
            <w:pPr>
              <w:ind w:left="20"/>
              <w:spacing w:after="0" w:line="162" w:lineRule="exact"/>
              <w:rPr>
                <w:sz w:val="20"/>
                <w:szCs w:val="20"/>
                <w:color w:val="auto"/>
              </w:rPr>
            </w:pPr>
            <w:r>
              <w:rPr>
                <w:rFonts w:ascii="Arial" w:cs="Arial" w:eastAsia="Arial" w:hAnsi="Arial"/>
                <w:sz w:val="16"/>
                <w:szCs w:val="16"/>
                <w:color w:val="auto"/>
                <w:w w:val="89"/>
              </w:rPr>
              <w:t>10.11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37"/>
          </w:tcPr>
          <w:p>
            <w:pPr>
              <w:spacing w:after="0" w:line="162" w:lineRule="exact"/>
              <w:rPr>
                <w:rFonts w:ascii="Arial" w:cs="Arial" w:eastAsia="Arial" w:hAnsi="Arial"/>
                <w:sz w:val="16"/>
                <w:szCs w:val="16"/>
                <w:color w:val="0000EE"/>
                <w:w w:val="93"/>
              </w:rPr>
            </w:pPr>
            <w:hyperlink r:id="rId127">
              <w:r>
                <w:rPr>
                  <w:rFonts w:ascii="Arial" w:cs="Arial" w:eastAsia="Arial" w:hAnsi="Arial"/>
                  <w:sz w:val="16"/>
                  <w:szCs w:val="16"/>
                  <w:color w:val="0000EE"/>
                  <w:w w:val="93"/>
                </w:rPr>
                <w:t>Lease Agreement, dated December 21, 2009 and effective December 28, 2009,</w:t>
              </w:r>
            </w:hyperlink>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2"/>
              </w:rPr>
              <w:t>10-Q (Q3 2011)</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12/10/2010</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tcBorders>
              <w:top w:val="single" w:sz="8" w:color="0000EE"/>
              <w:bottom w:val="single" w:sz="8" w:color="0000EE"/>
            </w:tcBorders>
            <w:gridSpan w:val="17"/>
          </w:tcPr>
          <w:p>
            <w:pPr>
              <w:spacing w:after="0" w:line="183" w:lineRule="exact"/>
              <w:rPr>
                <w:rFonts w:ascii="Arial" w:cs="Arial" w:eastAsia="Arial" w:hAnsi="Arial"/>
                <w:sz w:val="16"/>
                <w:szCs w:val="16"/>
                <w:color w:val="0000EE"/>
                <w:w w:val="92"/>
              </w:rPr>
            </w:pPr>
            <w:hyperlink r:id="rId127">
              <w:r>
                <w:rPr>
                  <w:rFonts w:ascii="Arial" w:cs="Arial" w:eastAsia="Arial" w:hAnsi="Arial"/>
                  <w:sz w:val="16"/>
                  <w:szCs w:val="16"/>
                  <w:color w:val="0000EE"/>
                  <w:w w:val="92"/>
                </w:rPr>
                <w:t>by and between G-III, as Tenant, and Granite South Brunswick LLC, as</w:t>
              </w:r>
            </w:hyperlink>
          </w:p>
        </w:tc>
        <w:tc>
          <w:tcPr>
            <w:tcW w:w="460" w:type="dxa"/>
            <w:vAlign w:val="bottom"/>
            <w:tcBorders>
              <w:top w:val="single" w:sz="8" w:color="0000EE"/>
            </w:tcBorders>
            <w:gridSpan w:val="15"/>
          </w:tcPr>
          <w:p>
            <w:pPr>
              <w:spacing w:after="0"/>
              <w:rPr>
                <w:sz w:val="15"/>
                <w:szCs w:val="15"/>
                <w:color w:val="auto"/>
              </w:rPr>
            </w:pPr>
          </w:p>
        </w:tc>
        <w:tc>
          <w:tcPr>
            <w:tcW w:w="200" w:type="dxa"/>
            <w:vAlign w:val="bottom"/>
            <w:gridSpan w:val="5"/>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7"/>
          </w:tcPr>
          <w:p>
            <w:pPr>
              <w:spacing w:after="0" w:line="183" w:lineRule="exact"/>
              <w:rPr>
                <w:rFonts w:ascii="Arial" w:cs="Arial" w:eastAsia="Arial" w:hAnsi="Arial"/>
                <w:sz w:val="16"/>
                <w:szCs w:val="16"/>
                <w:color w:val="0000EE"/>
              </w:rPr>
            </w:pPr>
            <w:hyperlink r:id="rId127">
              <w:r>
                <w:rPr>
                  <w:rFonts w:ascii="Arial" w:cs="Arial" w:eastAsia="Arial" w:hAnsi="Arial"/>
                  <w:sz w:val="16"/>
                  <w:szCs w:val="16"/>
                  <w:color w:val="0000EE"/>
                </w:rPr>
                <w:t>Landlord.</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89"/>
              </w:rPr>
              <w:t>10.12</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320" w:type="dxa"/>
            <w:vAlign w:val="bottom"/>
            <w:gridSpan w:val="37"/>
            <w:shd w:val="clear" w:color="auto" w:fill="CCEEFF"/>
          </w:tcPr>
          <w:p>
            <w:pPr>
              <w:spacing w:after="0" w:line="162" w:lineRule="exact"/>
              <w:rPr>
                <w:rFonts w:ascii="Arial" w:cs="Arial" w:eastAsia="Arial" w:hAnsi="Arial"/>
                <w:sz w:val="16"/>
                <w:szCs w:val="16"/>
                <w:color w:val="0000EE"/>
              </w:rPr>
            </w:pPr>
            <w:hyperlink r:id="rId128">
              <w:r>
                <w:rPr>
                  <w:rFonts w:ascii="Arial" w:cs="Arial" w:eastAsia="Arial" w:hAnsi="Arial"/>
                  <w:sz w:val="16"/>
                  <w:szCs w:val="16"/>
                  <w:color w:val="0000EE"/>
                </w:rPr>
                <w:t>Form of Indemnification Agreement.</w:t>
              </w:r>
            </w:hyperlink>
          </w:p>
        </w:tc>
        <w:tc>
          <w:tcPr>
            <w:tcW w:w="120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2"/>
              </w:rPr>
              <w:t>10-Q (Q3 2011)</w:t>
            </w:r>
          </w:p>
        </w:tc>
        <w:tc>
          <w:tcPr>
            <w:tcW w:w="82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12/10/2010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Pr>
          <w:p>
            <w:pPr>
              <w:ind w:left="20"/>
              <w:spacing w:after="0" w:line="162" w:lineRule="exact"/>
              <w:rPr>
                <w:sz w:val="20"/>
                <w:szCs w:val="20"/>
                <w:color w:val="auto"/>
              </w:rPr>
            </w:pPr>
            <w:r>
              <w:rPr>
                <w:rFonts w:ascii="Arial" w:cs="Arial" w:eastAsia="Arial" w:hAnsi="Arial"/>
                <w:sz w:val="16"/>
                <w:szCs w:val="16"/>
                <w:color w:val="auto"/>
                <w:w w:val="89"/>
              </w:rPr>
              <w:t>10.13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37"/>
          </w:tcPr>
          <w:p>
            <w:pPr>
              <w:spacing w:after="0" w:line="162" w:lineRule="exact"/>
              <w:rPr>
                <w:rFonts w:ascii="Arial" w:cs="Arial" w:eastAsia="Arial" w:hAnsi="Arial"/>
                <w:sz w:val="16"/>
                <w:szCs w:val="16"/>
                <w:color w:val="0000EE"/>
              </w:rPr>
            </w:pPr>
            <w:hyperlink r:id="rId129">
              <w:r>
                <w:rPr>
                  <w:rFonts w:ascii="Arial" w:cs="Arial" w:eastAsia="Arial" w:hAnsi="Arial"/>
                  <w:sz w:val="16"/>
                  <w:szCs w:val="16"/>
                  <w:color w:val="0000EE"/>
                </w:rPr>
                <w:t>Employment Agreement, made as of January 9, 2013, between G-III and</w:t>
              </w:r>
            </w:hyperlink>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1/14/2013</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20" w:type="dxa"/>
            <w:vAlign w:val="bottom"/>
            <w:tcBorders>
              <w:top w:val="single" w:sz="8" w:color="0000EE"/>
            </w:tcBorders>
            <w:gridSpan w:val="19"/>
          </w:tcPr>
          <w:p>
            <w:pPr>
              <w:spacing w:after="0" w:line="183" w:lineRule="exact"/>
              <w:rPr>
                <w:rFonts w:ascii="Arial" w:cs="Arial" w:eastAsia="Arial" w:hAnsi="Arial"/>
                <w:sz w:val="16"/>
                <w:szCs w:val="16"/>
                <w:color w:val="0000EE"/>
              </w:rPr>
            </w:pPr>
            <w:hyperlink r:id="rId129">
              <w:r>
                <w:rPr>
                  <w:rFonts w:ascii="Arial" w:cs="Arial" w:eastAsia="Arial" w:hAnsi="Arial"/>
                  <w:sz w:val="16"/>
                  <w:szCs w:val="16"/>
                  <w:color w:val="0000EE"/>
                </w:rPr>
                <w:t>Wayne S. Miller.</w:t>
              </w:r>
            </w:hyperlink>
          </w:p>
        </w:tc>
        <w:tc>
          <w:tcPr>
            <w:tcW w:w="600" w:type="dxa"/>
            <w:vAlign w:val="bottom"/>
            <w:gridSpan w:val="18"/>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0" w:type="dxa"/>
            <w:vAlign w:val="bottom"/>
            <w:tcBorders>
              <w:bottom w:val="single" w:sz="8" w:color="CCEEFF"/>
            </w:tcBorders>
            <w:gridSpan w:val="3"/>
            <w:shd w:val="clear" w:color="auto" w:fill="CCEEFF"/>
          </w:tcPr>
          <w:p>
            <w:pPr>
              <w:ind w:left="20"/>
              <w:spacing w:after="0" w:line="162" w:lineRule="exact"/>
              <w:rPr>
                <w:sz w:val="20"/>
                <w:szCs w:val="20"/>
                <w:color w:val="auto"/>
              </w:rPr>
            </w:pPr>
            <w:r>
              <w:rPr>
                <w:rFonts w:ascii="Arial" w:cs="Arial" w:eastAsia="Arial" w:hAnsi="Arial"/>
                <w:sz w:val="16"/>
                <w:szCs w:val="16"/>
                <w:color w:val="auto"/>
              </w:rPr>
              <w:t>10.13(a)</w:t>
            </w:r>
          </w:p>
        </w:tc>
        <w:tc>
          <w:tcPr>
            <w:tcW w:w="5100" w:type="dxa"/>
            <w:vAlign w:val="bottom"/>
            <w:tcBorders>
              <w:bottom w:val="single" w:sz="8" w:color="0000EE"/>
            </w:tcBorders>
            <w:gridSpan w:val="31"/>
            <w:shd w:val="clear" w:color="auto" w:fill="CCEEFF"/>
          </w:tcPr>
          <w:p>
            <w:pPr>
              <w:spacing w:after="0" w:line="162" w:lineRule="exact"/>
              <w:rPr>
                <w:rFonts w:ascii="Arial" w:cs="Arial" w:eastAsia="Arial" w:hAnsi="Arial"/>
                <w:sz w:val="16"/>
                <w:szCs w:val="16"/>
                <w:color w:val="0000EE"/>
                <w:w w:val="92"/>
              </w:rPr>
            </w:pPr>
            <w:hyperlink r:id="rId130">
              <w:r>
                <w:rPr>
                  <w:rFonts w:ascii="Arial" w:cs="Arial" w:eastAsia="Arial" w:hAnsi="Arial"/>
                  <w:sz w:val="16"/>
                  <w:szCs w:val="16"/>
                  <w:color w:val="0000EE"/>
                  <w:w w:val="92"/>
                </w:rPr>
                <w:t>Amendment to Employment Agreement and Executive Transition Agreement,</w:t>
              </w:r>
            </w:hyperlink>
          </w:p>
        </w:tc>
        <w:tc>
          <w:tcPr>
            <w:tcW w:w="220" w:type="dxa"/>
            <w:vAlign w:val="bottom"/>
            <w:tcBorders>
              <w:bottom w:val="single" w:sz="8" w:color="CCEEFF"/>
            </w:tcBorders>
            <w:gridSpan w:val="6"/>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12/14/2016</w:t>
            </w:r>
          </w:p>
        </w:tc>
        <w:tc>
          <w:tcPr>
            <w:tcW w:w="0" w:type="dxa"/>
            <w:vAlign w:val="bottom"/>
          </w:tcPr>
          <w:p>
            <w:pPr>
              <w:spacing w:after="0"/>
              <w:rPr>
                <w:sz w:val="1"/>
                <w:szCs w:val="1"/>
                <w:color w:val="auto"/>
              </w:rPr>
            </w:pPr>
          </w:p>
        </w:tc>
      </w:tr>
      <w:tr>
        <w:trPr>
          <w:trHeight w:val="182"/>
        </w:trPr>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rPr>
            </w:pPr>
            <w:hyperlink r:id="rId130">
              <w:r>
                <w:rPr>
                  <w:rFonts w:ascii="Arial" w:cs="Arial" w:eastAsia="Arial" w:hAnsi="Arial"/>
                  <w:sz w:val="16"/>
                  <w:szCs w:val="16"/>
                  <w:color w:val="0000EE"/>
                </w:rPr>
                <w:t>dated as of December 9, 2016, between G-III and Wayne S. Miller.</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Pr>
          <w:p>
            <w:pPr>
              <w:ind w:left="20"/>
              <w:spacing w:after="0" w:line="162" w:lineRule="exact"/>
              <w:rPr>
                <w:sz w:val="20"/>
                <w:szCs w:val="20"/>
                <w:color w:val="auto"/>
              </w:rPr>
            </w:pPr>
            <w:r>
              <w:rPr>
                <w:rFonts w:ascii="Arial" w:cs="Arial" w:eastAsia="Arial" w:hAnsi="Arial"/>
                <w:sz w:val="16"/>
                <w:szCs w:val="16"/>
                <w:color w:val="auto"/>
                <w:w w:val="89"/>
              </w:rPr>
              <w:t>10.14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Borders>
              <w:bottom w:val="single" w:sz="8" w:color="0000EE"/>
            </w:tcBorders>
            <w:gridSpan w:val="23"/>
          </w:tcPr>
          <w:p>
            <w:pPr>
              <w:spacing w:after="0" w:line="162" w:lineRule="exact"/>
              <w:rPr>
                <w:rFonts w:ascii="Arial" w:cs="Arial" w:eastAsia="Arial" w:hAnsi="Arial"/>
                <w:sz w:val="16"/>
                <w:szCs w:val="16"/>
                <w:color w:val="0000EE"/>
                <w:w w:val="91"/>
              </w:rPr>
            </w:pPr>
            <w:hyperlink r:id="rId131">
              <w:r>
                <w:rPr>
                  <w:rFonts w:ascii="Arial" w:cs="Arial" w:eastAsia="Arial" w:hAnsi="Arial"/>
                  <w:sz w:val="16"/>
                  <w:szCs w:val="16"/>
                  <w:color w:val="0000EE"/>
                  <w:w w:val="91"/>
                </w:rPr>
                <w:t>Employment Agreement, dated as of December 9, 2016, between G-III and</w:t>
              </w:r>
            </w:hyperlink>
          </w:p>
        </w:tc>
        <w:tc>
          <w:tcPr>
            <w:tcW w:w="420" w:type="dxa"/>
            <w:vAlign w:val="bottom"/>
            <w:gridSpan w:val="14"/>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12/14/2016</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7"/>
          </w:tcPr>
          <w:p>
            <w:pPr>
              <w:spacing w:after="0" w:line="183" w:lineRule="exact"/>
              <w:rPr>
                <w:rFonts w:ascii="Arial" w:cs="Arial" w:eastAsia="Arial" w:hAnsi="Arial"/>
                <w:sz w:val="16"/>
                <w:szCs w:val="16"/>
                <w:color w:val="0000EE"/>
              </w:rPr>
            </w:pPr>
            <w:hyperlink r:id="rId131">
              <w:r>
                <w:rPr>
                  <w:rFonts w:ascii="Arial" w:cs="Arial" w:eastAsia="Arial" w:hAnsi="Arial"/>
                  <w:sz w:val="16"/>
                  <w:szCs w:val="16"/>
                  <w:color w:val="0000EE"/>
                </w:rPr>
                <w:t>Jeffrey D. Goldfarb.</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6"/>
                <w:szCs w:val="16"/>
                <w:color w:val="auto"/>
                <w:w w:val="89"/>
              </w:rPr>
              <w:t>10.15</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180" w:type="dxa"/>
            <w:vAlign w:val="bottom"/>
            <w:tcBorders>
              <w:bottom w:val="single" w:sz="8" w:color="0000EE"/>
            </w:tcBorders>
            <w:gridSpan w:val="34"/>
            <w:shd w:val="clear" w:color="auto" w:fill="CCEEFF"/>
          </w:tcPr>
          <w:p>
            <w:pPr>
              <w:spacing w:after="0" w:line="162" w:lineRule="exact"/>
              <w:rPr>
                <w:rFonts w:ascii="Arial" w:cs="Arial" w:eastAsia="Arial" w:hAnsi="Arial"/>
                <w:sz w:val="16"/>
                <w:szCs w:val="16"/>
                <w:color w:val="0000EE"/>
                <w:w w:val="91"/>
              </w:rPr>
            </w:pPr>
            <w:hyperlink r:id="rId132">
              <w:r>
                <w:rPr>
                  <w:rFonts w:ascii="Arial" w:cs="Arial" w:eastAsia="Arial" w:hAnsi="Arial"/>
                  <w:sz w:val="16"/>
                  <w:szCs w:val="16"/>
                  <w:color w:val="0000EE"/>
                  <w:w w:val="91"/>
                </w:rPr>
                <w:t>Amendment to Executive Transition Agreement, dated as of December 9, 2016,</w:t>
              </w:r>
            </w:hyperlink>
          </w:p>
        </w:tc>
        <w:tc>
          <w:tcPr>
            <w:tcW w:w="140" w:type="dxa"/>
            <w:vAlign w:val="bottom"/>
            <w:tcBorders>
              <w:bottom w:val="single" w:sz="8" w:color="CCEEFF"/>
            </w:tcBorders>
            <w:gridSpan w:val="3"/>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2"/>
              </w:rPr>
              <w:t>12/6/2016</w:t>
            </w:r>
          </w:p>
        </w:tc>
        <w:tc>
          <w:tcPr>
            <w:tcW w:w="0" w:type="dxa"/>
            <w:vAlign w:val="bottom"/>
          </w:tcPr>
          <w:p>
            <w:pPr>
              <w:spacing w:after="0"/>
              <w:rPr>
                <w:sz w:val="1"/>
                <w:szCs w:val="1"/>
                <w:color w:val="auto"/>
              </w:rPr>
            </w:pPr>
          </w:p>
        </w:tc>
      </w:tr>
      <w:tr>
        <w:trPr>
          <w:trHeight w:val="183"/>
        </w:trPr>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rPr>
            </w:pPr>
            <w:hyperlink r:id="rId132">
              <w:r>
                <w:rPr>
                  <w:rFonts w:ascii="Arial" w:cs="Arial" w:eastAsia="Arial" w:hAnsi="Arial"/>
                  <w:sz w:val="16"/>
                  <w:szCs w:val="16"/>
                  <w:color w:val="0000EE"/>
                </w:rPr>
                <w:t>between G-III and Jeffrey D. Goldfarb.</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Pr>
          <w:p>
            <w:pPr>
              <w:ind w:left="20"/>
              <w:spacing w:after="0" w:line="162" w:lineRule="exact"/>
              <w:rPr>
                <w:sz w:val="20"/>
                <w:szCs w:val="20"/>
                <w:color w:val="auto"/>
              </w:rPr>
            </w:pPr>
            <w:r>
              <w:rPr>
                <w:rFonts w:ascii="Arial" w:cs="Arial" w:eastAsia="Arial" w:hAnsi="Arial"/>
                <w:sz w:val="16"/>
                <w:szCs w:val="16"/>
                <w:color w:val="auto"/>
                <w:w w:val="89"/>
              </w:rPr>
              <w:t>10.16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37"/>
          </w:tcPr>
          <w:p>
            <w:pPr>
              <w:spacing w:after="0" w:line="162" w:lineRule="exact"/>
              <w:rPr>
                <w:rFonts w:ascii="Arial" w:cs="Arial" w:eastAsia="Arial" w:hAnsi="Arial"/>
                <w:sz w:val="16"/>
                <w:szCs w:val="16"/>
                <w:color w:val="0000EE"/>
                <w:w w:val="95"/>
              </w:rPr>
            </w:pPr>
            <w:hyperlink r:id="rId133">
              <w:r>
                <w:rPr>
                  <w:rFonts w:ascii="Arial" w:cs="Arial" w:eastAsia="Arial" w:hAnsi="Arial"/>
                  <w:sz w:val="16"/>
                  <w:szCs w:val="16"/>
                  <w:color w:val="0000EE"/>
                  <w:w w:val="95"/>
                </w:rPr>
                <w:t>Severance Agreement, dated as of December 9, 2016, between G-III and Neal</w:t>
              </w:r>
            </w:hyperlink>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8-K</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2"/>
              </w:rPr>
              <w:t>12/14/2016</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60" w:type="dxa"/>
            <w:vAlign w:val="bottom"/>
            <w:tcBorders>
              <w:top w:val="single" w:sz="8" w:color="0000EE"/>
            </w:tcBorders>
            <w:gridSpan w:val="29"/>
          </w:tcPr>
          <w:p>
            <w:pPr>
              <w:spacing w:after="0" w:line="183" w:lineRule="exact"/>
              <w:rPr>
                <w:rFonts w:ascii="Arial" w:cs="Arial" w:eastAsia="Arial" w:hAnsi="Arial"/>
                <w:sz w:val="16"/>
                <w:szCs w:val="16"/>
                <w:color w:val="0000EE"/>
              </w:rPr>
            </w:pPr>
            <w:hyperlink r:id="rId133">
              <w:r>
                <w:rPr>
                  <w:rFonts w:ascii="Arial" w:cs="Arial" w:eastAsia="Arial" w:hAnsi="Arial"/>
                  <w:sz w:val="16"/>
                  <w:szCs w:val="16"/>
                  <w:color w:val="0000EE"/>
                </w:rPr>
                <w:t>Nackman.</w:t>
              </w:r>
            </w:hyperlink>
          </w:p>
        </w:tc>
        <w:tc>
          <w:tcPr>
            <w:tcW w:w="260" w:type="dxa"/>
            <w:vAlign w:val="bottom"/>
            <w:gridSpan w:val="8"/>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6"/>
                <w:szCs w:val="16"/>
                <w:color w:val="auto"/>
                <w:w w:val="89"/>
              </w:rPr>
              <w:t>10.17</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20" w:type="dxa"/>
            <w:vAlign w:val="bottom"/>
            <w:tcBorders>
              <w:bottom w:val="single" w:sz="8" w:color="0000EE"/>
            </w:tcBorders>
            <w:gridSpan w:val="28"/>
            <w:shd w:val="clear" w:color="auto" w:fill="CCEEFF"/>
          </w:tcPr>
          <w:p>
            <w:pPr>
              <w:spacing w:after="0" w:line="162" w:lineRule="exact"/>
              <w:rPr>
                <w:rFonts w:ascii="Arial" w:cs="Arial" w:eastAsia="Arial" w:hAnsi="Arial"/>
                <w:sz w:val="16"/>
                <w:szCs w:val="16"/>
                <w:color w:val="0000EE"/>
                <w:w w:val="91"/>
              </w:rPr>
            </w:pPr>
            <w:hyperlink r:id="rId134">
              <w:r>
                <w:rPr>
                  <w:rFonts w:ascii="Arial" w:cs="Arial" w:eastAsia="Arial" w:hAnsi="Arial"/>
                  <w:sz w:val="16"/>
                  <w:szCs w:val="16"/>
                  <w:color w:val="0000EE"/>
                  <w:w w:val="91"/>
                </w:rPr>
                <w:t>Lease, dated August 1, 2006, between 240 West 40th LLC. and G-III Leather</w:t>
              </w:r>
            </w:hyperlink>
          </w:p>
        </w:tc>
        <w:tc>
          <w:tcPr>
            <w:tcW w:w="300" w:type="dxa"/>
            <w:vAlign w:val="bottom"/>
            <w:tcBorders>
              <w:bottom w:val="single" w:sz="8" w:color="CCEEFF"/>
            </w:tcBorders>
            <w:gridSpan w:val="9"/>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4"/>
              </w:rPr>
              <w:t>10-K (2017)</w:t>
            </w:r>
          </w:p>
        </w:tc>
        <w:tc>
          <w:tcPr>
            <w:tcW w:w="82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3"/>
              </w:rPr>
              <w:t>4/3/2017</w:t>
            </w:r>
          </w:p>
        </w:tc>
        <w:tc>
          <w:tcPr>
            <w:tcW w:w="0" w:type="dxa"/>
            <w:vAlign w:val="bottom"/>
          </w:tcPr>
          <w:p>
            <w:pPr>
              <w:spacing w:after="0"/>
              <w:rPr>
                <w:sz w:val="1"/>
                <w:szCs w:val="1"/>
                <w:color w:val="auto"/>
              </w:rPr>
            </w:pPr>
          </w:p>
        </w:tc>
      </w:tr>
      <w:tr>
        <w:trPr>
          <w:trHeight w:val="203"/>
        </w:trPr>
        <w:tc>
          <w:tcPr>
            <w:tcW w:w="4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0000EE"/>
            </w:tcBorders>
            <w:gridSpan w:val="5"/>
            <w:shd w:val="clear" w:color="auto" w:fill="CCEEFF"/>
          </w:tcPr>
          <w:p>
            <w:pPr>
              <w:spacing w:after="0" w:line="183" w:lineRule="exact"/>
              <w:rPr>
                <w:rFonts w:ascii="Arial" w:cs="Arial" w:eastAsia="Arial" w:hAnsi="Arial"/>
                <w:sz w:val="16"/>
                <w:szCs w:val="16"/>
                <w:color w:val="0000EE"/>
                <w:w w:val="90"/>
              </w:rPr>
            </w:pPr>
            <w:hyperlink r:id="rId134">
              <w:r>
                <w:rPr>
                  <w:rFonts w:ascii="Arial" w:cs="Arial" w:eastAsia="Arial" w:hAnsi="Arial"/>
                  <w:sz w:val="16"/>
                  <w:szCs w:val="16"/>
                  <w:color w:val="0000EE"/>
                  <w:w w:val="90"/>
                </w:rPr>
                <w:t>Fashions, Inc.</w:t>
              </w:r>
            </w:hyperlink>
          </w:p>
        </w:tc>
        <w:tc>
          <w:tcPr>
            <w:tcW w:w="4400" w:type="dxa"/>
            <w:vAlign w:val="bottom"/>
            <w:tcBorders>
              <w:bottom w:val="single" w:sz="8" w:color="CCEEFF"/>
            </w:tcBorders>
            <w:gridSpan w:val="32"/>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0" w:type="dxa"/>
            <w:vAlign w:val="bottom"/>
          </w:tcPr>
          <w:p>
            <w:pPr>
              <w:ind w:left="20"/>
              <w:spacing w:after="0" w:line="162" w:lineRule="exact"/>
              <w:rPr>
                <w:sz w:val="20"/>
                <w:szCs w:val="20"/>
                <w:color w:val="auto"/>
              </w:rPr>
            </w:pPr>
            <w:r>
              <w:rPr>
                <w:rFonts w:ascii="Arial" w:cs="Arial" w:eastAsia="Arial" w:hAnsi="Arial"/>
                <w:sz w:val="16"/>
                <w:szCs w:val="16"/>
                <w:color w:val="auto"/>
                <w:w w:val="89"/>
              </w:rPr>
              <w:t>10.18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bottom w:val="single" w:sz="8" w:color="0000EE"/>
            </w:tcBorders>
            <w:gridSpan w:val="30"/>
          </w:tcPr>
          <w:p>
            <w:pPr>
              <w:spacing w:after="0" w:line="162" w:lineRule="exact"/>
              <w:rPr>
                <w:rFonts w:ascii="Arial" w:cs="Arial" w:eastAsia="Arial" w:hAnsi="Arial"/>
                <w:sz w:val="16"/>
                <w:szCs w:val="16"/>
                <w:color w:val="0000EE"/>
                <w:w w:val="90"/>
              </w:rPr>
            </w:pPr>
            <w:hyperlink r:id="rId135">
              <w:r>
                <w:rPr>
                  <w:rFonts w:ascii="Arial" w:cs="Arial" w:eastAsia="Arial" w:hAnsi="Arial"/>
                  <w:sz w:val="16"/>
                  <w:szCs w:val="16"/>
                  <w:color w:val="0000EE"/>
                  <w:w w:val="90"/>
                </w:rPr>
                <w:t>Lease, dated December 7, 2011, between 400 Commerce Boulevard LLC. and</w:t>
              </w:r>
            </w:hyperlink>
          </w:p>
        </w:tc>
        <w:tc>
          <w:tcPr>
            <w:tcW w:w="240" w:type="dxa"/>
            <w:vAlign w:val="bottom"/>
            <w:gridSpan w:val="7"/>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4"/>
              </w:rPr>
              <w:t>10-K (2017)</w:t>
            </w:r>
          </w:p>
        </w:tc>
        <w:tc>
          <w:tcPr>
            <w:tcW w:w="8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1"/>
              </w:rPr>
              <w:t>000-18183</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3"/>
              </w:rPr>
              <w:t>4/3/2017</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7"/>
          </w:tcPr>
          <w:p>
            <w:pPr>
              <w:spacing w:after="0" w:line="183" w:lineRule="exact"/>
              <w:rPr>
                <w:rFonts w:ascii="Arial" w:cs="Arial" w:eastAsia="Arial" w:hAnsi="Arial"/>
                <w:sz w:val="16"/>
                <w:szCs w:val="16"/>
                <w:color w:val="0000EE"/>
              </w:rPr>
            </w:pPr>
            <w:hyperlink r:id="rId135">
              <w:r>
                <w:rPr>
                  <w:rFonts w:ascii="Arial" w:cs="Arial" w:eastAsia="Arial" w:hAnsi="Arial"/>
                  <w:sz w:val="16"/>
                  <w:szCs w:val="16"/>
                  <w:color w:val="0000EE"/>
                </w:rPr>
                <w:t>G-III Leather Fashions, Inc.</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320" w:type="dxa"/>
            <w:vAlign w:val="bottom"/>
            <w:gridSpan w:val="37"/>
            <w:shd w:val="clear" w:color="auto" w:fill="CCEEFF"/>
          </w:tcPr>
          <w:p>
            <w:pPr>
              <w:spacing w:after="0" w:line="162" w:lineRule="exact"/>
              <w:rPr>
                <w:rFonts w:ascii="Arial" w:cs="Arial" w:eastAsia="Arial" w:hAnsi="Arial"/>
                <w:sz w:val="16"/>
                <w:szCs w:val="16"/>
                <w:color w:val="0000EE"/>
              </w:rPr>
            </w:pPr>
            <w:hyperlink w:anchor="page110">
              <w:r>
                <w:rPr>
                  <w:rFonts w:ascii="Arial" w:cs="Arial" w:eastAsia="Arial" w:hAnsi="Arial"/>
                  <w:sz w:val="16"/>
                  <w:szCs w:val="16"/>
                  <w:color w:val="0000EE"/>
                </w:rPr>
                <w:t>Subsidiaries of G-III.</w:t>
              </w:r>
            </w:hyperlink>
          </w:p>
        </w:tc>
        <w:tc>
          <w:tcPr>
            <w:tcW w:w="120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Pr>
          <w:p>
            <w:pPr>
              <w:ind w:left="20"/>
              <w:spacing w:after="0" w:line="162" w:lineRule="exact"/>
              <w:rPr>
                <w:sz w:val="20"/>
                <w:szCs w:val="20"/>
                <w:color w:val="auto"/>
              </w:rPr>
            </w:pPr>
            <w:r>
              <w:rPr>
                <w:rFonts w:ascii="Arial" w:cs="Arial" w:eastAsia="Arial" w:hAnsi="Arial"/>
                <w:sz w:val="16"/>
                <w:szCs w:val="16"/>
                <w:color w:val="auto"/>
                <w:w w:val="96"/>
              </w:rPr>
              <w:t>23.1*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37"/>
          </w:tcPr>
          <w:p>
            <w:pPr>
              <w:spacing w:after="0" w:line="162" w:lineRule="exact"/>
              <w:rPr>
                <w:rFonts w:ascii="Arial" w:cs="Arial" w:eastAsia="Arial" w:hAnsi="Arial"/>
                <w:sz w:val="16"/>
                <w:szCs w:val="16"/>
                <w:color w:val="0000EE"/>
                <w:w w:val="99"/>
              </w:rPr>
            </w:pPr>
            <w:hyperlink w:anchor="page111">
              <w:r>
                <w:rPr>
                  <w:rFonts w:ascii="Arial" w:cs="Arial" w:eastAsia="Arial" w:hAnsi="Arial"/>
                  <w:sz w:val="16"/>
                  <w:szCs w:val="16"/>
                  <w:color w:val="0000EE"/>
                  <w:w w:val="99"/>
                </w:rPr>
                <w:t>Consent of Independent Registered Public Accounting Firm, Ernst &amp; Young</w:t>
              </w:r>
            </w:hyperlink>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40" w:type="dxa"/>
            <w:vAlign w:val="bottom"/>
            <w:tcBorders>
              <w:top w:val="single" w:sz="8" w:color="0000EE"/>
            </w:tcBorders>
            <w:gridSpan w:val="25"/>
          </w:tcPr>
          <w:p>
            <w:pPr>
              <w:spacing w:after="0" w:line="183" w:lineRule="exact"/>
              <w:rPr>
                <w:rFonts w:ascii="Arial" w:cs="Arial" w:eastAsia="Arial" w:hAnsi="Arial"/>
                <w:sz w:val="16"/>
                <w:szCs w:val="16"/>
                <w:color w:val="0000EE"/>
              </w:rPr>
            </w:pPr>
            <w:hyperlink w:anchor="page111">
              <w:r>
                <w:rPr>
                  <w:rFonts w:ascii="Arial" w:cs="Arial" w:eastAsia="Arial" w:hAnsi="Arial"/>
                  <w:sz w:val="16"/>
                  <w:szCs w:val="16"/>
                  <w:color w:val="0000EE"/>
                </w:rPr>
                <w:t>LLP.</w:t>
              </w:r>
            </w:hyperlink>
          </w:p>
        </w:tc>
        <w:tc>
          <w:tcPr>
            <w:tcW w:w="380" w:type="dxa"/>
            <w:vAlign w:val="bottom"/>
            <w:gridSpan w:val="12"/>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0" w:type="dxa"/>
            <w:vAlign w:val="bottom"/>
            <w:tcBorders>
              <w:bottom w:val="single" w:sz="8" w:color="CCEEFF"/>
            </w:tcBorders>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31.1*</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0000EE"/>
            </w:tcBorders>
            <w:gridSpan w:val="23"/>
            <w:shd w:val="clear" w:color="auto" w:fill="CCEEFF"/>
          </w:tcPr>
          <w:p>
            <w:pPr>
              <w:spacing w:after="0" w:line="162" w:lineRule="exact"/>
              <w:rPr>
                <w:rFonts w:ascii="Arial" w:cs="Arial" w:eastAsia="Arial" w:hAnsi="Arial"/>
                <w:sz w:val="16"/>
                <w:szCs w:val="16"/>
                <w:color w:val="0000EE"/>
                <w:w w:val="96"/>
              </w:rPr>
            </w:pPr>
            <w:hyperlink w:anchor="page112">
              <w:r>
                <w:rPr>
                  <w:rFonts w:ascii="Arial" w:cs="Arial" w:eastAsia="Arial" w:hAnsi="Arial"/>
                  <w:sz w:val="16"/>
                  <w:szCs w:val="16"/>
                  <w:color w:val="0000EE"/>
                  <w:w w:val="96"/>
                </w:rPr>
                <w:t>Certification by Morris Goldfarb, Chief Executive Officer of G-III Apparel</w:t>
              </w:r>
            </w:hyperlink>
          </w:p>
        </w:tc>
        <w:tc>
          <w:tcPr>
            <w:tcW w:w="420" w:type="dxa"/>
            <w:vAlign w:val="bottom"/>
            <w:tcBorders>
              <w:bottom w:val="single" w:sz="8" w:color="CCEEFF"/>
            </w:tcBorders>
            <w:gridSpan w:val="14"/>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99"/>
              </w:rPr>
              <w:t>—</w:t>
            </w: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w w:val="95"/>
              </w:rPr>
            </w:pPr>
            <w:hyperlink w:anchor="page112">
              <w:r>
                <w:rPr>
                  <w:rFonts w:ascii="Arial" w:cs="Arial" w:eastAsia="Arial" w:hAnsi="Arial"/>
                  <w:sz w:val="16"/>
                  <w:szCs w:val="16"/>
                  <w:color w:val="0000EE"/>
                  <w:w w:val="95"/>
                </w:rPr>
                <w:t>Group, Ltd., pursuant to Rule 13a – 14(a) or Rule 15d – 14(a) of the Securities</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020" w:type="dxa"/>
            <w:vAlign w:val="bottom"/>
            <w:tcBorders>
              <w:top w:val="single" w:sz="8" w:color="0000EE"/>
              <w:bottom w:val="single" w:sz="8" w:color="0000EE"/>
            </w:tcBorders>
            <w:gridSpan w:val="28"/>
            <w:shd w:val="clear" w:color="auto" w:fill="CCEEFF"/>
          </w:tcPr>
          <w:p>
            <w:pPr>
              <w:spacing w:after="0" w:line="183" w:lineRule="exact"/>
              <w:rPr>
                <w:rFonts w:ascii="Arial" w:cs="Arial" w:eastAsia="Arial" w:hAnsi="Arial"/>
                <w:sz w:val="16"/>
                <w:szCs w:val="16"/>
                <w:color w:val="0000EE"/>
                <w:w w:val="92"/>
              </w:rPr>
            </w:pPr>
            <w:hyperlink w:anchor="page112">
              <w:r>
                <w:rPr>
                  <w:rFonts w:ascii="Arial" w:cs="Arial" w:eastAsia="Arial" w:hAnsi="Arial"/>
                  <w:sz w:val="16"/>
                  <w:szCs w:val="16"/>
                  <w:color w:val="0000EE"/>
                  <w:w w:val="92"/>
                </w:rPr>
                <w:t>Exchange Act of 1934, as amended, in connection with G-III Apparel Group,</w:t>
              </w:r>
            </w:hyperlink>
          </w:p>
        </w:tc>
        <w:tc>
          <w:tcPr>
            <w:tcW w:w="40" w:type="dxa"/>
            <w:vAlign w:val="bottom"/>
            <w:tcBorders>
              <w:top w:val="single" w:sz="8" w:color="0000EE"/>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w w:val="95"/>
              </w:rPr>
            </w:pPr>
            <w:hyperlink w:anchor="page112">
              <w:r>
                <w:rPr>
                  <w:rFonts w:ascii="Arial" w:cs="Arial" w:eastAsia="Arial" w:hAnsi="Arial"/>
                  <w:sz w:val="16"/>
                  <w:szCs w:val="16"/>
                  <w:color w:val="0000EE"/>
                  <w:w w:val="95"/>
                </w:rPr>
                <w:t>Ltd.’s Annual Report on Form 10-K for the fiscal year ended January 31, 2020.</w:t>
              </w:r>
            </w:hyperlink>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6"/>
                <w:szCs w:val="16"/>
                <w:color w:val="auto"/>
                <w:w w:val="96"/>
              </w:rPr>
              <w:t>31.2*</w:t>
            </w: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920" w:type="dxa"/>
            <w:vAlign w:val="bottom"/>
            <w:tcBorders>
              <w:top w:val="single" w:sz="8" w:color="0000EE"/>
              <w:bottom w:val="single" w:sz="8" w:color="0000EE"/>
            </w:tcBorders>
            <w:gridSpan w:val="24"/>
          </w:tcPr>
          <w:p>
            <w:pPr>
              <w:spacing w:after="0" w:line="162" w:lineRule="exact"/>
              <w:rPr>
                <w:rFonts w:ascii="Arial" w:cs="Arial" w:eastAsia="Arial" w:hAnsi="Arial"/>
                <w:sz w:val="16"/>
                <w:szCs w:val="16"/>
                <w:color w:val="0000EE"/>
                <w:w w:val="95"/>
              </w:rPr>
            </w:pPr>
            <w:hyperlink w:anchor="page113">
              <w:r>
                <w:rPr>
                  <w:rFonts w:ascii="Arial" w:cs="Arial" w:eastAsia="Arial" w:hAnsi="Arial"/>
                  <w:sz w:val="16"/>
                  <w:szCs w:val="16"/>
                  <w:color w:val="0000EE"/>
                  <w:w w:val="95"/>
                </w:rPr>
                <w:t>Certification by Neal S. Nackman, Chief Financial Officer of G-III Apparel</w:t>
              </w:r>
            </w:hyperlink>
          </w:p>
        </w:tc>
        <w:tc>
          <w:tcPr>
            <w:tcW w:w="220" w:type="dxa"/>
            <w:vAlign w:val="bottom"/>
            <w:tcBorders>
              <w:top w:val="single" w:sz="8" w:color="0000EE"/>
            </w:tcBorders>
            <w:gridSpan w:val="9"/>
          </w:tcPr>
          <w:p>
            <w:pPr>
              <w:spacing w:after="0"/>
              <w:rPr>
                <w:sz w:val="14"/>
                <w:szCs w:val="14"/>
                <w:color w:val="auto"/>
              </w:rPr>
            </w:pPr>
          </w:p>
        </w:tc>
        <w:tc>
          <w:tcPr>
            <w:tcW w:w="180" w:type="dxa"/>
            <w:vAlign w:val="bottom"/>
            <w:tcBorders>
              <w:top w:val="single" w:sz="8" w:color="CCEEFF"/>
            </w:tcBorders>
            <w:gridSpan w:val="4"/>
          </w:tcPr>
          <w:p>
            <w:pPr>
              <w:spacing w:after="0"/>
              <w:rPr>
                <w:sz w:val="14"/>
                <w:szCs w:val="14"/>
                <w:color w:val="auto"/>
              </w:rPr>
            </w:pPr>
          </w:p>
        </w:tc>
        <w:tc>
          <w:tcPr>
            <w:tcW w:w="1200" w:type="dxa"/>
            <w:vAlign w:val="bottom"/>
            <w:tcBorders>
              <w:top w:val="single" w:sz="8" w:color="CCEEFF"/>
            </w:tcBorders>
            <w:gridSpan w:val="2"/>
          </w:tcPr>
          <w:p>
            <w:pPr>
              <w:jc w:val="center"/>
              <w:ind w:right="120"/>
              <w:spacing w:after="0" w:line="162" w:lineRule="exact"/>
              <w:rPr>
                <w:sz w:val="20"/>
                <w:szCs w:val="20"/>
                <w:color w:val="auto"/>
              </w:rPr>
            </w:pPr>
            <w:r>
              <w:rPr>
                <w:rFonts w:ascii="Arial" w:cs="Arial" w:eastAsia="Arial" w:hAnsi="Arial"/>
                <w:sz w:val="16"/>
                <w:szCs w:val="16"/>
                <w:color w:val="auto"/>
                <w:w w:val="99"/>
              </w:rPr>
              <w:t>—</w:t>
            </w:r>
          </w:p>
        </w:tc>
        <w:tc>
          <w:tcPr>
            <w:tcW w:w="820" w:type="dxa"/>
            <w:vAlign w:val="bottom"/>
            <w:tcBorders>
              <w:top w:val="single" w:sz="8" w:color="CCEEFF"/>
            </w:tcBorders>
            <w:gridSpan w:val="2"/>
          </w:tcPr>
          <w:p>
            <w:pPr>
              <w:jc w:val="center"/>
              <w:ind w:right="100"/>
              <w:spacing w:after="0" w:line="162" w:lineRule="exact"/>
              <w:rPr>
                <w:sz w:val="20"/>
                <w:szCs w:val="20"/>
                <w:color w:val="auto"/>
              </w:rPr>
            </w:pPr>
            <w:r>
              <w:rPr>
                <w:rFonts w:ascii="Arial" w:cs="Arial" w:eastAsia="Arial" w:hAnsi="Arial"/>
                <w:sz w:val="16"/>
                <w:szCs w:val="16"/>
                <w:color w:val="auto"/>
                <w:w w:val="99"/>
              </w:rPr>
              <w:t>—</w:t>
            </w:r>
          </w:p>
        </w:tc>
        <w:tc>
          <w:tcPr>
            <w:tcW w:w="760" w:type="dxa"/>
            <w:vAlign w:val="bottom"/>
            <w:tcBorders>
              <w:top w:val="single" w:sz="8" w:color="CCEEFF"/>
            </w:tcBorders>
          </w:tcPr>
          <w:p>
            <w:pPr>
              <w:jc w:val="center"/>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7"/>
          </w:tcPr>
          <w:p>
            <w:pPr>
              <w:spacing w:after="0" w:line="183" w:lineRule="exact"/>
              <w:rPr>
                <w:rFonts w:ascii="Arial" w:cs="Arial" w:eastAsia="Arial" w:hAnsi="Arial"/>
                <w:sz w:val="16"/>
                <w:szCs w:val="16"/>
                <w:color w:val="0000EE"/>
                <w:w w:val="95"/>
              </w:rPr>
            </w:pPr>
            <w:hyperlink w:anchor="page113">
              <w:r>
                <w:rPr>
                  <w:rFonts w:ascii="Arial" w:cs="Arial" w:eastAsia="Arial" w:hAnsi="Arial"/>
                  <w:sz w:val="16"/>
                  <w:szCs w:val="16"/>
                  <w:color w:val="0000EE"/>
                  <w:w w:val="95"/>
                </w:rPr>
                <w:t>Group, Ltd., pursuant to Rule 13a – 14(a) or Rule 15d – 14(a) of the Securities</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20" w:type="dxa"/>
            <w:vAlign w:val="bottom"/>
            <w:tcBorders>
              <w:top w:val="single" w:sz="8" w:color="0000EE"/>
              <w:bottom w:val="single" w:sz="8" w:color="0000EE"/>
            </w:tcBorders>
            <w:gridSpan w:val="28"/>
          </w:tcPr>
          <w:p>
            <w:pPr>
              <w:spacing w:after="0" w:line="183" w:lineRule="exact"/>
              <w:rPr>
                <w:rFonts w:ascii="Arial" w:cs="Arial" w:eastAsia="Arial" w:hAnsi="Arial"/>
                <w:sz w:val="16"/>
                <w:szCs w:val="16"/>
                <w:color w:val="0000EE"/>
                <w:w w:val="92"/>
              </w:rPr>
            </w:pPr>
            <w:hyperlink w:anchor="page113">
              <w:r>
                <w:rPr>
                  <w:rFonts w:ascii="Arial" w:cs="Arial" w:eastAsia="Arial" w:hAnsi="Arial"/>
                  <w:sz w:val="16"/>
                  <w:szCs w:val="16"/>
                  <w:color w:val="0000EE"/>
                  <w:w w:val="92"/>
                </w:rPr>
                <w:t>Exchange Act of 1934, as amended, in connection with G-III Apparel Group,</w:t>
              </w:r>
            </w:hyperlink>
          </w:p>
        </w:tc>
        <w:tc>
          <w:tcPr>
            <w:tcW w:w="40" w:type="dxa"/>
            <w:vAlign w:val="bottom"/>
            <w:tcBorders>
              <w:top w:val="single" w:sz="8" w:color="0000EE"/>
            </w:tcBorders>
          </w:tcPr>
          <w:p>
            <w:pPr>
              <w:spacing w:after="0"/>
              <w:rPr>
                <w:sz w:val="15"/>
                <w:szCs w:val="15"/>
                <w:color w:val="auto"/>
              </w:rPr>
            </w:pPr>
          </w:p>
        </w:tc>
        <w:tc>
          <w:tcPr>
            <w:tcW w:w="260" w:type="dxa"/>
            <w:vAlign w:val="bottom"/>
            <w:gridSpan w:val="8"/>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7"/>
          </w:tcPr>
          <w:p>
            <w:pPr>
              <w:spacing w:after="0" w:line="183" w:lineRule="exact"/>
              <w:rPr>
                <w:rFonts w:ascii="Arial" w:cs="Arial" w:eastAsia="Arial" w:hAnsi="Arial"/>
                <w:sz w:val="16"/>
                <w:szCs w:val="16"/>
                <w:color w:val="0000EE"/>
                <w:w w:val="95"/>
              </w:rPr>
            </w:pPr>
            <w:hyperlink w:anchor="page113">
              <w:r>
                <w:rPr>
                  <w:rFonts w:ascii="Arial" w:cs="Arial" w:eastAsia="Arial" w:hAnsi="Arial"/>
                  <w:sz w:val="16"/>
                  <w:szCs w:val="16"/>
                  <w:color w:val="0000EE"/>
                  <w:w w:val="95"/>
                </w:rPr>
                <w:t>Ltd.’s Annual Report on Form 10-K for the fiscal year ended January 31, 2020.</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4"/>
                <w:szCs w:val="14"/>
                <w:color w:val="auto"/>
              </w:rPr>
            </w:pPr>
          </w:p>
        </w:tc>
        <w:tc>
          <w:tcPr>
            <w:tcW w:w="5320" w:type="dxa"/>
            <w:vAlign w:val="bottom"/>
            <w:gridSpan w:val="37"/>
            <w:shd w:val="clear" w:color="auto" w:fill="CCEEFF"/>
          </w:tcPr>
          <w:p>
            <w:pPr>
              <w:spacing w:after="0" w:line="162" w:lineRule="exact"/>
              <w:rPr>
                <w:rFonts w:ascii="Arial" w:cs="Arial" w:eastAsia="Arial" w:hAnsi="Arial"/>
                <w:sz w:val="16"/>
                <w:szCs w:val="16"/>
                <w:color w:val="0000EE"/>
              </w:rPr>
            </w:pPr>
            <w:hyperlink w:anchor="page114">
              <w:r>
                <w:rPr>
                  <w:rFonts w:ascii="Arial" w:cs="Arial" w:eastAsia="Arial" w:hAnsi="Arial"/>
                  <w:sz w:val="16"/>
                  <w:szCs w:val="16"/>
                  <w:color w:val="0000EE"/>
                </w:rPr>
                <w:t>Certification by Morris Goldfarb, Chief Executive Officer of G-III Apparel</w:t>
              </w:r>
            </w:hyperlink>
          </w:p>
        </w:tc>
        <w:tc>
          <w:tcPr>
            <w:tcW w:w="120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80" w:type="dxa"/>
            <w:vAlign w:val="bottom"/>
            <w:tcBorders>
              <w:top w:val="single" w:sz="8" w:color="0000EE"/>
              <w:bottom w:val="single" w:sz="8" w:color="0000EE"/>
            </w:tcBorders>
            <w:gridSpan w:val="18"/>
            <w:shd w:val="clear" w:color="auto" w:fill="CCEEFF"/>
          </w:tcPr>
          <w:p>
            <w:pPr>
              <w:spacing w:after="0" w:line="183" w:lineRule="exact"/>
              <w:rPr>
                <w:rFonts w:ascii="Arial" w:cs="Arial" w:eastAsia="Arial" w:hAnsi="Arial"/>
                <w:sz w:val="16"/>
                <w:szCs w:val="16"/>
                <w:color w:val="0000EE"/>
                <w:w w:val="90"/>
              </w:rPr>
            </w:pPr>
            <w:hyperlink w:anchor="page114">
              <w:r>
                <w:rPr>
                  <w:rFonts w:ascii="Arial" w:cs="Arial" w:eastAsia="Arial" w:hAnsi="Arial"/>
                  <w:sz w:val="16"/>
                  <w:szCs w:val="16"/>
                  <w:color w:val="0000EE"/>
                  <w:w w:val="90"/>
                </w:rPr>
                <w:t>Group, Ltd., pursuant to 18 U.S.C. Section 1350, as adopted pursuant to</w:t>
              </w:r>
            </w:hyperlink>
          </w:p>
        </w:tc>
        <w:tc>
          <w:tcPr>
            <w:tcW w:w="200" w:type="dxa"/>
            <w:vAlign w:val="bottom"/>
            <w:tcBorders>
              <w:top w:val="single" w:sz="8" w:color="0000EE"/>
              <w:bottom w:val="single" w:sz="8" w:color="CCEEFF"/>
            </w:tcBorders>
            <w:gridSpan w:val="4"/>
            <w:shd w:val="clear" w:color="auto" w:fill="CCEEFF"/>
          </w:tcPr>
          <w:p>
            <w:pPr>
              <w:spacing w:after="0"/>
              <w:rPr>
                <w:sz w:val="15"/>
                <w:szCs w:val="15"/>
                <w:color w:val="auto"/>
              </w:rPr>
            </w:pPr>
          </w:p>
        </w:tc>
        <w:tc>
          <w:tcPr>
            <w:tcW w:w="440" w:type="dxa"/>
            <w:vAlign w:val="bottom"/>
            <w:tcBorders>
              <w:top w:val="single" w:sz="8" w:color="CCEEFF"/>
              <w:bottom w:val="single" w:sz="8" w:color="CCEEFF"/>
            </w:tcBorders>
            <w:gridSpan w:val="15"/>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760" w:type="dxa"/>
            <w:vAlign w:val="bottom"/>
            <w:tcBorders>
              <w:bottom w:val="single" w:sz="8" w:color="0000EE"/>
            </w:tcBorders>
            <w:gridSpan w:val="21"/>
            <w:shd w:val="clear" w:color="auto" w:fill="CCEEFF"/>
          </w:tcPr>
          <w:p>
            <w:pPr>
              <w:spacing w:after="0" w:line="183" w:lineRule="exact"/>
              <w:rPr>
                <w:rFonts w:ascii="Arial" w:cs="Arial" w:eastAsia="Arial" w:hAnsi="Arial"/>
                <w:sz w:val="16"/>
                <w:szCs w:val="16"/>
                <w:color w:val="0000EE"/>
                <w:w w:val="93"/>
              </w:rPr>
            </w:pPr>
            <w:hyperlink w:anchor="page114">
              <w:r>
                <w:rPr>
                  <w:rFonts w:ascii="Arial" w:cs="Arial" w:eastAsia="Arial" w:hAnsi="Arial"/>
                  <w:sz w:val="16"/>
                  <w:szCs w:val="16"/>
                  <w:color w:val="0000EE"/>
                  <w:w w:val="93"/>
                </w:rPr>
                <w:t>Section 906 of the Sarbanes-Oxley Act of 2002, in connection with G-III</w:t>
              </w:r>
            </w:hyperlink>
          </w:p>
        </w:tc>
        <w:tc>
          <w:tcPr>
            <w:tcW w:w="560" w:type="dxa"/>
            <w:vAlign w:val="bottom"/>
            <w:tcBorders>
              <w:bottom w:val="single" w:sz="8" w:color="CCEEFF"/>
            </w:tcBorders>
            <w:gridSpan w:val="16"/>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320" w:type="dxa"/>
            <w:vAlign w:val="bottom"/>
            <w:gridSpan w:val="37"/>
            <w:shd w:val="clear" w:color="auto" w:fill="CCEEFF"/>
          </w:tcPr>
          <w:p>
            <w:pPr>
              <w:spacing w:after="0" w:line="183" w:lineRule="exact"/>
              <w:rPr>
                <w:rFonts w:ascii="Arial" w:cs="Arial" w:eastAsia="Arial" w:hAnsi="Arial"/>
                <w:sz w:val="16"/>
                <w:szCs w:val="16"/>
                <w:color w:val="0000EE"/>
                <w:w w:val="98"/>
              </w:rPr>
            </w:pPr>
            <w:hyperlink w:anchor="page114">
              <w:r>
                <w:rPr>
                  <w:rFonts w:ascii="Arial" w:cs="Arial" w:eastAsia="Arial" w:hAnsi="Arial"/>
                  <w:sz w:val="16"/>
                  <w:szCs w:val="16"/>
                  <w:color w:val="0000EE"/>
                  <w:w w:val="98"/>
                </w:rPr>
                <w:t>Apparel Group, Ltd.’s Annual Report on Form 10-K for the fiscal year ended</w:t>
              </w:r>
            </w:hyperlink>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0000EE"/>
              <w:bottom w:val="single" w:sz="8" w:color="0000EE"/>
            </w:tcBorders>
            <w:gridSpan w:val="7"/>
            <w:shd w:val="clear" w:color="auto" w:fill="CCEEFF"/>
          </w:tcPr>
          <w:p>
            <w:pPr>
              <w:spacing w:after="0" w:line="183" w:lineRule="exact"/>
              <w:rPr>
                <w:rFonts w:ascii="Arial" w:cs="Arial" w:eastAsia="Arial" w:hAnsi="Arial"/>
                <w:sz w:val="16"/>
                <w:szCs w:val="16"/>
                <w:color w:val="0000EE"/>
                <w:w w:val="88"/>
              </w:rPr>
            </w:pPr>
            <w:hyperlink w:anchor="page114">
              <w:r>
                <w:rPr>
                  <w:rFonts w:ascii="Arial" w:cs="Arial" w:eastAsia="Arial" w:hAnsi="Arial"/>
                  <w:sz w:val="16"/>
                  <w:szCs w:val="16"/>
                  <w:color w:val="0000EE"/>
                  <w:w w:val="88"/>
                </w:rPr>
                <w:t>January 31, 2020.</w:t>
              </w:r>
            </w:hyperlink>
          </w:p>
        </w:tc>
        <w:tc>
          <w:tcPr>
            <w:tcW w:w="3840" w:type="dxa"/>
            <w:vAlign w:val="bottom"/>
            <w:tcBorders>
              <w:top w:val="single" w:sz="8" w:color="0000EE"/>
              <w:bottom w:val="single" w:sz="8" w:color="CCEEFF"/>
            </w:tcBorders>
            <w:gridSpan w:val="20"/>
            <w:shd w:val="clear" w:color="auto" w:fill="CCEEFF"/>
          </w:tcPr>
          <w:p>
            <w:pPr>
              <w:spacing w:after="0"/>
              <w:rPr>
                <w:sz w:val="17"/>
                <w:szCs w:val="17"/>
                <w:color w:val="auto"/>
              </w:rPr>
            </w:pPr>
          </w:p>
        </w:tc>
        <w:tc>
          <w:tcPr>
            <w:tcW w:w="320" w:type="dxa"/>
            <w:vAlign w:val="bottom"/>
            <w:tcBorders>
              <w:top w:val="single" w:sz="8" w:color="CCEEFF"/>
              <w:bottom w:val="single" w:sz="8" w:color="CCEEFF"/>
            </w:tcBorders>
            <w:gridSpan w:val="10"/>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32.2**</w:t>
            </w:r>
          </w:p>
        </w:tc>
        <w:tc>
          <w:tcPr>
            <w:tcW w:w="120" w:type="dxa"/>
            <w:vAlign w:val="bottom"/>
          </w:tcPr>
          <w:p>
            <w:pPr>
              <w:spacing w:after="0"/>
              <w:rPr>
                <w:sz w:val="14"/>
                <w:szCs w:val="14"/>
                <w:color w:val="auto"/>
              </w:rPr>
            </w:pPr>
          </w:p>
        </w:tc>
        <w:tc>
          <w:tcPr>
            <w:tcW w:w="5320" w:type="dxa"/>
            <w:vAlign w:val="bottom"/>
            <w:gridSpan w:val="37"/>
          </w:tcPr>
          <w:p>
            <w:pPr>
              <w:spacing w:after="0" w:line="162" w:lineRule="exact"/>
              <w:rPr>
                <w:rFonts w:ascii="Arial" w:cs="Arial" w:eastAsia="Arial" w:hAnsi="Arial"/>
                <w:sz w:val="16"/>
                <w:szCs w:val="16"/>
                <w:color w:val="0000EE"/>
              </w:rPr>
            </w:pPr>
            <w:hyperlink w:anchor="page115">
              <w:r>
                <w:rPr>
                  <w:rFonts w:ascii="Arial" w:cs="Arial" w:eastAsia="Arial" w:hAnsi="Arial"/>
                  <w:sz w:val="16"/>
                  <w:szCs w:val="16"/>
                  <w:color w:val="0000EE"/>
                </w:rPr>
                <w:t>Certification by Neal S. Nackman, Chief Financial Officer of G-III Apparel</w:t>
              </w:r>
            </w:hyperlink>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9"/>
              </w:rPr>
              <w:t>—</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tcBorders>
              <w:top w:val="single" w:sz="8" w:color="0000EE"/>
              <w:bottom w:val="single" w:sz="8" w:color="0000EE"/>
            </w:tcBorders>
            <w:gridSpan w:val="18"/>
          </w:tcPr>
          <w:p>
            <w:pPr>
              <w:spacing w:after="0" w:line="183" w:lineRule="exact"/>
              <w:rPr>
                <w:rFonts w:ascii="Arial" w:cs="Arial" w:eastAsia="Arial" w:hAnsi="Arial"/>
                <w:sz w:val="16"/>
                <w:szCs w:val="16"/>
                <w:color w:val="0000EE"/>
                <w:w w:val="90"/>
              </w:rPr>
            </w:pPr>
            <w:hyperlink w:anchor="page115">
              <w:r>
                <w:rPr>
                  <w:rFonts w:ascii="Arial" w:cs="Arial" w:eastAsia="Arial" w:hAnsi="Arial"/>
                  <w:sz w:val="16"/>
                  <w:szCs w:val="16"/>
                  <w:color w:val="0000EE"/>
                  <w:w w:val="90"/>
                </w:rPr>
                <w:t>Group, Ltd., pursuant to 18 U.S.C. Section 1350, as adopted pursuant to</w:t>
              </w:r>
            </w:hyperlink>
          </w:p>
        </w:tc>
        <w:tc>
          <w:tcPr>
            <w:tcW w:w="220" w:type="dxa"/>
            <w:vAlign w:val="bottom"/>
            <w:tcBorders>
              <w:top w:val="single" w:sz="8" w:color="0000EE"/>
            </w:tcBorders>
            <w:gridSpan w:val="5"/>
          </w:tcPr>
          <w:p>
            <w:pPr>
              <w:spacing w:after="0"/>
              <w:rPr>
                <w:sz w:val="15"/>
                <w:szCs w:val="15"/>
                <w:color w:val="auto"/>
              </w:rPr>
            </w:pPr>
          </w:p>
        </w:tc>
        <w:tc>
          <w:tcPr>
            <w:tcW w:w="420" w:type="dxa"/>
            <w:vAlign w:val="bottom"/>
            <w:gridSpan w:val="14"/>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37"/>
          </w:tcPr>
          <w:p>
            <w:pPr>
              <w:spacing w:after="0" w:line="183" w:lineRule="exact"/>
              <w:rPr>
                <w:rFonts w:ascii="Arial" w:cs="Arial" w:eastAsia="Arial" w:hAnsi="Arial"/>
                <w:sz w:val="16"/>
                <w:szCs w:val="16"/>
                <w:color w:val="0000EE"/>
              </w:rPr>
            </w:pPr>
            <w:hyperlink w:anchor="page115">
              <w:r>
                <w:rPr>
                  <w:rFonts w:ascii="Arial" w:cs="Arial" w:eastAsia="Arial" w:hAnsi="Arial"/>
                  <w:sz w:val="16"/>
                  <w:szCs w:val="16"/>
                  <w:color w:val="0000EE"/>
                </w:rPr>
                <w:t>Section 906 of the Sarbanes-Oxley Act of 2002, in connection with G-III</w:t>
              </w:r>
            </w:hyperlink>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16"/>
          </w:tcPr>
          <w:p>
            <w:pPr>
              <w:spacing w:after="0" w:line="183" w:lineRule="exact"/>
              <w:rPr>
                <w:rFonts w:ascii="Arial" w:cs="Arial" w:eastAsia="Arial" w:hAnsi="Arial"/>
                <w:sz w:val="16"/>
                <w:szCs w:val="16"/>
                <w:color w:val="0000EE"/>
                <w:w w:val="93"/>
              </w:rPr>
            </w:pPr>
            <w:hyperlink w:anchor="page115">
              <w:r>
                <w:rPr>
                  <w:rFonts w:ascii="Arial" w:cs="Arial" w:eastAsia="Arial" w:hAnsi="Arial"/>
                  <w:sz w:val="16"/>
                  <w:szCs w:val="16"/>
                  <w:color w:val="0000EE"/>
                  <w:w w:val="93"/>
                </w:rPr>
                <w:t>Apparel Group, Ltd.’s Annual Report on Form 10-K for the year ended</w:t>
              </w:r>
            </w:hyperlink>
          </w:p>
        </w:tc>
        <w:tc>
          <w:tcPr>
            <w:tcW w:w="120" w:type="dxa"/>
            <w:vAlign w:val="bottom"/>
            <w:tcBorders>
              <w:top w:val="single" w:sz="8" w:color="0000EE"/>
            </w:tcBorders>
            <w:gridSpan w:val="4"/>
          </w:tcPr>
          <w:p>
            <w:pPr>
              <w:spacing w:after="0"/>
              <w:rPr>
                <w:sz w:val="15"/>
                <w:szCs w:val="15"/>
                <w:color w:val="auto"/>
              </w:rPr>
            </w:pPr>
          </w:p>
        </w:tc>
        <w:tc>
          <w:tcPr>
            <w:tcW w:w="580" w:type="dxa"/>
            <w:vAlign w:val="bottom"/>
            <w:gridSpan w:val="17"/>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0000EE"/>
            </w:tcBorders>
            <w:gridSpan w:val="7"/>
          </w:tcPr>
          <w:p>
            <w:pPr>
              <w:spacing w:after="0" w:line="183" w:lineRule="exact"/>
              <w:rPr>
                <w:rFonts w:ascii="Arial" w:cs="Arial" w:eastAsia="Arial" w:hAnsi="Arial"/>
                <w:sz w:val="16"/>
                <w:szCs w:val="16"/>
                <w:color w:val="0000EE"/>
                <w:w w:val="88"/>
              </w:rPr>
            </w:pPr>
            <w:hyperlink w:anchor="page115">
              <w:r>
                <w:rPr>
                  <w:rFonts w:ascii="Arial" w:cs="Arial" w:eastAsia="Arial" w:hAnsi="Arial"/>
                  <w:sz w:val="16"/>
                  <w:szCs w:val="16"/>
                  <w:color w:val="0000EE"/>
                  <w:w w:val="88"/>
                </w:rPr>
                <w:t>January 31, 2020.</w:t>
              </w:r>
            </w:hyperlink>
          </w:p>
        </w:tc>
        <w:tc>
          <w:tcPr>
            <w:tcW w:w="4160" w:type="dxa"/>
            <w:vAlign w:val="bottom"/>
            <w:gridSpan w:val="30"/>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-6428740</wp:posOffset>
            </wp:positionV>
            <wp:extent cx="774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6">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-6428740</wp:posOffset>
            </wp:positionV>
            <wp:extent cx="774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7">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-6428740</wp:posOffset>
            </wp:positionV>
            <wp:extent cx="774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8">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-6428740</wp:posOffset>
            </wp:positionV>
            <wp:extent cx="768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9">
                      <a:extLst>
                        <a:ext uri="{28A0092B-C50C-407E-A947-70E740481C1C}"/>
                      </a:extLst>
                    </a:blip>
                    <a:srcRect/>
                    <a:stretch>
                      <a:fillRect/>
                    </a:stretch>
                  </pic:blipFill>
                  <pic:spPr bwMode="auto">
                    <a:xfrm>
                      <a:off x="0" y="0"/>
                      <a:ext cx="7683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101.INS*</w:t>
            </w: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iXBRL Instance Document.</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340" w:type="dxa"/>
            <w:vAlign w:val="bottom"/>
            <w:gridSpan w:val="2"/>
          </w:tcPr>
          <w:p>
            <w:pPr>
              <w:spacing w:after="0"/>
              <w:rPr>
                <w:sz w:val="20"/>
                <w:szCs w:val="20"/>
                <w:color w:val="auto"/>
              </w:rPr>
            </w:pPr>
            <w:r>
              <w:rPr>
                <w:rFonts w:ascii="Arial" w:cs="Arial" w:eastAsia="Arial" w:hAnsi="Arial"/>
                <w:sz w:val="16"/>
                <w:szCs w:val="16"/>
                <w:color w:val="auto"/>
              </w:rPr>
              <w:t>iXBRL Schema Document.</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61"/>
        </w:trPr>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820" w:type="dxa"/>
            <w:vAlign w:val="bottom"/>
            <w:gridSpan w:val="2"/>
            <w:vMerge w:val="continue"/>
          </w:tcPr>
          <w:p>
            <w:pPr>
              <w:spacing w:after="0"/>
              <w:rPr>
                <w:sz w:val="10"/>
                <w:szCs w:val="10"/>
                <w:color w:val="auto"/>
              </w:rPr>
            </w:pPr>
          </w:p>
        </w:tc>
        <w:tc>
          <w:tcPr>
            <w:tcW w:w="534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rPr>
              <w:t>Document</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File No.</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Filed</w:t>
            </w:r>
          </w:p>
        </w:tc>
        <w:tc>
          <w:tcPr>
            <w:tcW w:w="0" w:type="dxa"/>
            <w:vAlign w:val="bottom"/>
          </w:tcPr>
          <w:p>
            <w:pPr>
              <w:spacing w:after="0"/>
              <w:rPr>
                <w:sz w:val="1"/>
                <w:szCs w:val="1"/>
                <w:color w:val="auto"/>
              </w:rPr>
            </w:pPr>
          </w:p>
        </w:tc>
      </w:tr>
      <w:tr>
        <w:trPr>
          <w:trHeight w:val="105"/>
        </w:trPr>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w:t>
            </w:r>
          </w:p>
        </w:tc>
        <w:tc>
          <w:tcPr>
            <w:tcW w:w="53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820" w:type="dxa"/>
            <w:vAlign w:val="bottom"/>
            <w:gridSpan w:val="2"/>
            <w:vMerge w:val="continue"/>
          </w:tcPr>
          <w:p>
            <w:pPr>
              <w:spacing w:after="0"/>
              <w:rPr>
                <w:sz w:val="5"/>
                <w:szCs w:val="5"/>
                <w:color w:val="auto"/>
              </w:rPr>
            </w:pPr>
          </w:p>
        </w:tc>
        <w:tc>
          <w:tcPr>
            <w:tcW w:w="5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6"/>
              </w:rPr>
              <w:t>101.CAL*</w:t>
            </w:r>
          </w:p>
        </w:tc>
        <w:tc>
          <w:tcPr>
            <w:tcW w:w="120" w:type="dxa"/>
            <w:vAlign w:val="bottom"/>
            <w:tcBorders>
              <w:top w:val="single" w:sz="8" w:color="CCEEFF"/>
            </w:tcBorders>
            <w:shd w:val="clear" w:color="auto" w:fill="CCEEFF"/>
          </w:tcPr>
          <w:p>
            <w:pPr>
              <w:spacing w:after="0"/>
              <w:rPr>
                <w:sz w:val="17"/>
                <w:szCs w:val="17"/>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iXBRL Calculation Linkbase Document.</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340" w:type="dxa"/>
            <w:vAlign w:val="bottom"/>
            <w:gridSpan w:val="2"/>
          </w:tcPr>
          <w:p>
            <w:pPr>
              <w:spacing w:after="0"/>
              <w:rPr>
                <w:sz w:val="20"/>
                <w:szCs w:val="20"/>
                <w:color w:val="auto"/>
              </w:rPr>
            </w:pPr>
            <w:r>
              <w:rPr>
                <w:rFonts w:ascii="Arial" w:cs="Arial" w:eastAsia="Arial" w:hAnsi="Arial"/>
                <w:sz w:val="16"/>
                <w:szCs w:val="16"/>
                <w:color w:val="auto"/>
              </w:rPr>
              <w:t>iXBRL Extension Definition.</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iXBRL Label Linkbase Document.</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340" w:type="dxa"/>
            <w:vAlign w:val="bottom"/>
            <w:gridSpan w:val="2"/>
          </w:tcPr>
          <w:p>
            <w:pPr>
              <w:spacing w:after="0"/>
              <w:rPr>
                <w:sz w:val="20"/>
                <w:szCs w:val="20"/>
                <w:color w:val="auto"/>
              </w:rPr>
            </w:pPr>
            <w:r>
              <w:rPr>
                <w:rFonts w:ascii="Arial" w:cs="Arial" w:eastAsia="Arial" w:hAnsi="Arial"/>
                <w:sz w:val="16"/>
                <w:szCs w:val="16"/>
                <w:color w:val="auto"/>
              </w:rPr>
              <w:t>iXBRL Presentation Linkbase Document.</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Cover Page Interactive Data File (embedded within the Inline XBRL document)</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-659765</wp:posOffset>
            </wp:positionV>
            <wp:extent cx="768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1">
                      <a:extLst>
                        <a:ext uri="{28A0092B-C50C-407E-A947-70E740481C1C}"/>
                      </a:extLst>
                    </a:blip>
                    <a:srcRect/>
                    <a:stretch>
                      <a:fillRect/>
                    </a:stretch>
                  </pic:blipFill>
                  <pic:spPr bwMode="auto">
                    <a:xfrm>
                      <a:off x="0" y="0"/>
                      <a:ext cx="76835" cy="171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-659765</wp:posOffset>
            </wp:positionV>
            <wp:extent cx="774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2">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-659765</wp:posOffset>
            </wp:positionV>
            <wp:extent cx="774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3">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-659765</wp:posOffset>
            </wp:positionV>
            <wp:extent cx="774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4">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111125</wp:posOffset>
            </wp:positionV>
            <wp:extent cx="1414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49" w:lineRule="exact"/>
        <w:rPr>
          <w:sz w:val="20"/>
          <w:szCs w:val="20"/>
          <w:color w:val="auto"/>
        </w:rPr>
      </w:pPr>
    </w:p>
    <w:p>
      <w:pPr>
        <w:ind w:left="360" w:hanging="31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380" w:right="79" w:hanging="330"/>
        <w:spacing w:after="0" w:line="286" w:lineRule="auto"/>
        <w:tabs>
          <w:tab w:leader="none" w:pos="382"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Exhibits have been included in copies of this Report filed with the Securities and Exchange Commission. We will provide, without charge, a copy of these exhibits to each stockholder upon the written request of any such stockholder. All such requests should be directed to Investor Relations, G-III Apparel Group, Ltd., 512 Seventh Avenue, 31st floor, New York, New York 10018.</w:t>
      </w:r>
    </w:p>
    <w:p>
      <w:pPr>
        <w:spacing w:after="0" w:line="18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60" w:type="dxa"/>
            <w:vAlign w:val="bottom"/>
            <w:gridSpan w:val="9"/>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250"/>
        </w:trPr>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16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4.2</w:t>
            </w:r>
          </w:p>
        </w:tc>
        <w:tc>
          <w:tcPr>
            <w:tcW w:w="18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Description of Securities.</w:t>
              </w:r>
            </w:hyperlink>
          </w:p>
        </w:tc>
        <w:tc>
          <w:tcPr>
            <w:tcW w:w="5460" w:type="dxa"/>
            <w:vAlign w:val="bottom"/>
            <w:tcBorders>
              <w:bottom w:val="single" w:sz="8" w:color="CCEEFF"/>
            </w:tcBorders>
            <w:gridSpan w:val="9"/>
            <w:shd w:val="clear" w:color="auto" w:fill="CCEEFF"/>
          </w:tcPr>
          <w:p>
            <w:pPr>
              <w:spacing w:after="0"/>
              <w:rPr>
                <w:sz w:val="17"/>
                <w:szCs w:val="17"/>
                <w:color w:val="auto"/>
              </w:rPr>
            </w:pPr>
          </w:p>
        </w:tc>
      </w:tr>
      <w:tr>
        <w:trPr>
          <w:trHeight w:val="176"/>
        </w:trPr>
        <w:tc>
          <w:tcPr>
            <w:tcW w:w="1600" w:type="dxa"/>
            <w:vAlign w:val="bottom"/>
          </w:tcPr>
          <w:p>
            <w:pPr>
              <w:ind w:left="20"/>
              <w:spacing w:after="0" w:line="176" w:lineRule="exact"/>
              <w:rPr>
                <w:sz w:val="20"/>
                <w:szCs w:val="20"/>
                <w:color w:val="auto"/>
              </w:rPr>
            </w:pPr>
            <w:r>
              <w:rPr>
                <w:rFonts w:ascii="Arial" w:cs="Arial" w:eastAsia="Arial" w:hAnsi="Arial"/>
                <w:sz w:val="18"/>
                <w:szCs w:val="18"/>
                <w:color w:val="auto"/>
              </w:rPr>
              <w:t>21</w:t>
            </w:r>
          </w:p>
        </w:tc>
        <w:tc>
          <w:tcPr>
            <w:tcW w:w="7300" w:type="dxa"/>
            <w:vAlign w:val="bottom"/>
            <w:gridSpan w:val="12"/>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Subsidiaries of G-III.</w:t>
              </w:r>
            </w:hyperlink>
          </w:p>
        </w:tc>
      </w:tr>
      <w:tr>
        <w:trPr>
          <w:trHeight w:val="21"/>
        </w:trPr>
        <w:tc>
          <w:tcPr>
            <w:tcW w:w="160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23.1</w:t>
            </w:r>
          </w:p>
        </w:tc>
        <w:tc>
          <w:tcPr>
            <w:tcW w:w="7300" w:type="dxa"/>
            <w:vAlign w:val="bottom"/>
            <w:gridSpan w:val="12"/>
            <w:shd w:val="clear" w:color="auto" w:fill="CCEEFF"/>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Consent of Independent Registered Public Accounting Firm, Ernst &amp; Young LLP.</w:t>
              </w:r>
            </w:hyperlink>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0" w:type="dxa"/>
            <w:vAlign w:val="bottom"/>
          </w:tcPr>
          <w:p>
            <w:pPr>
              <w:spacing w:after="0"/>
              <w:rPr>
                <w:sz w:val="15"/>
                <w:szCs w:val="15"/>
                <w:color w:val="auto"/>
              </w:rPr>
            </w:pPr>
          </w:p>
        </w:tc>
        <w:tc>
          <w:tcPr>
            <w:tcW w:w="7300" w:type="dxa"/>
            <w:vAlign w:val="bottom"/>
            <w:gridSpan w:val="12"/>
          </w:tcPr>
          <w:p>
            <w:pPr>
              <w:spacing w:after="0" w:line="17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Certification by Morris Goldfarb, Chief Executive Officer of G-III Apparel Group, Ltd., pursuant to</w:t>
              </w:r>
            </w:hyperlink>
          </w:p>
        </w:tc>
      </w:tr>
      <w:tr>
        <w:trPr>
          <w:trHeight w:val="196"/>
        </w:trPr>
        <w:tc>
          <w:tcPr>
            <w:tcW w:w="1600" w:type="dxa"/>
            <w:vAlign w:val="bottom"/>
          </w:tcPr>
          <w:p>
            <w:pPr>
              <w:spacing w:after="0"/>
              <w:rPr>
                <w:sz w:val="17"/>
                <w:szCs w:val="17"/>
                <w:color w:val="auto"/>
              </w:rPr>
            </w:pPr>
          </w:p>
        </w:tc>
        <w:tc>
          <w:tcPr>
            <w:tcW w:w="720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Rule 13a – 14(a) or Rule 15d – 14(a) of the Securities Exchange Act of 1934, as amended, in</w:t>
              </w:r>
            </w:hyperlink>
          </w:p>
        </w:tc>
        <w:tc>
          <w:tcPr>
            <w:tcW w:w="100" w:type="dxa"/>
            <w:vAlign w:val="bottom"/>
            <w:gridSpan w:val="2"/>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38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71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connection with G-III Apparel Group, Ltd.’s Annual Report on Form 10-K for the fiscal year ended</w:t>
              </w:r>
            </w:hyperlink>
          </w:p>
        </w:tc>
        <w:tc>
          <w:tcPr>
            <w:tcW w:w="120" w:type="dxa"/>
            <w:vAlign w:val="bottom"/>
            <w:gridSpan w:val="3"/>
          </w:tcPr>
          <w:p>
            <w:pPr>
              <w:spacing w:after="0"/>
              <w:rPr>
                <w:sz w:val="17"/>
                <w:szCs w:val="17"/>
                <w:color w:val="auto"/>
              </w:rPr>
            </w:pPr>
          </w:p>
        </w:tc>
      </w:tr>
      <w:tr>
        <w:trPr>
          <w:trHeight w:val="196"/>
        </w:trPr>
        <w:tc>
          <w:tcPr>
            <w:tcW w:w="160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7300" w:type="dxa"/>
            <w:vAlign w:val="bottom"/>
            <w:gridSpan w:val="1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January 31, 2020.</w:t>
              </w:r>
            </w:hyperlink>
          </w:p>
        </w:tc>
      </w:tr>
      <w:tr>
        <w:trPr>
          <w:trHeight w:val="20"/>
        </w:trPr>
        <w:tc>
          <w:tcPr>
            <w:tcW w:w="160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spacing w:after="0"/>
              <w:rPr>
                <w:sz w:val="15"/>
                <w:szCs w:val="15"/>
                <w:color w:val="auto"/>
              </w:rPr>
            </w:pPr>
          </w:p>
        </w:tc>
        <w:tc>
          <w:tcPr>
            <w:tcW w:w="7300" w:type="dxa"/>
            <w:vAlign w:val="bottom"/>
            <w:gridSpan w:val="12"/>
            <w:shd w:val="clear" w:color="auto" w:fill="CCEEFF"/>
          </w:tcPr>
          <w:p>
            <w:pPr>
              <w:spacing w:after="0" w:line="17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Certification by Neal S. Nackman, Chief Financial Officer of G-III Apparel Group, Ltd., pursuant to</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722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w w:val="96"/>
              </w:rPr>
            </w:pPr>
            <w:hyperlink w:anchor="page113">
              <w:r>
                <w:rPr>
                  <w:rFonts w:ascii="Arial" w:cs="Arial" w:eastAsia="Arial" w:hAnsi="Arial"/>
                  <w:sz w:val="18"/>
                  <w:szCs w:val="18"/>
                  <w:color w:val="0000EE"/>
                  <w:w w:val="96"/>
                </w:rPr>
                <w:t>Rule 13a – 14(a) or Rule 15d – 14(a) of the Securities Exchange Act of 1934, as amended, in</w:t>
              </w:r>
            </w:hyperlink>
          </w:p>
        </w:tc>
        <w:tc>
          <w:tcPr>
            <w:tcW w:w="80" w:type="dxa"/>
            <w:vAlign w:val="bottom"/>
            <w:tcBorders>
              <w:top w:val="single" w:sz="8" w:color="CCEEFF"/>
            </w:tcBorders>
            <w:shd w:val="clear" w:color="auto" w:fill="CCEEFF"/>
          </w:tcPr>
          <w:p>
            <w:pPr>
              <w:spacing w:after="0"/>
              <w:rPr>
                <w:sz w:val="17"/>
                <w:szCs w:val="17"/>
                <w:color w:val="auto"/>
              </w:rPr>
            </w:pPr>
          </w:p>
        </w:tc>
      </w:tr>
      <w:tr>
        <w:trPr>
          <w:trHeight w:val="20"/>
        </w:trPr>
        <w:tc>
          <w:tcPr>
            <w:tcW w:w="1600" w:type="dxa"/>
            <w:vAlign w:val="bottom"/>
            <w:shd w:val="clear" w:color="auto" w:fill="CCEEFF"/>
          </w:tcPr>
          <w:p>
            <w:pPr>
              <w:spacing w:after="0" w:line="20" w:lineRule="exact"/>
              <w:rPr>
                <w:sz w:val="1"/>
                <w:szCs w:val="1"/>
                <w:color w:val="auto"/>
              </w:rPr>
            </w:pPr>
          </w:p>
        </w:tc>
        <w:tc>
          <w:tcPr>
            <w:tcW w:w="6660" w:type="dxa"/>
            <w:vAlign w:val="bottom"/>
            <w:gridSpan w:val="7"/>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gridSpan w:val="4"/>
            <w:shd w:val="clear" w:color="auto" w:fill="CCEEFF"/>
          </w:tcPr>
          <w:p>
            <w:pPr>
              <w:spacing w:after="0" w:line="20" w:lineRule="exact"/>
              <w:rPr>
                <w:sz w:val="1"/>
                <w:szCs w:val="1"/>
                <w:color w:val="auto"/>
              </w:rPr>
            </w:pPr>
          </w:p>
        </w:tc>
      </w:tr>
      <w:tr>
        <w:trPr>
          <w:trHeight w:val="196"/>
        </w:trPr>
        <w:tc>
          <w:tcPr>
            <w:tcW w:w="16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connection with G-III Apparel Group, Ltd.’s Annual Report on Form 10-K for the fiscal year ended</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31.2</w:t>
            </w:r>
          </w:p>
        </w:tc>
        <w:tc>
          <w:tcPr>
            <w:tcW w:w="7300" w:type="dxa"/>
            <w:vAlign w:val="bottom"/>
            <w:gridSpan w:val="12"/>
            <w:shd w:val="clear" w:color="auto" w:fill="CCEEFF"/>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January 31, 2020.</w:t>
              </w:r>
            </w:hyperlink>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0" w:type="dxa"/>
            <w:vAlign w:val="bottom"/>
          </w:tcPr>
          <w:p>
            <w:pPr>
              <w:spacing w:after="0"/>
              <w:rPr>
                <w:sz w:val="15"/>
                <w:szCs w:val="15"/>
                <w:color w:val="auto"/>
              </w:rPr>
            </w:pPr>
          </w:p>
        </w:tc>
        <w:tc>
          <w:tcPr>
            <w:tcW w:w="7300" w:type="dxa"/>
            <w:vAlign w:val="bottom"/>
            <w:gridSpan w:val="12"/>
          </w:tcPr>
          <w:p>
            <w:pPr>
              <w:spacing w:after="0" w:line="176" w:lineRule="exact"/>
              <w:rPr>
                <w:rFonts w:ascii="Arial" w:cs="Arial" w:eastAsia="Arial" w:hAnsi="Arial"/>
                <w:sz w:val="18"/>
                <w:szCs w:val="18"/>
                <w:color w:val="0000EE"/>
                <w:w w:val="95"/>
              </w:rPr>
            </w:pPr>
            <w:hyperlink w:anchor="page114">
              <w:r>
                <w:rPr>
                  <w:rFonts w:ascii="Arial" w:cs="Arial" w:eastAsia="Arial" w:hAnsi="Arial"/>
                  <w:sz w:val="18"/>
                  <w:szCs w:val="18"/>
                  <w:color w:val="0000EE"/>
                  <w:w w:val="95"/>
                </w:rPr>
                <w:t>Certification by Morris Goldfarb, Chief Executive Officer of G-III Apparel Group, Ltd., pursuant to</w:t>
              </w:r>
            </w:hyperlink>
          </w:p>
        </w:tc>
      </w:tr>
      <w:tr>
        <w:trPr>
          <w:trHeight w:val="196"/>
        </w:trPr>
        <w:tc>
          <w:tcPr>
            <w:tcW w:w="160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18 U.S.C. Section 1350, as adopted pursuant to Section 906 of the Sarbanes-Oxley Act of 2002, in</w:t>
              </w:r>
            </w:hyperlink>
          </w:p>
        </w:tc>
        <w:tc>
          <w:tcPr>
            <w:tcW w:w="10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71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connection with G-III Apparel Group, Ltd.’s Annual Report on Form 10-K for the fiscal year ended</w:t>
              </w:r>
            </w:hyperlink>
          </w:p>
        </w:tc>
        <w:tc>
          <w:tcPr>
            <w:tcW w:w="120" w:type="dxa"/>
            <w:vAlign w:val="bottom"/>
            <w:gridSpan w:val="3"/>
          </w:tcPr>
          <w:p>
            <w:pPr>
              <w:spacing w:after="0"/>
              <w:rPr>
                <w:sz w:val="17"/>
                <w:szCs w:val="17"/>
                <w:color w:val="auto"/>
              </w:rPr>
            </w:pPr>
          </w:p>
        </w:tc>
      </w:tr>
      <w:tr>
        <w:trPr>
          <w:trHeight w:val="196"/>
        </w:trPr>
        <w:tc>
          <w:tcPr>
            <w:tcW w:w="160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7300" w:type="dxa"/>
            <w:vAlign w:val="bottom"/>
            <w:gridSpan w:val="12"/>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January 31, 2020.</w:t>
              </w:r>
            </w:hyperlink>
          </w:p>
        </w:tc>
      </w:tr>
      <w:tr>
        <w:trPr>
          <w:trHeight w:val="21"/>
        </w:trPr>
        <w:tc>
          <w:tcPr>
            <w:tcW w:w="160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spacing w:after="0"/>
              <w:rPr>
                <w:sz w:val="15"/>
                <w:szCs w:val="15"/>
                <w:color w:val="auto"/>
              </w:rPr>
            </w:pPr>
          </w:p>
        </w:tc>
        <w:tc>
          <w:tcPr>
            <w:tcW w:w="7300" w:type="dxa"/>
            <w:vAlign w:val="bottom"/>
            <w:gridSpan w:val="12"/>
            <w:shd w:val="clear" w:color="auto" w:fill="CCEEFF"/>
          </w:tcPr>
          <w:p>
            <w:pPr>
              <w:spacing w:after="0" w:line="17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Certification by Neal S. Nackman, Chief Financial Officer of G-III Apparel Group, Ltd., pursuant to</w:t>
              </w:r>
            </w:hyperlink>
          </w:p>
        </w:tc>
      </w:tr>
      <w:tr>
        <w:trPr>
          <w:trHeight w:val="196"/>
        </w:trPr>
        <w:tc>
          <w:tcPr>
            <w:tcW w:w="1600" w:type="dxa"/>
            <w:vAlign w:val="bottom"/>
            <w:tcBorders>
              <w:top w:val="single" w:sz="8" w:color="CCEEFF"/>
              <w:bottom w:val="single" w:sz="8" w:color="CCEEFF"/>
            </w:tcBorders>
            <w:shd w:val="clear" w:color="auto" w:fill="CCEEFF"/>
          </w:tcPr>
          <w:p>
            <w:pPr>
              <w:spacing w:after="0"/>
              <w:rPr>
                <w:sz w:val="17"/>
                <w:szCs w:val="17"/>
                <w:color w:val="auto"/>
              </w:rPr>
            </w:pPr>
          </w:p>
        </w:tc>
        <w:tc>
          <w:tcPr>
            <w:tcW w:w="7100" w:type="dxa"/>
            <w:vAlign w:val="bottom"/>
            <w:tcBorders>
              <w:top w:val="single" w:sz="8" w:color="0000EE"/>
              <w:bottom w:val="single" w:sz="8" w:color="0000EE"/>
            </w:tcBorders>
            <w:gridSpan w:val="8"/>
            <w:shd w:val="clear" w:color="auto" w:fill="CCEEFF"/>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18 U.S.C. Section 1350, as adopted pursuant to Section 906 of the Sarbanes-Oxley Act of 2002, in</w:t>
              </w:r>
            </w:hyperlink>
          </w:p>
        </w:tc>
        <w:tc>
          <w:tcPr>
            <w:tcW w:w="12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6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connection with G-III Apparel Group, Ltd.’s Annual Report on Form 10-K for the fiscal year ended</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32.2</w:t>
            </w:r>
          </w:p>
        </w:tc>
        <w:tc>
          <w:tcPr>
            <w:tcW w:w="7300" w:type="dxa"/>
            <w:vAlign w:val="bottom"/>
            <w:gridSpan w:val="12"/>
            <w:shd w:val="clear" w:color="auto" w:fill="CCEEFF"/>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January 31, 2020.</w:t>
              </w:r>
            </w:hyperlink>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8"/>
                <w:szCs w:val="18"/>
                <w:color w:val="auto"/>
              </w:rPr>
              <w:t>101.INS</w:t>
            </w:r>
          </w:p>
        </w:tc>
        <w:tc>
          <w:tcPr>
            <w:tcW w:w="7300" w:type="dxa"/>
            <w:vAlign w:val="bottom"/>
            <w:gridSpan w:val="12"/>
          </w:tcPr>
          <w:p>
            <w:pPr>
              <w:spacing w:after="0"/>
              <w:rPr>
                <w:sz w:val="20"/>
                <w:szCs w:val="20"/>
                <w:color w:val="auto"/>
              </w:rPr>
            </w:pPr>
            <w:r>
              <w:rPr>
                <w:rFonts w:ascii="Arial" w:cs="Arial" w:eastAsia="Arial" w:hAnsi="Arial"/>
                <w:sz w:val="18"/>
                <w:szCs w:val="18"/>
                <w:color w:val="auto"/>
              </w:rPr>
              <w:t>iXBRL Instance Document.</w:t>
            </w: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730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iXBRL Schema Document.</w:t>
            </w:r>
          </w:p>
        </w:tc>
      </w:tr>
      <w:tr>
        <w:trPr>
          <w:trHeight w:val="216"/>
        </w:trPr>
        <w:tc>
          <w:tcPr>
            <w:tcW w:w="1600" w:type="dxa"/>
            <w:vAlign w:val="bottom"/>
          </w:tcPr>
          <w:p>
            <w:pPr>
              <w:ind w:left="20"/>
              <w:spacing w:after="0"/>
              <w:rPr>
                <w:sz w:val="20"/>
                <w:szCs w:val="20"/>
                <w:color w:val="auto"/>
              </w:rPr>
            </w:pPr>
            <w:r>
              <w:rPr>
                <w:rFonts w:ascii="Arial" w:cs="Arial" w:eastAsia="Arial" w:hAnsi="Arial"/>
                <w:sz w:val="18"/>
                <w:szCs w:val="18"/>
                <w:color w:val="auto"/>
              </w:rPr>
              <w:t>101.CAL</w:t>
            </w:r>
          </w:p>
        </w:tc>
        <w:tc>
          <w:tcPr>
            <w:tcW w:w="7300" w:type="dxa"/>
            <w:vAlign w:val="bottom"/>
            <w:gridSpan w:val="12"/>
          </w:tcPr>
          <w:p>
            <w:pPr>
              <w:spacing w:after="0"/>
              <w:rPr>
                <w:sz w:val="20"/>
                <w:szCs w:val="20"/>
                <w:color w:val="auto"/>
              </w:rPr>
            </w:pPr>
            <w:r>
              <w:rPr>
                <w:rFonts w:ascii="Arial" w:cs="Arial" w:eastAsia="Arial" w:hAnsi="Arial"/>
                <w:sz w:val="18"/>
                <w:szCs w:val="18"/>
                <w:color w:val="auto"/>
              </w:rPr>
              <w:t>iXBRL Calculation Linkbase Document.</w:t>
            </w: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730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iXBRL Extension Definition.</w:t>
            </w:r>
          </w:p>
        </w:tc>
      </w:tr>
      <w:tr>
        <w:trPr>
          <w:trHeight w:val="216"/>
        </w:trPr>
        <w:tc>
          <w:tcPr>
            <w:tcW w:w="1600" w:type="dxa"/>
            <w:vAlign w:val="bottom"/>
          </w:tcPr>
          <w:p>
            <w:pPr>
              <w:ind w:left="20"/>
              <w:spacing w:after="0"/>
              <w:rPr>
                <w:sz w:val="20"/>
                <w:szCs w:val="20"/>
                <w:color w:val="auto"/>
              </w:rPr>
            </w:pPr>
            <w:r>
              <w:rPr>
                <w:rFonts w:ascii="Arial" w:cs="Arial" w:eastAsia="Arial" w:hAnsi="Arial"/>
                <w:sz w:val="18"/>
                <w:szCs w:val="18"/>
                <w:color w:val="auto"/>
              </w:rPr>
              <w:t>101.LAB</w:t>
            </w:r>
          </w:p>
        </w:tc>
        <w:tc>
          <w:tcPr>
            <w:tcW w:w="7300" w:type="dxa"/>
            <w:vAlign w:val="bottom"/>
            <w:gridSpan w:val="12"/>
          </w:tcPr>
          <w:p>
            <w:pPr>
              <w:spacing w:after="0"/>
              <w:rPr>
                <w:sz w:val="20"/>
                <w:szCs w:val="20"/>
                <w:color w:val="auto"/>
              </w:rPr>
            </w:pPr>
            <w:r>
              <w:rPr>
                <w:rFonts w:ascii="Arial" w:cs="Arial" w:eastAsia="Arial" w:hAnsi="Arial"/>
                <w:sz w:val="18"/>
                <w:szCs w:val="18"/>
                <w:color w:val="auto"/>
              </w:rPr>
              <w:t>iXBRL Label Linkbase Document.</w:t>
            </w: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730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iXBRL Presentation Linkbase Document.</w:t>
            </w: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104</w:t>
            </w:r>
          </w:p>
        </w:tc>
        <w:tc>
          <w:tcPr>
            <w:tcW w:w="7300" w:type="dxa"/>
            <w:vAlign w:val="bottom"/>
            <w:gridSpan w:val="1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G-III APPAREL GROUP, LTD.</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14605</wp:posOffset>
            </wp:positionV>
            <wp:extent cx="24345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30, 2020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85"/>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Morris Goldfarb</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Director, Chairman of the Board and Chief</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Morris Goldfarb</w:t>
            </w:r>
          </w:p>
        </w:tc>
        <w:tc>
          <w:tcPr>
            <w:tcW w:w="160" w:type="dxa"/>
            <w:vAlign w:val="bottom"/>
          </w:tcPr>
          <w:p>
            <w:pPr>
              <w:spacing w:after="0"/>
              <w:rPr>
                <w:sz w:val="19"/>
                <w:szCs w:val="19"/>
                <w:color w:val="auto"/>
              </w:rPr>
            </w:pPr>
          </w:p>
        </w:tc>
        <w:tc>
          <w:tcPr>
            <w:tcW w:w="37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Executive Officer (principal executive officer)</w:t>
            </w: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Neal S. Nackman</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Chief Financial Officer (principal financial and</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Neal S. Nackman</w:t>
            </w:r>
          </w:p>
        </w:tc>
        <w:tc>
          <w:tcPr>
            <w:tcW w:w="160" w:type="dxa"/>
            <w:vAlign w:val="bottom"/>
          </w:tcPr>
          <w:p>
            <w:pPr>
              <w:spacing w:after="0"/>
              <w:rPr>
                <w:sz w:val="19"/>
                <w:szCs w:val="19"/>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accounting officer)</w:t>
            </w: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Sammy Aaron</w:t>
            </w:r>
          </w:p>
        </w:tc>
        <w:tc>
          <w:tcPr>
            <w:tcW w:w="160" w:type="dxa"/>
            <w:vAlign w:val="bottom"/>
          </w:tcPr>
          <w:p>
            <w:pPr>
              <w:spacing w:after="0"/>
              <w:rPr>
                <w:sz w:val="24"/>
                <w:szCs w:val="24"/>
                <w:color w:val="auto"/>
              </w:rPr>
            </w:pPr>
          </w:p>
        </w:tc>
        <w:tc>
          <w:tcPr>
            <w:tcW w:w="37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Director, Vice Chairman and President</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Sammy Aaron</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J. Brosig</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Thomas J. Brosig</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Alan Feller</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Alan Feller</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Goldfarb</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Jeffrey Goldfarb</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8"/>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Victor Herrero</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Victor Herrero</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Jeanette Nostra</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Jeanette Nostra</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 Pomerantz</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Laura Pomerantz</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Willem van Bokhorst</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Willem van Bokhorst</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7"/>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7"/>
              </w:rPr>
              <w:t>March , 2020</w:t>
            </w:r>
          </w:p>
        </w:tc>
      </w:tr>
      <w:tr>
        <w:trPr>
          <w:trHeight w:val="224"/>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Cheryl Vitali</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77"/>
        </w:trPr>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White</w:t>
            </w:r>
          </w:p>
        </w:tc>
        <w:tc>
          <w:tcPr>
            <w:tcW w:w="160" w:type="dxa"/>
            <w:vAlign w:val="bottom"/>
          </w:tcPr>
          <w:p>
            <w:pPr>
              <w:spacing w:after="0"/>
              <w:rPr>
                <w:sz w:val="24"/>
                <w:szCs w:val="24"/>
                <w:color w:val="auto"/>
              </w:rPr>
            </w:pPr>
          </w:p>
        </w:tc>
        <w:tc>
          <w:tcPr>
            <w:tcW w:w="37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March 30, 2020</w:t>
            </w:r>
          </w:p>
        </w:tc>
      </w:tr>
      <w:tr>
        <w:trPr>
          <w:trHeight w:val="224"/>
        </w:trPr>
        <w:tc>
          <w:tcPr>
            <w:tcW w:w="3060" w:type="dxa"/>
            <w:vAlign w:val="bottom"/>
            <w:gridSpan w:val="2"/>
          </w:tcPr>
          <w:p>
            <w:pPr>
              <w:spacing w:after="0"/>
              <w:rPr>
                <w:sz w:val="20"/>
                <w:szCs w:val="20"/>
                <w:color w:val="auto"/>
              </w:rPr>
            </w:pPr>
            <w:r>
              <w:rPr>
                <w:rFonts w:ascii="Arial" w:cs="Arial" w:eastAsia="Arial" w:hAnsi="Arial"/>
                <w:sz w:val="18"/>
                <w:szCs w:val="18"/>
                <w:color w:val="auto"/>
              </w:rPr>
              <w:t>Richard White</w:t>
            </w:r>
          </w:p>
        </w:tc>
        <w:tc>
          <w:tcPr>
            <w:tcW w:w="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15(a)) G-III Apparel Group, Ltd. and Subsidiaries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00" w:type="dxa"/>
            <w:vAlign w:val="bottom"/>
            <w:gridSpan w:val="8"/>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Reports of Independent Registered Public Accounting Firm</w:t>
              </w:r>
            </w:hyperlink>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300" w:type="dxa"/>
            <w:vAlign w:val="bottom"/>
            <w:gridSpan w:val="8"/>
            <w:vMerge w:val="continue"/>
          </w:tcPr>
          <w:p>
            <w:pPr>
              <w:spacing w:after="0"/>
              <w:rPr>
                <w:sz w:val="14"/>
                <w:szCs w:val="14"/>
                <w:color w:val="auto"/>
              </w:rPr>
            </w:pPr>
          </w:p>
        </w:tc>
        <w:tc>
          <w:tcPr>
            <w:tcW w:w="600" w:type="dxa"/>
            <w:vAlign w:val="bottom"/>
          </w:tcPr>
          <w:p>
            <w:pPr>
              <w:ind w:left="160"/>
              <w:spacing w:after="0" w:line="169"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42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Balance Sheets</w:t>
              </w:r>
            </w:hyperlink>
          </w:p>
        </w:tc>
        <w:tc>
          <w:tcPr>
            <w:tcW w:w="4020" w:type="dxa"/>
            <w:vAlign w:val="bottom"/>
            <w:gridSpan w:val="2"/>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Income and Comprehensive Income</w:t>
              </w:r>
            </w:hyperlink>
          </w:p>
        </w:tc>
        <w:tc>
          <w:tcPr>
            <w:tcW w:w="600" w:type="dxa"/>
            <w:vAlign w:val="bottom"/>
          </w:tcPr>
          <w:p>
            <w:pPr>
              <w:ind w:left="16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46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Stockholders’ Equity</w:t>
              </w:r>
            </w:hyperlink>
          </w:p>
        </w:tc>
        <w:tc>
          <w:tcPr>
            <w:tcW w:w="3680" w:type="dxa"/>
            <w:vAlign w:val="bottom"/>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w:t>
              </w:r>
            </w:hyperlink>
          </w:p>
        </w:tc>
        <w:tc>
          <w:tcPr>
            <w:tcW w:w="4760" w:type="dxa"/>
            <w:vAlign w:val="bottom"/>
            <w:gridSpan w:val="4"/>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8"/>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600" w:type="dxa"/>
            <w:vAlign w:val="bottom"/>
          </w:tcPr>
          <w:p>
            <w:pPr>
              <w:ind w:left="16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SCHEDULE II — Valuation and Qualifying Accounts</w:t>
            </w:r>
          </w:p>
        </w:tc>
        <w:tc>
          <w:tcPr>
            <w:tcW w:w="4400" w:type="dxa"/>
            <w:vAlign w:val="bottom"/>
            <w:gridSpan w:val="3"/>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All other schedules for which provision is made in the applicable regulations of the Securities and Exchange Commission are not required under the related instructions or are inapplicable and, accordingly, are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Shareholders and the Board of Directors of G-III Apparel Group, Ltd.</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have audited the accompanying consolidated balance sheets of G-III Apparel Group, Ltd. and subsidiaries (the Company) as of January 31, 2020 and 2019, the related consolidated statements of income and comprehensive income, stockholders' equity and cash flows for each of the three years in the period ended January 31, 2020,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January 31, 2020 and 2019, and the results of its operations and its cash flows for each of the three years in the period ended January 31, 2020, in conformity with U.S. generally accepted accounting principles.</w:t>
      </w:r>
    </w:p>
    <w:p>
      <w:pPr>
        <w:spacing w:after="0" w:line="16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January 31, 2020, based on criteria established in Internal Control-Integrated Framework issued by the Committee of Sponsoring Organizations of the Treadway Commission (2013 framework) and our report dated March 30, 2020 expressed an unqualified opinion thereon.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ASU No. 2014-09</w:t>
      </w:r>
    </w:p>
    <w:p>
      <w:pPr>
        <w:spacing w:after="0" w:line="27" w:lineRule="exact"/>
        <w:rPr>
          <w:sz w:val="20"/>
          <w:szCs w:val="20"/>
          <w:color w:val="auto"/>
        </w:rPr>
      </w:pPr>
    </w:p>
    <w:p>
      <w:pPr>
        <w:jc w:val="both"/>
        <w:ind w:left="60" w:right="59"/>
        <w:spacing w:after="0" w:line="302" w:lineRule="auto"/>
        <w:rPr>
          <w:sz w:val="20"/>
          <w:szCs w:val="20"/>
          <w:color w:val="auto"/>
        </w:rPr>
      </w:pPr>
      <w:r>
        <w:rPr>
          <w:rFonts w:ascii="Arial" w:cs="Arial" w:eastAsia="Arial" w:hAnsi="Arial"/>
          <w:sz w:val="16"/>
          <w:szCs w:val="16"/>
          <w:color w:val="auto"/>
        </w:rPr>
        <w:t>As discussed in Note B to the consolidated financial statements, the Company changed its method for recognizing revenue as a result of the adoption of Accounting Standards Update (ASU) No. 2014-09, Revenue from Contracts with Customers (Topic 606), and the amendments in ASUs 2015-14, 2016-08, 2016-10 and 2016-12 effective February 1, 2018.</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ASU No. 2016-02</w:t>
      </w:r>
    </w:p>
    <w:p>
      <w:pPr>
        <w:spacing w:after="0" w:line="2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discussed in Note A to the consolidated financial statements, the Company changed its method for accounting for leases as a result of the adoption of Accounting Standards Update (ASU) No. 2016-02, Leases (Topic 842), and the related amendments effective February 1, 2019.</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Wholesale revenue variable consideration</w:t>
      </w:r>
    </w:p>
    <w:p>
      <w:pPr>
        <w:spacing w:after="0" w:line="225"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Description of</w:t>
      </w:r>
      <w:r>
        <w:rPr>
          <w:sz w:val="20"/>
          <w:szCs w:val="20"/>
          <w:color w:val="auto"/>
        </w:rPr>
        <w:tab/>
      </w:r>
      <w:r>
        <w:rPr>
          <w:rFonts w:ascii="Arial" w:cs="Arial" w:eastAsia="Arial" w:hAnsi="Arial"/>
          <w:sz w:val="17"/>
          <w:szCs w:val="17"/>
          <w:color w:val="auto"/>
        </w:rPr>
        <w:t>As described in Note A and Note B to the consolidated financial statements, wholesale revenue is</w:t>
      </w:r>
    </w:p>
    <w:p>
      <w:pPr>
        <w:spacing w:after="0" w:line="23"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the Matter</w:t>
      </w:r>
      <w:r>
        <w:rPr>
          <w:sz w:val="20"/>
          <w:szCs w:val="20"/>
          <w:color w:val="auto"/>
        </w:rPr>
        <w:tab/>
      </w:r>
      <w:r>
        <w:rPr>
          <w:rFonts w:ascii="Arial" w:cs="Arial" w:eastAsia="Arial" w:hAnsi="Arial"/>
          <w:sz w:val="17"/>
          <w:szCs w:val="17"/>
          <w:color w:val="auto"/>
        </w:rPr>
        <w:t>adjusted by variable consideration arising from implicit or explicit obligations. The reserves for</w:t>
      </w:r>
    </w:p>
    <w:p>
      <w:pPr>
        <w:spacing w:after="0" w:line="9" w:lineRule="exact"/>
        <w:rPr>
          <w:sz w:val="20"/>
          <w:szCs w:val="20"/>
          <w:color w:val="auto"/>
        </w:rPr>
      </w:pPr>
    </w:p>
    <w:p>
      <w:pPr>
        <w:ind w:left="1500" w:right="79"/>
        <w:spacing w:after="0" w:line="260" w:lineRule="auto"/>
        <w:rPr>
          <w:sz w:val="20"/>
          <w:szCs w:val="20"/>
          <w:color w:val="auto"/>
        </w:rPr>
      </w:pPr>
      <w:r>
        <w:rPr>
          <w:rFonts w:ascii="Arial" w:cs="Arial" w:eastAsia="Arial" w:hAnsi="Arial"/>
          <w:sz w:val="18"/>
          <w:szCs w:val="18"/>
          <w:color w:val="auto"/>
        </w:rPr>
        <w:t>variable consideration are recorded as customer refund liabilities and totaled $233.4 million as of January 31, 2020.</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Auditing the Company's measurement of variable consideration related to non-contractual markdowns</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and returns from wholesalers is especially challenging because the calculation involves subjective</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management assumptions about estimates of the expected markdowns and returns. For example, in</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addition to historical experience, estimates of future markdown allowances and returns from wholesale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customers are adjusted to reflect management’s assumptions about performance of the Company’s</w:t>
      </w:r>
    </w:p>
    <w:p>
      <w:pPr>
        <w:spacing w:after="0" w:line="3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merchandise, specific known events, and industry trends. Changes in the assumptions can have 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material effect on the amount of variable consideration recognized.</w:t>
      </w:r>
    </w:p>
    <w:p>
      <w:pPr>
        <w:spacing w:after="0" w:line="103"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6"/>
          <w:szCs w:val="16"/>
          <w:color w:val="auto"/>
        </w:rPr>
        <w:t>We obtained an understanding, evaluated the design and tested the operating effectiveness of controls</w:t>
      </w:r>
    </w:p>
    <w:p>
      <w:pPr>
        <w:spacing w:after="0" w:line="23"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7"/>
          <w:szCs w:val="17"/>
          <w:color w:val="auto"/>
        </w:rPr>
        <w:t>over the Company's process for estimating variable consideration. For example, we tested controls</w:t>
      </w:r>
    </w:p>
    <w:p>
      <w:pPr>
        <w:spacing w:after="0" w:line="9"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7"/>
          <w:szCs w:val="17"/>
          <w:color w:val="auto"/>
        </w:rPr>
        <w:t>over management’s review of the significant assumptions underlying the estimates of the refund</w:t>
      </w:r>
    </w:p>
    <w:p>
      <w:pPr>
        <w:spacing w:after="0" w:line="9"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liabilities for markdown allowances and returns from wholesale customers.</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 test the Company’s measurement of variable consideration related to wholesale customers, our</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audit procedures included, among others, evaluating the significant assumptions described above and</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testing the completeness and accuracy of the underlying data used in management's analyses. For</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example, we tested the calculation of the historical chargeback and return rates and assessed</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management’s evaluation of the appropriateness of the rates used in developing its customer refund</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liabilities based on economic factors and other qualitative conditions including specific known events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or industry trends. Further, we performed sensitivity analyses to evaluate the changes in variable</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consideration that would result from changes in the significant assumptions. In addition, we performed</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 retrospective review of actual chargebacks and returns to evaluate the historical accuracy of the</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Company’s estimates.</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Fair value of operating lease assets</w:t>
      </w:r>
    </w:p>
    <w:p>
      <w:pPr>
        <w:spacing w:after="0" w:line="225"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of January 31, 2020, the Company’s operating lease assets had an aggregate carrying value of $270</w:t>
      </w:r>
    </w:p>
    <w:p>
      <w:pPr>
        <w:spacing w:after="0" w:line="23"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million. As described in Note D and Note E to the consolidated financial statements, long-lived assets,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including operating lease assets, are reviewed for impairment whenever events or changes in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circumstances indicate that the carrying amount of an asset may not be recoverable. An impairment is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recognized equal to the amount by which the carrying value of the asset exceeds its fair value. During</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year ended January 31, 2020, the Company recognized an impairment charge of $9.9 million</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related to the operating lease assets at certain of its retail stores. In addition, upon adoption of ASC</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842, Leases, the Company recorded a $9.6 million impairment, net of tax, of operating lease assets at</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certain of its retail stores as a reduction to retained earnings on February 1, 2019.</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Auditing the Company’s measurement of the impairment of its operating lease assets related to retail</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store leases was especially challenging and involved a high degree of subjectivity as a result of the</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uncertainty inherent in estimating their fair value. The fair value estimates developed by the Company,</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with the assistance of a third-party valuation specialist, were sensitive to significant assumptions such</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as current comparable market rental rates, market rental growth rates, occupancy cost ratios, fixed</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expenses growth rates and discount rates. Changes in these assumptions could have a significant effect</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 the fair value of operating lease assets and the related impairment charge recognized.</w:t>
      </w:r>
    </w:p>
    <w:p>
      <w:pPr>
        <w:spacing w:after="0" w:line="103"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6"/>
          <w:szCs w:val="16"/>
          <w:color w:val="auto"/>
        </w:rPr>
        <w:t>We obtained an understanding, evaluated the design and tested the operating effectiveness of controls</w:t>
      </w:r>
    </w:p>
    <w:p>
      <w:pPr>
        <w:spacing w:after="0" w:line="23"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i w:val="1"/>
          <w:iCs w:val="1"/>
          <w:color w:val="auto"/>
        </w:rPr>
        <w:t>Addressed the</w:t>
      </w:r>
      <w:r>
        <w:rPr>
          <w:sz w:val="20"/>
          <w:szCs w:val="20"/>
          <w:color w:val="auto"/>
        </w:rPr>
        <w:tab/>
      </w:r>
      <w:r>
        <w:rPr>
          <w:rFonts w:ascii="Arial" w:cs="Arial" w:eastAsia="Arial" w:hAnsi="Arial"/>
          <w:sz w:val="16"/>
          <w:szCs w:val="16"/>
          <w:color w:val="auto"/>
        </w:rPr>
        <w:t>related to the Company's process to evaluate its long-lived assets for impairment including the process</w:t>
      </w:r>
    </w:p>
    <w:p>
      <w:pPr>
        <w:spacing w:after="0" w:line="9" w:lineRule="exact"/>
        <w:rPr>
          <w:sz w:val="20"/>
          <w:szCs w:val="20"/>
          <w:color w:val="auto"/>
        </w:rPr>
      </w:pPr>
    </w:p>
    <w:p>
      <w:pPr>
        <w:ind w:left="60"/>
        <w:spacing w:after="0"/>
        <w:tabs>
          <w:tab w:leader="none" w:pos="1480" w:val="left"/>
          <w:tab w:leader="none" w:pos="6020" w:val="left"/>
        </w:tabs>
        <w:rPr>
          <w:sz w:val="20"/>
          <w:szCs w:val="20"/>
          <w:color w:val="auto"/>
        </w:rPr>
      </w:pPr>
      <w:r>
        <w:rPr>
          <w:rFonts w:ascii="Arial" w:cs="Arial" w:eastAsia="Arial" w:hAnsi="Arial"/>
          <w:sz w:val="18"/>
          <w:szCs w:val="18"/>
          <w:i w:val="1"/>
          <w:iCs w:val="1"/>
          <w:color w:val="auto"/>
        </w:rPr>
        <w:t>Matter in Our</w:t>
      </w:r>
      <w:r>
        <w:rPr>
          <w:sz w:val="20"/>
          <w:szCs w:val="20"/>
          <w:color w:val="auto"/>
        </w:rPr>
        <w:tab/>
      </w:r>
      <w:r>
        <w:rPr>
          <w:rFonts w:ascii="Arial" w:cs="Arial" w:eastAsia="Arial" w:hAnsi="Arial"/>
          <w:sz w:val="18"/>
          <w:szCs w:val="18"/>
          <w:color w:val="auto"/>
        </w:rPr>
        <w:t>to estimate the fair value of the operating lease assets.</w:t>
      </w:r>
      <w:r>
        <w:rPr>
          <w:sz w:val="20"/>
          <w:szCs w:val="20"/>
          <w:color w:val="auto"/>
        </w:rPr>
        <w:tab/>
      </w:r>
      <w:r>
        <w:rPr>
          <w:rFonts w:ascii="Arial" w:cs="Arial" w:eastAsia="Arial" w:hAnsi="Arial"/>
          <w:sz w:val="17"/>
          <w:szCs w:val="17"/>
          <w:color w:val="auto"/>
        </w:rPr>
        <w:t>For example, we tested controls over</w:t>
      </w:r>
    </w:p>
    <w:p>
      <w:pPr>
        <w:spacing w:after="0" w:line="9"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7"/>
          <w:szCs w:val="17"/>
          <w:i w:val="1"/>
          <w:iCs w:val="1"/>
          <w:color w:val="auto"/>
        </w:rPr>
        <w:t>Audit</w:t>
      </w:r>
      <w:r>
        <w:rPr>
          <w:sz w:val="20"/>
          <w:szCs w:val="20"/>
          <w:color w:val="auto"/>
        </w:rPr>
        <w:tab/>
      </w:r>
      <w:r>
        <w:rPr>
          <w:rFonts w:ascii="Arial" w:cs="Arial" w:eastAsia="Arial" w:hAnsi="Arial"/>
          <w:sz w:val="17"/>
          <w:szCs w:val="17"/>
          <w:color w:val="auto"/>
        </w:rPr>
        <w:t>management’s review of the valuation of the operating lease assets prepared by management’s</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valuation specialists as well as the calculation of the impairments recorded.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660" w:right="79"/>
        <w:spacing w:after="0" w:line="272" w:lineRule="auto"/>
        <w:rPr>
          <w:sz w:val="20"/>
          <w:szCs w:val="20"/>
          <w:color w:val="auto"/>
        </w:rPr>
      </w:pPr>
      <w:r>
        <w:rPr>
          <w:rFonts w:ascii="Arial" w:cs="Arial" w:eastAsia="Arial" w:hAnsi="Arial"/>
          <w:sz w:val="17"/>
          <w:szCs w:val="17"/>
          <w:color w:val="auto"/>
        </w:rPr>
        <w:t>To test the estimated fair value of the operating lease assets related to retail stores, our audit procedures included, among others, involving our internal valuation specialists to assist in evaluating the methodologies used and significant assumptions described above and testing the completeness and accuracy of the data used in the analyses. For example, our internal valuation specialists performed independent market research to evaluate the appropriateness of the significant assumptions used in the valuation of a sample of leases. This included identifying comparable leases for similar properties taking into consideration the remaining lease term.</w:t>
      </w: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2000.</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9"/>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G-III Apparel Group, Ltd.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audited G-III Apparel Group, Ltd and subsidiaries’ internal control over financial reporting as of January 31, 2020, based on criteria established in Internal Control—Integrated Framework issued by the Committee of Sponsoring Organizations of the Treadway Commission (2013 framework) (the COSO criteria). In our opinion, G-III Apparel Group, Ltd. and subsidiaries (the Company) maintained, in all material respects, effective internal control over financial reporting as of January 31, 2020, based on the COSO criteria.</w:t>
      </w:r>
    </w:p>
    <w:p>
      <w:pPr>
        <w:spacing w:after="0" w:line="8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January 31, 2020 and 2019, the related consolidated statements of income and comprehensive income, stockholders' equity and cash flows for each of the three years in the period ended January 31, 2020, and the related notes and financial statement schedule listed in the Index at Item 15(a) and our report dated March 30, 2020 expressed an unqualified opinion thereon.</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197,372</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ind w:left="8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$0.7 million and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80"/>
              <w:spacing w:after="0"/>
              <w:rPr>
                <w:sz w:val="20"/>
                <w:szCs w:val="20"/>
                <w:color w:val="auto"/>
              </w:rPr>
            </w:pPr>
            <w:r>
              <w:rPr>
                <w:rFonts w:ascii="Arial" w:cs="Arial" w:eastAsia="Arial" w:hAnsi="Arial"/>
                <w:sz w:val="18"/>
                <w:szCs w:val="18"/>
                <w:color w:val="auto"/>
              </w:rPr>
              <w:t>$0.9 million, respectively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530,137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8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1,368,688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2,565,137</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2,208,058</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80"/>
              <w:spacing w:after="0"/>
              <w:rPr>
                <w:sz w:val="20"/>
                <w:szCs w:val="20"/>
                <w:color w:val="auto"/>
              </w:rPr>
            </w:pPr>
            <w:r>
              <w:rPr>
                <w:rFonts w:ascii="Arial" w:cs="Arial" w:eastAsia="Arial" w:hAnsi="Arial"/>
                <w:sz w:val="18"/>
                <w:szCs w:val="18"/>
                <w:color w:val="auto"/>
              </w:rPr>
              <w:t>Income tax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8,468</w:t>
            </w:r>
          </w:p>
        </w:tc>
        <w:tc>
          <w:tcPr>
            <w:tcW w:w="22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refund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8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Notes payable, net of discount and unamortized issuance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396,794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249,040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1,274,465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Preferred stock; 1,000 shares authorized; no shares issued and outstanding</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ind w:left="80"/>
              <w:spacing w:after="0" w:line="201" w:lineRule="exact"/>
              <w:rPr>
                <w:sz w:val="20"/>
                <w:szCs w:val="20"/>
                <w:color w:val="auto"/>
              </w:rPr>
            </w:pPr>
            <w:r>
              <w:rPr>
                <w:rFonts w:ascii="Arial" w:cs="Arial" w:eastAsia="Arial" w:hAnsi="Arial"/>
                <w:sz w:val="18"/>
                <w:szCs w:val="18"/>
                <w:color w:val="auto"/>
                <w:w w:val="92"/>
              </w:rPr>
              <w:t>Common stock - $0.01 par value; 120,000 shares authorized; 49,396 and 49,387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80"/>
              <w:spacing w:after="0"/>
              <w:rPr>
                <w:sz w:val="20"/>
                <w:szCs w:val="20"/>
                <w:color w:val="auto"/>
              </w:rPr>
            </w:pPr>
            <w:r>
              <w:rPr>
                <w:rFonts w:ascii="Arial" w:cs="Arial" w:eastAsia="Arial" w:hAnsi="Arial"/>
                <w:sz w:val="18"/>
                <w:szCs w:val="18"/>
                <w:color w:val="auto"/>
              </w:rPr>
              <w:t>shares issued, respectively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8"/>
              </w:rPr>
              <w:t>Common stock held in treasury, at cost - 1,386 and 678 shares, respectively</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1,189,009</w:t>
            </w:r>
          </w:p>
        </w:tc>
        <w:tc>
          <w:tcPr>
            <w:tcW w:w="0" w:type="dxa"/>
            <w:vAlign w:val="bottom"/>
          </w:tcPr>
          <w:p>
            <w:pPr>
              <w:spacing w:after="0"/>
              <w:rPr>
                <w:sz w:val="1"/>
                <w:szCs w:val="1"/>
                <w:color w:val="auto"/>
              </w:rPr>
            </w:pPr>
          </w:p>
        </w:tc>
      </w:tr>
      <w:tr>
        <w:trPr>
          <w:trHeight w:val="210"/>
        </w:trPr>
        <w:tc>
          <w:tcPr>
            <w:tcW w:w="61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2,565,137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center"/>
              <w:ind w:left="572"/>
              <w:spacing w:after="0"/>
              <w:rPr>
                <w:sz w:val="20"/>
                <w:szCs w:val="20"/>
                <w:color w:val="auto"/>
              </w:rPr>
            </w:pPr>
            <w:r>
              <w:rPr>
                <w:rFonts w:ascii="Arial" w:cs="Arial" w:eastAsia="Arial" w:hAnsi="Arial"/>
                <w:sz w:val="14"/>
                <w:szCs w:val="14"/>
                <w:b w:val="1"/>
                <w:bCs w:val="1"/>
                <w:color w:val="auto"/>
                <w:w w:val="94"/>
              </w:rPr>
              <w:t>Year Ended January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gridSpan w:val="8"/>
          </w:tcPr>
          <w:p>
            <w:pPr>
              <w:jc w:val="center"/>
              <w:ind w:right="31"/>
              <w:spacing w:after="0" w:line="128" w:lineRule="exact"/>
              <w:rPr>
                <w:sz w:val="20"/>
                <w:szCs w:val="20"/>
                <w:color w:val="auto"/>
              </w:rPr>
            </w:pPr>
            <w:r>
              <w:rPr>
                <w:rFonts w:ascii="Arial" w:cs="Arial" w:eastAsia="Arial" w:hAnsi="Arial"/>
                <w:sz w:val="14"/>
                <w:szCs w:val="14"/>
                <w:b w:val="1"/>
                <w:bCs w:val="1"/>
                <w:color w:val="auto"/>
                <w:w w:val="91"/>
              </w:rPr>
              <w:t>(In thousands, except per share amounts)</w:t>
            </w:r>
          </w:p>
        </w:tc>
        <w:tc>
          <w:tcPr>
            <w:tcW w:w="0" w:type="dxa"/>
            <w:vAlign w:val="bottom"/>
          </w:tcPr>
          <w:p>
            <w:pPr>
              <w:spacing w:after="0"/>
              <w:rPr>
                <w:sz w:val="1"/>
                <w:szCs w:val="1"/>
                <w:color w:val="auto"/>
              </w:rPr>
            </w:pPr>
          </w:p>
        </w:tc>
      </w:tr>
      <w:tr>
        <w:trPr>
          <w:trHeight w:val="230"/>
        </w:trPr>
        <w:tc>
          <w:tcPr>
            <w:tcW w:w="480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3,160,464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3,076,208</w:t>
            </w:r>
          </w:p>
        </w:tc>
        <w:tc>
          <w:tcPr>
            <w:tcW w:w="140" w:type="dxa"/>
            <w:vAlign w:val="bottom"/>
          </w:tcPr>
          <w:p>
            <w:pPr>
              <w:spacing w:after="0"/>
              <w:rPr>
                <w:sz w:val="20"/>
                <w:szCs w:val="20"/>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2,806,938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2,042,524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1,969,099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1,752,199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1,117,940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1,107,109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1,054,739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4"/>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impairments, net of gain on lease terminations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00" w:type="dxa"/>
            <w:vAlign w:val="bottom"/>
            <w:gridSpan w:val="3"/>
          </w:tcPr>
          <w:p>
            <w:pPr>
              <w:ind w:left="120"/>
              <w:spacing w:after="0"/>
              <w:rPr>
                <w:sz w:val="20"/>
                <w:szCs w:val="20"/>
                <w:color w:val="auto"/>
              </w:rPr>
            </w:pPr>
            <w:r>
              <w:rPr>
                <w:rFonts w:ascii="Arial" w:cs="Arial" w:eastAsia="Arial" w:hAnsi="Arial"/>
                <w:sz w:val="18"/>
                <w:szCs w:val="18"/>
                <w:color w:val="auto"/>
              </w:rPr>
              <w:t>Operating profit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227,654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230,714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loss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Interest and financing charges, net</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138,067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00" w:type="dxa"/>
            <w:vAlign w:val="bottom"/>
            <w:gridSpan w:val="3"/>
          </w:tcPr>
          <w:p>
            <w:pPr>
              <w:spacing w:after="0" w:line="176" w:lineRule="exact"/>
              <w:rPr>
                <w:sz w:val="20"/>
                <w:szCs w:val="20"/>
                <w:color w:val="auto"/>
              </w:rPr>
            </w:pPr>
            <w:r>
              <w:rPr>
                <w:rFonts w:ascii="Arial" w:cs="Arial" w:eastAsia="Arial" w:hAnsi="Arial"/>
                <w:sz w:val="18"/>
                <w:szCs w:val="18"/>
                <w:color w:val="auto"/>
              </w:rPr>
              <w:t>Basic:</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income per common share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Arial" w:cs="Arial" w:eastAsia="Arial" w:hAnsi="Arial"/>
                <w:sz w:val="18"/>
                <w:szCs w:val="18"/>
                <w:color w:val="auto"/>
              </w:rPr>
              <w:t>Weighted average number of shares outstanding</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gridSpan w:val="3"/>
            <w:vMerge w:val="continue"/>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48,209</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49,140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00" w:type="dxa"/>
            <w:vAlign w:val="bottom"/>
            <w:gridSpan w:val="3"/>
          </w:tcPr>
          <w:p>
            <w:pPr>
              <w:spacing w:after="0" w:line="176" w:lineRule="exact"/>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income per common share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gridSpan w:val="3"/>
            <w:vMerge w:val="restart"/>
          </w:tcPr>
          <w:p>
            <w:pPr>
              <w:ind w:left="120"/>
              <w:spacing w:after="0"/>
              <w:rPr>
                <w:sz w:val="20"/>
                <w:szCs w:val="20"/>
                <w:color w:val="auto"/>
              </w:rPr>
            </w:pPr>
            <w:r>
              <w:rPr>
                <w:rFonts w:ascii="Arial" w:cs="Arial" w:eastAsia="Arial" w:hAnsi="Arial"/>
                <w:sz w:val="18"/>
                <w:szCs w:val="18"/>
                <w:color w:val="auto"/>
              </w:rPr>
              <w:t>Weighted average number of shares outstanding</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gridSpan w:val="3"/>
            <w:vMerge w:val="continue"/>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48,895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50,274</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143,837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138,067</w:t>
            </w:r>
          </w:p>
        </w:tc>
        <w:tc>
          <w:tcPr>
            <w:tcW w:w="14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10"/>
        </w:trPr>
        <w:tc>
          <w:tcPr>
            <w:tcW w:w="4800" w:type="dxa"/>
            <w:vAlign w:val="bottom"/>
            <w:gridSpan w:val="5"/>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141,023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7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8"/>
              </w:rPr>
              <w:t>Held In</w:t>
            </w:r>
          </w:p>
        </w:tc>
        <w:tc>
          <w:tcPr>
            <w:tcW w:w="140" w:type="dxa"/>
            <w:vAlign w:val="bottom"/>
          </w:tcPr>
          <w:p>
            <w:pPr>
              <w:spacing w:after="0"/>
              <w:rPr>
                <w:sz w:val="12"/>
                <w:szCs w:val="12"/>
                <w:color w:val="auto"/>
              </w:rPr>
            </w:pPr>
          </w:p>
        </w:tc>
        <w:tc>
          <w:tcPr>
            <w:tcW w:w="9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3"/>
          </w:tcPr>
          <w:p>
            <w:pPr>
              <w:jc w:val="right"/>
              <w:ind w:right="252"/>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$ 437,777</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$ 612,418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$ 1,021,236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62,124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62,124</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451,844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674,542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1,120,689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(20,311)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(20,311)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6"/>
              </w:rPr>
              <w:t>Cumulative effect of adoption of ASC 606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(53,728)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138,067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138,067</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464,112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758,881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(19,054)</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1,189,009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gain/loss,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(35,216)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(35,216)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6"/>
              </w:rPr>
              <w:t>Cumulative effect of adoption of ASC 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143,837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143,837</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$ 452,142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$ 893,138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(36,864)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$ 1,290,672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G-III Apparel Group, Ltd. and Subsidiaries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4"/>
                <w:szCs w:val="14"/>
                <w:b w:val="1"/>
                <w:bCs w:val="1"/>
                <w:color w:val="auto"/>
                <w:w w:val="93"/>
              </w:rPr>
              <w:t>Year Ended January 31,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r>
      <w:tr>
        <w:trPr>
          <w:trHeight w:val="142"/>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143,837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138,067</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62,124</w:t>
            </w:r>
          </w:p>
        </w:tc>
        <w:tc>
          <w:tcPr>
            <w:tcW w:w="20" w:type="dxa"/>
            <w:vAlign w:val="bottom"/>
          </w:tcPr>
          <w:p>
            <w:pPr>
              <w:spacing w:after="0"/>
              <w:rPr>
                <w:sz w:val="17"/>
                <w:szCs w:val="17"/>
                <w:color w:val="auto"/>
              </w:rPr>
            </w:pPr>
          </w:p>
        </w:tc>
      </w:tr>
      <w:tr>
        <w:trPr>
          <w:trHeight w:val="19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Adjustments to reconcile net income to net cash provided by operating activities,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of assets and liabilities acquired: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37,783</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disposal of fixed assets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w:t>
            </w:r>
          </w:p>
        </w:tc>
        <w:tc>
          <w:tcPr>
            <w:tcW w:w="20" w:type="dxa"/>
            <w:vAlign w:val="bottom"/>
          </w:tcPr>
          <w:p>
            <w:pPr>
              <w:spacing w:after="0"/>
              <w:rPr>
                <w:sz w:val="17"/>
                <w:szCs w:val="17"/>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73,273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lease terminations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(2,415)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6"/>
                <w:szCs w:val="16"/>
                <w:color w:val="auto"/>
              </w:rPr>
              <w:t>Asset impairments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7,884</w:t>
            </w:r>
          </w:p>
        </w:tc>
        <w:tc>
          <w:tcPr>
            <w:tcW w:w="20" w:type="dxa"/>
            <w:vAlign w:val="bottom"/>
          </w:tcPr>
          <w:p>
            <w:pPr>
              <w:spacing w:after="0"/>
              <w:rPr>
                <w:sz w:val="17"/>
                <w:szCs w:val="17"/>
                <w:color w:val="auto"/>
              </w:rPr>
            </w:pPr>
          </w:p>
        </w:tc>
      </w:tr>
      <w:tr>
        <w:trPr>
          <w:trHeight w:val="202"/>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received from unconsolidated affiliate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20" w:type="dxa"/>
            <w:vAlign w:val="bottom"/>
          </w:tcPr>
          <w:p>
            <w:pPr>
              <w:spacing w:after="0"/>
              <w:rPr>
                <w:sz w:val="17"/>
                <w:szCs w:val="17"/>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6"/>
                <w:szCs w:val="16"/>
                <w:color w:val="auto"/>
              </w:rPr>
              <w:t>Equity (gain)/loss in unconsolidated affiliates</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19,665</w:t>
            </w:r>
          </w:p>
        </w:tc>
        <w:tc>
          <w:tcPr>
            <w:tcW w:w="20" w:type="dxa"/>
            <w:vAlign w:val="bottom"/>
          </w:tcPr>
          <w:p>
            <w:pPr>
              <w:spacing w:after="0"/>
              <w:rPr>
                <w:sz w:val="17"/>
                <w:szCs w:val="17"/>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6"/>
                <w:szCs w:val="16"/>
                <w:color w:val="auto"/>
              </w:rPr>
              <w:t>Deferred financing charges and debt discount amortization</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10,890</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w:t>
            </w:r>
          </w:p>
        </w:tc>
        <w:tc>
          <w:tcPr>
            <w:tcW w:w="20" w:type="dxa"/>
            <w:vAlign w:val="bottom"/>
          </w:tcPr>
          <w:p>
            <w:pPr>
              <w:spacing w:after="0"/>
              <w:rPr>
                <w:sz w:val="17"/>
                <w:szCs w:val="17"/>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(28,003)</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(207,877)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(29,947)</w:t>
            </w:r>
          </w:p>
        </w:tc>
        <w:tc>
          <w:tcPr>
            <w:tcW w:w="20" w:type="dxa"/>
            <w:vAlign w:val="bottom"/>
          </w:tcPr>
          <w:p>
            <w:pPr>
              <w:spacing w:after="0"/>
              <w:rPr>
                <w:sz w:val="17"/>
                <w:szCs w:val="17"/>
                <w:color w:val="auto"/>
              </w:rPr>
            </w:pPr>
          </w:p>
        </w:tc>
      </w:tr>
      <w:tr>
        <w:trPr>
          <w:trHeight w:val="203"/>
        </w:trPr>
        <w:tc>
          <w:tcPr>
            <w:tcW w:w="568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24,465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(23,568)</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(68,775)</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net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(3,866)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11,284</w:t>
            </w:r>
          </w:p>
        </w:tc>
        <w:tc>
          <w:tcPr>
            <w:tcW w:w="20" w:type="dxa"/>
            <w:vAlign w:val="bottom"/>
          </w:tcPr>
          <w:p>
            <w:pPr>
              <w:spacing w:after="0"/>
              <w:rPr>
                <w:sz w:val="17"/>
                <w:szCs w:val="17"/>
                <w:color w:val="auto"/>
              </w:rPr>
            </w:pPr>
          </w:p>
        </w:tc>
      </w:tr>
      <w:tr>
        <w:trPr>
          <w:trHeight w:val="203"/>
        </w:trPr>
        <w:tc>
          <w:tcPr>
            <w:tcW w:w="568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(47,959)</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(3,877)</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assets, net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(6,237)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10,991</w:t>
            </w:r>
          </w:p>
        </w:tc>
        <w:tc>
          <w:tcPr>
            <w:tcW w:w="20" w:type="dxa"/>
            <w:vAlign w:val="bottom"/>
          </w:tcPr>
          <w:p>
            <w:pPr>
              <w:spacing w:after="0"/>
              <w:rPr>
                <w:sz w:val="17"/>
                <w:szCs w:val="17"/>
                <w:color w:val="auto"/>
              </w:rPr>
            </w:pPr>
          </w:p>
        </w:tc>
      </w:tr>
      <w:tr>
        <w:trPr>
          <w:trHeight w:val="203"/>
        </w:trPr>
        <w:tc>
          <w:tcPr>
            <w:tcW w:w="5680" w:type="dxa"/>
            <w:vAlign w:val="bottom"/>
          </w:tcPr>
          <w:p>
            <w:pPr>
              <w:ind w:left="340"/>
              <w:spacing w:after="0"/>
              <w:rPr>
                <w:sz w:val="20"/>
                <w:szCs w:val="20"/>
                <w:color w:val="auto"/>
              </w:rPr>
            </w:pPr>
            <w:r>
              <w:rPr>
                <w:rFonts w:ascii="Arial" w:cs="Arial" w:eastAsia="Arial" w:hAnsi="Arial"/>
                <w:sz w:val="16"/>
                <w:szCs w:val="16"/>
                <w:color w:val="auto"/>
              </w:rPr>
              <w:t>Customer refund liabilities</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(10,172)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177,144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(79,843)</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680" w:type="dxa"/>
            <w:vAlign w:val="bottom"/>
          </w:tcPr>
          <w:p>
            <w:pPr>
              <w:ind w:left="34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(18,564)</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(328)</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10,683</w:t>
            </w:r>
          </w:p>
        </w:tc>
        <w:tc>
          <w:tcPr>
            <w:tcW w:w="20" w:type="dxa"/>
            <w:vAlign w:val="bottom"/>
          </w:tcPr>
          <w:p>
            <w:pPr>
              <w:spacing w:after="0"/>
              <w:rPr>
                <w:sz w:val="17"/>
                <w:szCs w:val="17"/>
                <w:color w:val="auto"/>
              </w:rPr>
            </w:pPr>
          </w:p>
        </w:tc>
      </w:tr>
      <w:tr>
        <w:trPr>
          <w:trHeight w:val="196"/>
        </w:trPr>
        <w:tc>
          <w:tcPr>
            <w:tcW w:w="56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209,021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103,829</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79,734</w:t>
            </w:r>
          </w:p>
        </w:tc>
        <w:tc>
          <w:tcPr>
            <w:tcW w:w="20" w:type="dxa"/>
            <w:vAlign w:val="bottom"/>
          </w:tcPr>
          <w:p>
            <w:pPr>
              <w:spacing w:after="0"/>
              <w:rPr>
                <w:sz w:val="17"/>
                <w:szCs w:val="17"/>
                <w:color w:val="auto"/>
              </w:rPr>
            </w:pPr>
          </w:p>
        </w:tc>
      </w:tr>
      <w:tr>
        <w:trPr>
          <w:trHeight w:val="196"/>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Operating lease assets initial direct costs</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(2,104)</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(37,990)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(29,205)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(34,507)</w:t>
            </w:r>
          </w:p>
        </w:tc>
        <w:tc>
          <w:tcPr>
            <w:tcW w:w="20" w:type="dxa"/>
            <w:vAlign w:val="bottom"/>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Investment in unconsolidated affiliate</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(9,951)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Return of capital from unconsolidated affiliate</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Proceeds from sale of a retail store</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644</w:t>
            </w:r>
          </w:p>
        </w:tc>
        <w:tc>
          <w:tcPr>
            <w:tcW w:w="20" w:type="dxa"/>
            <w:vAlign w:val="bottom"/>
          </w:tcPr>
          <w:p>
            <w:pPr>
              <w:spacing w:after="0"/>
              <w:rPr>
                <w:sz w:val="17"/>
                <w:szCs w:val="17"/>
                <w:color w:val="auto"/>
              </w:rPr>
            </w:pPr>
          </w:p>
        </w:tc>
      </w:tr>
      <w:tr>
        <w:trPr>
          <w:trHeight w:val="196"/>
        </w:trPr>
        <w:tc>
          <w:tcPr>
            <w:tcW w:w="56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(37,332)</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(33,912)</w:t>
            </w:r>
          </w:p>
        </w:tc>
        <w:tc>
          <w:tcPr>
            <w:tcW w:w="20" w:type="dxa"/>
            <w:vAlign w:val="bottom"/>
          </w:tcPr>
          <w:p>
            <w:pPr>
              <w:spacing w:after="0"/>
              <w:rPr>
                <w:sz w:val="17"/>
                <w:szCs w:val="17"/>
                <w:color w:val="auto"/>
              </w:rPr>
            </w:pPr>
          </w:p>
        </w:tc>
      </w:tr>
      <w:tr>
        <w:trPr>
          <w:trHeight w:val="196"/>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Repayment of borrowings - revolving credit facility</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(2,388,766)</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(2,315,935)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5"/>
              </w:rPr>
              <w:t>(2,018,892)</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borrowings - revolving credit facility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2,388,766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2,303,932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1,939,774</w:t>
            </w:r>
          </w:p>
        </w:tc>
        <w:tc>
          <w:tcPr>
            <w:tcW w:w="20" w:type="dxa"/>
            <w:vAlign w:val="bottom"/>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Repayment of borrowings - unsecured term loan</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borrowings - unsecured term loan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2"/>
        </w:trPr>
        <w:tc>
          <w:tcPr>
            <w:tcW w:w="5680" w:type="dxa"/>
            <w:vAlign w:val="bottom"/>
          </w:tcPr>
          <w:p>
            <w:pPr>
              <w:ind w:left="120"/>
              <w:spacing w:after="0"/>
              <w:rPr>
                <w:sz w:val="20"/>
                <w:szCs w:val="20"/>
                <w:color w:val="auto"/>
              </w:rPr>
            </w:pPr>
            <w:r>
              <w:rPr>
                <w:rFonts w:ascii="Arial" w:cs="Arial" w:eastAsia="Arial" w:hAnsi="Arial"/>
                <w:sz w:val="16"/>
                <w:szCs w:val="16"/>
                <w:color w:val="auto"/>
              </w:rPr>
              <w:t>Proceeds from exercise of equity awards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1,578</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treasury shares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(35,216)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(20,311)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680" w:type="dxa"/>
            <w:vAlign w:val="bottom"/>
          </w:tcPr>
          <w:p>
            <w:pPr>
              <w:ind w:left="120"/>
              <w:spacing w:after="0"/>
              <w:rPr>
                <w:sz w:val="20"/>
                <w:szCs w:val="20"/>
                <w:color w:val="auto"/>
              </w:rPr>
            </w:pPr>
            <w:r>
              <w:rPr>
                <w:rFonts w:ascii="Arial" w:cs="Arial" w:eastAsia="Arial" w:hAnsi="Arial"/>
                <w:sz w:val="16"/>
                <w:szCs w:val="16"/>
                <w:color w:val="auto"/>
              </w:rPr>
              <w:t>Taxes paid for net share settlements</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(12,239)</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(5,738)</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(6,114)</w:t>
            </w:r>
          </w:p>
        </w:tc>
        <w:tc>
          <w:tcPr>
            <w:tcW w:w="20" w:type="dxa"/>
            <w:vAlign w:val="bottom"/>
          </w:tcPr>
          <w:p>
            <w:pPr>
              <w:spacing w:after="0"/>
              <w:rPr>
                <w:sz w:val="17"/>
                <w:szCs w:val="17"/>
                <w:color w:val="auto"/>
              </w:rPr>
            </w:pPr>
          </w:p>
        </w:tc>
      </w:tr>
      <w:tr>
        <w:trPr>
          <w:trHeight w:val="196"/>
        </w:trPr>
        <w:tc>
          <w:tcPr>
            <w:tcW w:w="56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(37,951)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(83,654)</w:t>
            </w:r>
          </w:p>
        </w:tc>
        <w:tc>
          <w:tcPr>
            <w:tcW w:w="20" w:type="dxa"/>
            <w:vAlign w:val="bottom"/>
          </w:tcPr>
          <w:p>
            <w:pPr>
              <w:spacing w:after="0"/>
              <w:rPr>
                <w:sz w:val="17"/>
                <w:szCs w:val="17"/>
                <w:color w:val="auto"/>
              </w:rPr>
            </w:pPr>
          </w:p>
        </w:tc>
      </w:tr>
      <w:tr>
        <w:trPr>
          <w:trHeight w:val="196"/>
        </w:trPr>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(4,184)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w:t>
            </w:r>
          </w:p>
        </w:tc>
        <w:tc>
          <w:tcPr>
            <w:tcW w:w="20" w:type="dxa"/>
            <w:vAlign w:val="bottom"/>
          </w:tcPr>
          <w:p>
            <w:pPr>
              <w:spacing w:after="0"/>
              <w:rPr>
                <w:sz w:val="17"/>
                <w:szCs w:val="17"/>
                <w:color w:val="auto"/>
              </w:rPr>
            </w:pPr>
          </w:p>
        </w:tc>
      </w:tr>
      <w:tr>
        <w:trPr>
          <w:trHeight w:val="196"/>
        </w:trPr>
        <w:tc>
          <w:tcPr>
            <w:tcW w:w="5680" w:type="dxa"/>
            <w:vAlign w:val="bottom"/>
          </w:tcPr>
          <w:p>
            <w:pPr>
              <w:ind w:left="22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127,234</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24,362</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(34,181)</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70,138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79,957</w:t>
            </w:r>
          </w:p>
        </w:tc>
        <w:tc>
          <w:tcPr>
            <w:tcW w:w="20" w:type="dxa"/>
            <w:vAlign w:val="bottom"/>
          </w:tcPr>
          <w:p>
            <w:pPr>
              <w:spacing w:after="0"/>
              <w:rPr>
                <w:sz w:val="17"/>
                <w:szCs w:val="17"/>
                <w:color w:val="auto"/>
              </w:rPr>
            </w:pPr>
          </w:p>
        </w:tc>
      </w:tr>
      <w:tr>
        <w:trPr>
          <w:trHeight w:val="236"/>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197,372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70,138</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45,776</w:t>
            </w:r>
          </w:p>
        </w:tc>
        <w:tc>
          <w:tcPr>
            <w:tcW w:w="20" w:type="dxa"/>
            <w:vAlign w:val="bottom"/>
          </w:tcPr>
          <w:p>
            <w:pPr>
              <w:spacing w:after="0"/>
              <w:rPr>
                <w:sz w:val="20"/>
                <w:szCs w:val="20"/>
                <w:color w:val="auto"/>
              </w:rPr>
            </w:pPr>
          </w:p>
        </w:tc>
      </w:tr>
      <w:tr>
        <w:trPr>
          <w:trHeight w:val="183"/>
        </w:trPr>
        <w:tc>
          <w:tcPr>
            <w:tcW w:w="5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80" w:type="dxa"/>
            <w:vAlign w:val="bottom"/>
          </w:tcPr>
          <w:p>
            <w:pPr>
              <w:ind w:left="220"/>
              <w:spacing w:after="0"/>
              <w:rPr>
                <w:sz w:val="20"/>
                <w:szCs w:val="20"/>
                <w:color w:val="auto"/>
              </w:rPr>
            </w:pPr>
            <w:r>
              <w:rPr>
                <w:rFonts w:ascii="Arial" w:cs="Arial" w:eastAsia="Arial" w:hAnsi="Arial"/>
                <w:sz w:val="16"/>
                <w:szCs w:val="16"/>
                <w:color w:val="auto"/>
              </w:rPr>
              <w:t>Interest,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34,311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35,807</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31,644</w:t>
            </w:r>
          </w:p>
        </w:tc>
        <w:tc>
          <w:tcPr>
            <w:tcW w:w="20" w:type="dxa"/>
            <w:vAlign w:val="bottom"/>
          </w:tcPr>
          <w:p>
            <w:pPr>
              <w:spacing w:after="0"/>
              <w:rPr>
                <w:sz w:val="17"/>
                <w:szCs w:val="17"/>
                <w:color w:val="auto"/>
              </w:rPr>
            </w:pPr>
          </w:p>
        </w:tc>
      </w:tr>
      <w:tr>
        <w:trPr>
          <w:trHeight w:val="203"/>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payments, net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44,045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32,934</w:t>
            </w:r>
          </w:p>
        </w:tc>
        <w:tc>
          <w:tcPr>
            <w:tcW w:w="20" w:type="dxa"/>
            <w:vAlign w:val="bottom"/>
          </w:tcPr>
          <w:p>
            <w:pPr>
              <w:spacing w:after="0"/>
              <w:rPr>
                <w:sz w:val="17"/>
                <w:szCs w:val="17"/>
                <w:color w:val="auto"/>
              </w:rPr>
            </w:pPr>
          </w:p>
        </w:tc>
      </w:tr>
    </w:tbl>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2020, 2019 and 2018</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consolidated financial statements follows: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 Business Activity and Principles of Consolidation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consolidates the accounts of all its wholly-owned and majority-owned subsidiaries. KL North America B.V. (“KLNA”) and Fabco Holding B.V. (“Fabco”) are Dutch joint venture limited liability companies that are 49% owned by the Company. Karl Lagerfeld Holding B.V. (“KLH”) is a Dutch limited liability company that is 19% owned by the Company. These investments are accounted for using the equity method of accounting. All material intercompany balances and transactions have been eliminated.</w:t>
      </w:r>
    </w:p>
    <w:p>
      <w:pPr>
        <w:spacing w:after="0" w:line="18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year ended or ending closest to the Company’s fiscal year. For example, with respect to the Company’s results for the year ended January 31, 2020, the results of Vilebrequin, KLH, KLNA and Fabco are included for the year ended December 31, 2019. The Company’s retail operations segment reports results on a 52/53-week fiscal year. The Company’s years ended January 31, 2020 and 2019 were both 52-week fiscal years for the retail operations segment. The Company’s year ended January 31, 2018 was a 53-week fiscal year for the retail operations segment. For fiscal 2020, 2019 and 2018, the retail operations segment year end was February 1, 2020, February 2, 2019 and February 3, 2018, respectively.</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 Cash Equivalents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to be cash equivalents.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3. Revenue Recognition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On February 1, 2018, the Company adopted Financial Accounting Standards Board (“FASB”) Accounting Standard Codification (“ASC”) Topic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using the modified retrospective method as of January 31, 2018. Under ASC 606, wholesale revenue is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Under ASC 606, the Company estimates the anticipated variable consideration and records this estimate as a reduction of revenue in the period the related product revenue is recognized. Prior to adopting ASC 606, certain components of variable consideration were recorded at a later date when the liability was known or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Customer refund liabilities were recorded as a reduction to accounts receivable prior to the adoption of ASC 606. Historical return rates are calculated on a product line basis. The remainder of the historical rates for variable consideration are calculated by customer by product lines.</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recognizes retail sales when the customer takes possession of the goods and tenders payment, generally at the point of sale. E-commerce revenues from customers through the Company’s e-commerce platforms are recognized when the customer takes possession of the goods. The Company’s sales are recorded net of applicable sales taxes.</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Both wholesale revenues and retail store revenues are shown net of returns, discounts and other allowances. Under ASC 606, the Company now classifies cooperative advertising as a reduction of net sales. Previously, cooperative advertising was recorded in selling, general and administrative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Royalty revenue is recognized at the higher of royalty earned or guaranteed minimum royalty.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4. Accounts Receivable</w:t>
      </w:r>
    </w:p>
    <w:p>
      <w:pPr>
        <w:spacing w:after="0" w:line="15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normal course of business, the Company extends credit to its wholesale customers based on pre-defined credit criteria. Accounts receivable are net of an allowance for doubtful accounts. In circumstances where the Company is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Estimated costs associated with trade discounts, advertising allowances, markdowns, and reserves for returns are reflected as a reduction of net sales. Under ASC 606, all of these reserves, which constitute variable consideration, are classified as current liabilities under “Customer refund liabilities”. Prior to ASC 606, these reserves were part of the allowances netted against accounts receivable. The Company reserves against known chargebacks, as well as for an estimate of potential future deductions by customers. These provisions result from seasonal negotiations with the Company’s customers, as well as historical deduction trends, net of historical recoveries and the evaluation of current market conditions.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 Inventories</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Wholesale inventories are stated at the lower of cost (determined by the first-in, first-out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6. Goodwill and Other Intangibles</w:t>
      </w:r>
    </w:p>
    <w:p>
      <w:pPr>
        <w:spacing w:after="0" w:line="15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accounted for under the purchase method of accounting. Goodwill and certain intangible assets deemed to have indefinite lives are not amortized, but are subject to annual impairment tests using a qualitative evaluation or a quantitative test combining a discounted cash flow analysis and a market approach. Other intangibles with finite lives, including license agreements, trademarks and customer lists are amortized on a straight-line basis over the estimated useful lives of the assets (currently ranging from 5 to 17 years). Impairment charges, if any, on intangible assets with finite lives are recorded when indicators of impairment are present and the discounted cash flows estimated to be derived from those assets are less than the carrying amounts of the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fiscal 2018, the Company wrote off goodwill of $0.7 million related to the retail operations segment, as a result of the performance of the retail operations segment.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7. Leases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 xml:space="preserve">On February 1, 2019, the Company adopted ASC Topic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using the optional transition method to apply the standard as of the effective date. The Company determines if an arrangement is, or contains, a lease at contract inception. Leases with an initial term of 12 months or less are not recorded on the balance sheet.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 The Company has elected to account for lease and non-lease components as a single component.</w:t>
      </w:r>
    </w:p>
    <w:p>
      <w:pPr>
        <w:spacing w:after="0" w:line="16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of the Company’s leases are classified as operating leases.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8. Depreciation and Amortization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Property and equipment are recorded at cost. Depreciation and amortization are computed by the straight-line method over the estimated useful lives of the assets. Leasehold improvements are amortized using the straight-line method over the life of the lease or the useful life of the improvement, whichever is shorter.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9. Impairment of Long-Lived Assets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is less than the carrying value of the assets. A potential impairment has occurred if projected future undiscounted cash flows are less than the carrying value of the assets.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fiscal 2020, the Company recorded a $21.8 million impairment charge primarily related to leasehold improvements, furniture and fixtures and operating lease assets at certain of its Wilsons Leather, G.H. Bass and DKNY stores as a result of the performance at these stores.</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fiscal 2019, the Company recorded a $2.8 million impairment charge related to leasehold improvements and furniture and fixtures at certain of our Wilsons Leather, G.H. Bass and DKNY stores as a result of the performance at these stores.</w:t>
      </w:r>
    </w:p>
    <w:p>
      <w:pPr>
        <w:spacing w:after="0" w:line="1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fiscal 2018, the Company recorded a $6.5 million impairment charge related to leasehold improvements and furniture and fixtures at certain of our Wilsons Leather, G.H. Bass and Vilebrequin stores as a result of the performance at these stores. In addition, the Company recorded a $0.7 million impairment charge with respect to furniture and fixtures located in certain customers’ stores.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10. Income Taxes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The Company accounts for income taxes and uncertain tax positions in accordance with 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Income taxes are accounted for under the liability method, which requires the recognition of deferred tax assets and liabilities for the expected future tax consequences of events that have been included in the financial statements. Under this method, deferred tax assets and liabilities are determined on the basis of differences between the tax bases of assets and liabilities and their financial reporting amounts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ASC 740 prescribes a recognition threshold and measurement attribute for the financial statement recognition and measurement of a tax position taken or expected to be taken in a return, as well as guidance on de-recognition, classification, interest and penalties and financial statement reporting disclosures. It is also the Company's policy to provide for uncertain tax positions and the related interest and penalties based upon management's assessment of whether a tax benefit is more likely than not to be sustained upon examination by tax authorities. To the extent the Company prevails in matters for which a liability for an unrecognized tax benefit is established, or is required to pay amounts in excess of the liability, or when other facts and circumstances change, the Company's effective tax rate in a given financial statement period may be materially affected.</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Tax Cuts and Jobs Act of 2017 (“TCJA”) provides for a reduced corporate income tax rate of 21% and requires that certain income earned by foreign subsidiaries, known as global intangible low-tax income (“GILTI”), must be included in the gross income of their U.S. shareholder. For fiscal 2020, the Company recognized an immaterial provision for GILTI and has elected to treat the tax effect of GILTI as a current period expense. For the current and future tax years, the Company expects other TCJA tax implications to be immaterial.</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May 19, 2019, Switzerland approved the Federal Act on Tax Reform and Old-Age and Survivors Insurance Financing. The effective date of the Swiss tax reform for federal and cantonal jurisdictions began on January 1, 2020. Tax implications on the enacted Swiss tax reform are discussed in Note H -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11. Net Income Per Common Share</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unit awards and stock options outstanding during the period. Approximately 692,000, 336,000 and 466,000 shares for the years ended January 31, 2020, 2019 and 2018, respectively, have been excluded from the diluted net income per share calculation. In addition, all share-based payments outstanding that vest based on the achievement of performance and/or market price conditions, and for which the respective performance and/or market price conditions have not been achieved, have been excluded from the diluted per share calculation. The Company issued 8,851, 168,179 and 201,968 shares of common stock in connection with the exercise or vesting of equity awards during the years ended January 31, 2020, 2019 and 2018, respectively. In addition, the Company re-issued 619,651 and 150,809 treasury shares in connection with the vesting of equity awards in fiscal 2020 and fiscal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left="415"/>
              <w:spacing w:after="0"/>
              <w:rPr>
                <w:sz w:val="20"/>
                <w:szCs w:val="20"/>
                <w:color w:val="auto"/>
              </w:rPr>
            </w:pPr>
            <w:r>
              <w:rPr>
                <w:rFonts w:ascii="Arial" w:cs="Arial" w:eastAsia="Arial" w:hAnsi="Arial"/>
                <w:sz w:val="14"/>
                <w:szCs w:val="14"/>
                <w:b w:val="1"/>
                <w:bCs w:val="1"/>
                <w:color w:val="auto"/>
                <w:w w:val="93"/>
              </w:rPr>
              <w:t>Year Ended January 31,</w:t>
            </w:r>
          </w:p>
        </w:tc>
        <w:tc>
          <w:tcPr>
            <w:tcW w:w="580" w:type="dxa"/>
            <w:vAlign w:val="bottom"/>
            <w:tcBorders>
              <w:bottom w:val="single" w:sz="8" w:color="auto"/>
            </w:tcBorders>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143,837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138,067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62,124</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Basic net income per share: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common shares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48,820</w:t>
            </w:r>
          </w:p>
        </w:tc>
      </w:tr>
      <w:tr>
        <w:trPr>
          <w:trHeight w:val="250"/>
        </w:trPr>
        <w:tc>
          <w:tcPr>
            <w:tcW w:w="6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 net income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197"/>
        </w:trPr>
        <w:tc>
          <w:tcPr>
            <w:tcW w:w="6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common shares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48,820</w:t>
            </w:r>
          </w:p>
        </w:tc>
      </w:tr>
      <w:tr>
        <w:trPr>
          <w:trHeight w:val="216"/>
        </w:trPr>
        <w:tc>
          <w:tcPr>
            <w:tcW w:w="6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restricted stock awards and stock options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09"/>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common shares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49,750</w:t>
            </w:r>
          </w:p>
        </w:tc>
      </w:tr>
      <w:tr>
        <w:trPr>
          <w:trHeight w:val="210"/>
        </w:trPr>
        <w:tc>
          <w:tcPr>
            <w:tcW w:w="6160" w:type="dxa"/>
            <w:vAlign w:val="bottom"/>
          </w:tcPr>
          <w:p>
            <w:pPr>
              <w:ind w:left="120"/>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12. Equity Award Compensation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requires all share-based payments to employees, including grants of restricted stock unit awards and employee stock options, to be recognized as compensation expense over the service period (generally the vesting period) based on their fair values.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 accounts for forfeited awards as they occur as permitted by Accounting Standard Update (“ASU”) 2016-09. Ultimately, the actual expense recognized over the vesting period will be for those shares that vested. Restricted stock units (“RSU’s”) are time based awards that do not have market or performance conditions and generally vest over a three year period. Performance based restricted stock units (“PRSU’s”) granted to executives prior to fiscal 2020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Performance stock units (“PSU’s”) were granted to executives in fiscal 2020 and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of shares for two years subsequent to the date of vesting. RSU’s and employee stock options are expensed on a straight-line basis. PRSU’s are expensed under the requisite acceleration method. PSU’s are expensed under the requisite acceleration method and based on an estimated percentage of achievement of certain pre-established goals.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It is the Company’s policy to grant stock options at prices not less than the fair market value on the date of the grant.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Option terms, vesting and exercise periods vary, except that the term of an option may not exceed ten years.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Also, in accordance with ASU 2016-09, excess tax benefits arising from the lapse or exercise of an equity award are no longer recognized in additional paid-in capital. The assumed proceeds from applying the treasury stock method when computing net income per share is amended to exclude the amount of excess tax benefits that would be recognized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13. Cost of Goods Sold</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Cost of goods sold includes the expenses incurred to acquire, produce and prepare inventory for sale, including product costs, warehouse staff wages, freight in, import costs, packaging materials, the cost of operating the overseas offices and royalty expense. Gross margins may not be directly comparable to those of the Company’s competitors, as income statement classifications of certain expenses may vary by company. Additionally, ASC 606 requires that costs expected to be incurred when products are returned should be accrued for upon the sale of the product as a component of cost of goods sold. These restocking costs were previously recognized when incurred and recorded in selling, general and administrative expenses.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14. Shipping and Handling Costs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Shipping and handling costs consist of warehouse facility costs, third party warehousing, freight out costs, and warehouse supervisory wages and are included in selling, general and administrative expenses. Shipping and handling costs included in selling, general and administrative expenses were $138.8 million, $125.9 million and $120.2 million for the years ended January 31, 2020, 2019 and 2018,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15. Advertising Costs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expenses advertising costs as incurred and includes these costs in selling, general and administrative expenses. Advertising paid as a percentage of sales under license agreements are expensed in the period in which the sales occur or are accrued to meet guaranteed minimum requirements under license agreements. Advertising expense was $94.7 million, $87.8 million and $105.6 million for the years ended January 31, 2020, 2019 and 2018, respectively. Prepaid advertising, which represents advance payments to licensors for minimum guaranteed payments for advertising under the Company’s licensing agreements, was $8.7 million and $9.0 million at January 31, 2020 and 2019,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16. Use of Estimates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preparing financial statements in conformity with accounting principles generally accepted in the United States (“GAAP”),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In determining these estimates, management must use amounts that are based upon its informed judgments and best estimates. The Company continually evaluates its estimates, including those related to customer allowances and discounts, product returns, bad debts, inventories, equity awards, income taxes, carrying values of intangible assets and long-lived assets including right of use assets. Estimates are based on historical experience and on various other assumptions that the Company believes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17. Fair Value of Financial Instruments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4"/>
          </w:tcPr>
          <w:p>
            <w:pPr>
              <w:ind w:left="620"/>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tcPr>
          <w:p>
            <w:pPr>
              <w:spacing w:after="0"/>
              <w:rPr>
                <w:sz w:val="18"/>
                <w:szCs w:val="18"/>
                <w:color w:val="auto"/>
              </w:rPr>
            </w:pPr>
          </w:p>
        </w:tc>
        <w:tc>
          <w:tcPr>
            <w:tcW w:w="246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Fair Value</w:t>
            </w:r>
          </w:p>
        </w:tc>
      </w:tr>
      <w:tr>
        <w:trPr>
          <w:trHeight w:val="188"/>
        </w:trPr>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4"/>
              <w:spacing w:after="0"/>
              <w:rPr>
                <w:sz w:val="20"/>
                <w:szCs w:val="20"/>
                <w:color w:val="auto"/>
              </w:rPr>
            </w:pPr>
            <w:r>
              <w:rPr>
                <w:rFonts w:ascii="Arial" w:cs="Arial" w:eastAsia="Arial" w:hAnsi="Arial"/>
                <w:sz w:val="16"/>
                <w:szCs w:val="16"/>
                <w:b w:val="1"/>
                <w:bCs w:val="1"/>
                <w:color w:val="auto"/>
                <w:w w:val="93"/>
              </w:rPr>
              <w:t>January 31,</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93"/>
              </w:rPr>
              <w:t>January 31,</w:t>
            </w: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94"/>
              <w:spacing w:after="0"/>
              <w:rPr>
                <w:sz w:val="20"/>
                <w:szCs w:val="20"/>
                <w:color w:val="auto"/>
              </w:rPr>
            </w:pPr>
            <w:r>
              <w:rPr>
                <w:rFonts w:ascii="Arial" w:cs="Arial" w:eastAsia="Arial" w:hAnsi="Arial"/>
                <w:sz w:val="16"/>
                <w:szCs w:val="16"/>
                <w:b w:val="1"/>
                <w:bCs w:val="1"/>
                <w:color w:val="auto"/>
                <w:w w:val="95"/>
              </w:rPr>
              <w:t>January 31,</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5"/>
              </w:rPr>
              <w:t>January 31,</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w:t>
            </w:r>
          </w:p>
        </w:tc>
        <w:tc>
          <w:tcPr>
            <w:tcW w:w="1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8"/>
                <w:szCs w:val="18"/>
                <w:color w:val="auto"/>
              </w:rPr>
            </w:pPr>
          </w:p>
        </w:tc>
        <w:tc>
          <w:tcPr>
            <w:tcW w:w="10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r>
      <w:tr>
        <w:trPr>
          <w:trHeight w:val="199"/>
        </w:trPr>
        <w:tc>
          <w:tcPr>
            <w:tcW w:w="2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gridSpan w:val="4"/>
          </w:tcPr>
          <w:p>
            <w:pPr>
              <w:jc w:val="right"/>
              <w:ind w:right="814"/>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issued to LVMH</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102,009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95,126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88,608</w:t>
            </w: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Unsecured loan</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2,860</w:t>
            </w:r>
          </w:p>
        </w:tc>
        <w:tc>
          <w:tcPr>
            <w:tcW w:w="3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2,860</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Company’s debt instruments are recorded at their carrying values in its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The 2% note issued to LVMH Moet Hennessy Louis Vuitton Inc. (“LVMH”) in connection with the acquisition of DKI was issued at a discount of $40.0 million in accordance with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purposes of this fair value disclosure, the Company based its fair value estimate for the note issued to LVMH on the initial fair value as determined at the date of the acquisition of DKI and records the amortization using the effective interest method over the term of the note.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the note issued to LVMH was considered a Level 3 valuation in the fair value hierarchy.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Non-Financial Assets and Liabilities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212529"/>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impaired assets,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the fourth quarter of fiscal 2020, the Company recorded a $21.8 million impairment charge primarily related to leasehold improvements, furniture and fixtures and operating lease assets at certain Wilsons Leather, G.H. Bass and DKNY stores as a result of the performance at these stores. In addition, during the first quarter of fiscal 2020, the Company recorded an impairment of $9.6 million, net of tax, in connection with the adoption of ASC 842 – </w:t>
      </w:r>
      <w:r>
        <w:rPr>
          <w:rFonts w:ascii="Arial" w:cs="Arial" w:eastAsia="Arial" w:hAnsi="Arial"/>
          <w:sz w:val="16"/>
          <w:szCs w:val="16"/>
          <w:i w:val="1"/>
          <w:iCs w:val="1"/>
          <w:color w:val="212529"/>
        </w:rPr>
        <w:t>Leases</w:t>
      </w:r>
      <w:r>
        <w:rPr>
          <w:rFonts w:ascii="Arial" w:cs="Arial" w:eastAsia="Arial" w:hAnsi="Arial"/>
          <w:sz w:val="16"/>
          <w:szCs w:val="16"/>
          <w:color w:val="212529"/>
        </w:rPr>
        <w:t xml:space="preserve"> (“ASC 842”) that was recognized through retained earnings.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18. Foreign Currency Translation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Certain of the Company’s international subsidiaries use different functional currencies, which are, for the most part, the local currency. In accordance with the authoritative guidance, assets and liabilities of the Company’s foreign operations are translated from foreign currency into U.S. dollars at period-end rates, while income and expenses are translated at the weighted average exchange rates for the period. The related translation adjustments are reflected as a foreign currency translation adjustment in accumulated other comprehensive loss within stockholders’ equity.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19. Effects of Recently Adopted and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February 2016, the FASB issued ASU 2016-02, “Leases (Topic 842).” ASU 2016-02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certain adjustments. The Company adopted ASU 2016-02 during the first quarter of fiscal 2020 using the optional transition method to apply the standard as of the effective date. As a result of adopting this standard, as of February 1, 2019, the Company recognized operating lease liabilities of $384.5 million and corresponding operating lease assets of $341.2 million. In addition, the Company recorded a $9.6 million impairment of the operating lease assets, net of tax, at adoption. The impairment was recorded as a reduction to retained earnings.</w:t>
      </w:r>
    </w:p>
    <w:p>
      <w:pPr>
        <w:spacing w:after="0" w:line="16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June 2018, the FASB issued ASU 2018-07, “FASB Simplifies Guidance on Nonemployee Share-Based Payments,” which supersedes ASC 505-50 and expands the scope of ASC 718 to include all share-based payment arrangements related to the acquisition of goods and services from both nonemployees and employees. As a result, most of the guidance in ASC 718 associated with employee share-based payments, including most of its requirements related to classification and measurement, applies to nonemployee share-based payment arrangements. The Company adopted ASU 2018-07 during the first quarter of fiscal 2020. The adoption did not have an impact on the Company’s consolidated financial statements.</w:t>
      </w:r>
    </w:p>
    <w:p>
      <w:pPr>
        <w:spacing w:after="0" w:line="16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(or portion thereof) in the TCJA is recorded. The Company adopted ASU 2018-02 during the first quarter of fiscal 2020. The adoption did not have an impact on the Company’s consolidated financial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Guidance Issued Being Evaluated for Adoption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Subsequently, the FASB issued amendments to clarify the codification, in addition to also clarifying the implementation dates and the items that fall within the scope of the pronouncement. This pronouncement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may lead to a loss being realized, regardless of whether it is probable that the future event will occur. The “incurred loss” model considers past events and current conditions, while the “expected loss” model includes expectations for the future which have yet to occur. The new standard will require entities to record a cumulative-effect adjustment to the balance sheet as of the beginning of the first reporting period in which the guidance is effective.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ASU 2016-13 is effective for all entities for fiscal years beginning after December 15, 2019, including interim periods within those fiscal years, with early adoption permitted. The Company adopted the standard effective February 1, 2020. The Company does not expect the adoption of ASU 2016-13 to result in a material change to its consolidated financial statements.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makes a number of changes meant to add, modify or remove certain disclosure requirements associated with the movement among or hierarchy associated with Level 1, Level 2 and Level 3 fair value measurements. The amendments in ASU 2018-13 modify the disclosure requirements with respect to fair value measurements based on the concepts in FASB Concepts Statement, Conceptual Framework for Financial Reporting—Chapter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amendments are effective for all entities for fiscal years beginning after December 15, 2019, and interim periods within those fiscal years, with early adoption permitted. The Company adopted the standard effective February 1, 2020. The Company does not expect the adoption of ASU 2018-13 to result in a material change to its consolidated financial statements.</w:t>
      </w:r>
    </w:p>
    <w:p>
      <w:pPr>
        <w:spacing w:after="0" w:line="17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August 29, 2018, the FASB issued ASU 2018-15, Customers Accounting for Implementation Costs Incurred in a Cloud Computing Arrangement That Is A Service Contract which addresses the accounting for implementation costs incurred in a cloud computing arrangement (“CCA”) that is a service contract. ASU 2018-15 aligns the accounting for costs incurred to implement a CCA that is a service arrangement with the guidance on capitalizing costs associated with developing or obtaining internal-use software. Specifically, ASU 2018-15 amends ASC 350 to include in its scope implementation costs of a CCA that is a service contract and clarifies that a customer should apply ASC 350-40 to determine which implementation costs should be capitalized in a CCA that is considered a service contract. The Company adopted ASU 2018-15 effective February 1, 2020. The Company does not expect the adoption ASU 2018-15 to result in a material change to its consolidated financial statements.</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B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RECOGNITION</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On February 1, 2018, the Company adopted ASC 606 using the modified retrospective method as of January 31, 2018. The Company recognized a cumulative effect adjustment to the opening balance of stockholders’ equity at February 1, 2018 that reduced stockholders’ equity by $53.7 million, net of tax, as a result of the adoption of ASC 606.</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Prospectively, the adoption of ASC 606 primarily affects the timing of recognition of certain adjustments that are recorded in net sales for the wholesale operations segment. Under ASC 606,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Under ASC 606, the Company estimates the anticipated variable consideration and records this estimate as a reduction of revenue in the period the related product revenue is recognized. Prior to adopting ASC 606, certain components of variable consideration were recorded at a later date when the liability was known or incurred.</w:t>
      </w:r>
    </w:p>
    <w:p>
      <w:pPr>
        <w:spacing w:after="0" w:line="9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adoption of ASC 606 also resulted in prospectively changing the presentation of certain items on the Consolidated Balance Sheets and the Consolidated Statements of Income and Comprehensive Income. Under the prior guidance, the liability recorded in connection with variable consideration was recorded as a reduction to accounts receivable. With the adoption of ASC 606, these amounts have been classified as a current liability under “Customer refund liabilities” in the Consolidated Balance Sheet. Additionally, the Company now classifies cooperative advertising as a reduction of net sales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the Consolidated Statements of Income and Comprehensive Income. Previously, cooperative advertising was recorded in selling, general and administrative expenses. ASC 606 requires that costs expected to be incurred when products are returned should be accrued for upon the sale of the product as a component of cost of goods sold. These restocking costs were previously recognized when incurred and recorded in selling, general and administrative expenses.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adoption of ASC 606 had no net impact on the Company’s cash flows from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accordance with ASC 606,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identified the wholesale operations segment and the retail operations segment as distinct sources of revenue.</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Wholesale Operations Segment. </w:t>
      </w:r>
      <w:r>
        <w:rPr>
          <w:rFonts w:ascii="Arial" w:cs="Arial" w:eastAsia="Arial" w:hAnsi="Arial"/>
          <w:sz w:val="17"/>
          <w:szCs w:val="17"/>
          <w:color w:val="auto"/>
        </w:rPr>
        <w:t>Wholesale revenues include sales of products to retailers under owned, licensed and</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revenues from license agreements related to the DKNY, Donna Karan, G.H. Bass, Andrew Marc and Vilebrequin trademarks owned by the Company. As of January 31, 2020, revenues from license agreements represented an insignificant portion of wholesale revenues.</w:t>
      </w:r>
    </w:p>
    <w:p>
      <w:pPr>
        <w:spacing w:after="0" w:line="18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 xml:space="preserve">Retail Operations Segment. </w:t>
      </w:r>
      <w:r>
        <w:rPr>
          <w:rFonts w:ascii="Arial" w:cs="Arial" w:eastAsia="Arial" w:hAnsi="Arial"/>
          <w:sz w:val="16"/>
          <w:szCs w:val="16"/>
          <w:color w:val="auto"/>
        </w:rPr>
        <w:t>Retail store revenues are generated by direct sales to consumers through company-operated</w:t>
      </w:r>
      <w:r>
        <w:rPr>
          <w:rFonts w:ascii="Arial" w:cs="Arial" w:eastAsia="Arial" w:hAnsi="Arial"/>
          <w:sz w:val="16"/>
          <w:szCs w:val="16"/>
          <w:i w:val="1"/>
          <w:iCs w:val="1"/>
          <w:color w:val="auto"/>
        </w:rPr>
        <w:t xml:space="preserve"> </w:t>
      </w:r>
      <w:r>
        <w:rPr>
          <w:rFonts w:ascii="Arial" w:cs="Arial" w:eastAsia="Arial" w:hAnsi="Arial"/>
          <w:sz w:val="16"/>
          <w:szCs w:val="16"/>
          <w:color w:val="auto"/>
        </w:rPr>
        <w:t>stores and product sales through the Company’s owned websites for the DKNY, Donna Karan, Wilsons Leather, G.H. Bass, Andrew Marc and Karl Lagerfeld Paris businesses. Retail stores primarily consist of Wilsons Leather, G.H. Bass and DKNY retail stores, substantially all of which are operated as outlet stores. Retail operations segment revenues are recognized at the point of sale when the customer takes possession of the goods and tenders payment. E-commerce revenues primarily consist of sales to consumers through the Company’s e-commerce platforms. E-commerce revenue is recognized when a customer takes possession of the goods. Retail sales are recorded net of applicable sales tax.</w:t>
      </w:r>
    </w:p>
    <w:p>
      <w:pPr>
        <w:spacing w:after="0" w:line="16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i w:val="1"/>
          <w:iCs w:val="1"/>
          <w:color w:val="auto"/>
        </w:rPr>
        <w:t>Variable Consideration</w:t>
      </w:r>
      <w:r>
        <w:rPr>
          <w:rFonts w:ascii="Arial" w:cs="Arial" w:eastAsia="Arial" w:hAnsi="Arial"/>
          <w:sz w:val="17"/>
          <w:szCs w:val="17"/>
          <w:color w:val="auto"/>
        </w:rPr>
        <w:t>. The difference between the amount initially billed and the amount collected represents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The Company may 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identified the following elements of variable consideration:</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Markdowns</w:t>
      </w:r>
      <w:r>
        <w:rPr>
          <w:rFonts w:ascii="Arial" w:cs="Arial" w:eastAsia="Arial" w:hAnsi="Arial"/>
          <w:sz w:val="16"/>
          <w:szCs w:val="16"/>
          <w:color w:val="auto"/>
        </w:rPr>
        <w:t>. Markdown allowances consist of accommodations in the form of price reductions to wholesale customers for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merchandise. In general, markdowns are granted to full price customers, such as department stores. Markdowns may vary year-over-year and are granted based on the performance of Company merchandise at a customer’s retail stores.</w:t>
      </w:r>
    </w:p>
    <w:p>
      <w:pPr>
        <w:spacing w:after="0" w:line="14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i w:val="1"/>
          <w:iCs w:val="1"/>
          <w:color w:val="auto"/>
        </w:rPr>
        <w:t xml:space="preserve">Term Discounts. </w:t>
      </w:r>
      <w:r>
        <w:rPr>
          <w:rFonts w:ascii="Arial" w:cs="Arial" w:eastAsia="Arial" w:hAnsi="Arial"/>
          <w:sz w:val="18"/>
          <w:szCs w:val="18"/>
          <w:color w:val="auto"/>
        </w:rPr>
        <w:t>Term discounts represent a discount from the initial wholesale sales price to certain wholesale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customary industry practice.</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i w:val="1"/>
          <w:iCs w:val="1"/>
          <w:color w:val="auto"/>
        </w:rPr>
        <w:t>Sales Allowances</w:t>
      </w:r>
      <w:r>
        <w:rPr>
          <w:rFonts w:ascii="Arial" w:cs="Arial" w:eastAsia="Arial" w:hAnsi="Arial"/>
          <w:sz w:val="17"/>
          <w:szCs w:val="17"/>
          <w:color w:val="auto"/>
        </w:rPr>
        <w:t>. Sales allowances are reductions of the selling price agreed upon with wholesale customers. Sales</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allowances may be contractual or may be granted on a case-by-case basis. Non-contractual sales allowances may be granted in connection with billing adjustments and, in some cases, for product related issues.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i w:val="1"/>
          <w:iCs w:val="1"/>
          <w:color w:val="auto"/>
        </w:rPr>
        <w:t>Advertising Allowances</w:t>
      </w:r>
      <w:r>
        <w:rPr>
          <w:rFonts w:ascii="Arial" w:cs="Arial" w:eastAsia="Arial" w:hAnsi="Arial"/>
          <w:sz w:val="17"/>
          <w:szCs w:val="17"/>
          <w:color w:val="auto"/>
        </w:rPr>
        <w:t>. Advertising allowances consist of the Company’s financial participation in the promotional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of its wholesale customers. Wholesale customers may charge back a portion of the advertising expense incurred against open invoices. Advertising programs are generally agreed upon at the beginning of a season.</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Other Allowances</w:t>
      </w:r>
      <w:r>
        <w:rPr>
          <w:rFonts w:ascii="Arial" w:cs="Arial" w:eastAsia="Arial" w:hAnsi="Arial"/>
          <w:sz w:val="18"/>
          <w:szCs w:val="18"/>
          <w:color w:val="auto"/>
        </w:rPr>
        <w:t>. General allowances consist of price reductions granted to a wholesale customer and may relate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participation in costs incurred by the customer during the sales process, as well as price differences, shortages and charges for operational non-compliance.</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Return of Merchandise</w:t>
      </w:r>
      <w:r>
        <w:rPr>
          <w:rFonts w:ascii="Arial" w:cs="Arial" w:eastAsia="Arial" w:hAnsi="Arial"/>
          <w:sz w:val="18"/>
          <w:szCs w:val="18"/>
          <w:color w:val="auto"/>
        </w:rPr>
        <w:t>. For wholesale customers, the Company may make accommodations for returns of merchandise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underperforming at a customer’s retail stores. For retail customers, as a matter of Company policy, whether merchandise is purchased at the Company’s stores or on its e-commerce platforms, the consumer generally has up to 90 days to return merchandise from the date of purchase.</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As of January 31, 2020 and 2019, customer refund liabilities amounted to $233.4 million and $243.6 million, respectively. Historical return rates are calculated on a product line basis. The remainder of the historical rates for variable consideration are calculated by customer by product lines.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Liabilities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$5.9 million and $6.4 million at January 31, 2020 and 2019, respectively. The Company recognized $6.3 million in revenue for the year ended January 31, 2020 which related to contract liabilities that existed at January 31, 2019. There were no contract assets recorded as of January 31, 2020 and January 31, 2019. Substantially all of the advance payments from licenses as of January 31, 2020 are expected to be recognized as revenue within the next twelve months.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C — INVENTORIES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inventory return asset, which consists of the amount of goods that are anticipated to be returned by customers, represented $31.0 million and $42.4 million at January 31, 2020 and 2019, respectively. The inventory return asset is recorded within prepaid expenses and other current assets as of January 31, 2020 and 2019.</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Inventory held on consignment by the Company’s customers totaled $9.1 million and $4.9 million at January 31, 2020 and 2019, respectively. Consignment inventory is stored at the facilities of the Company’s customers. The Company reflects this inventory on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D — 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consist of:</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340" w:type="dxa"/>
            <w:vAlign w:val="bottom"/>
            <w:gridSpan w:val="2"/>
            <w:vMerge w:val="restart"/>
          </w:tcPr>
          <w:p>
            <w:pPr>
              <w:jc w:val="center"/>
              <w:ind w:left="1408"/>
              <w:spacing w:after="0"/>
              <w:rPr>
                <w:sz w:val="20"/>
                <w:szCs w:val="20"/>
                <w:color w:val="auto"/>
              </w:rPr>
            </w:pPr>
            <w:r>
              <w:rPr>
                <w:rFonts w:ascii="Arial" w:cs="Arial" w:eastAsia="Arial" w:hAnsi="Arial"/>
                <w:sz w:val="14"/>
                <w:szCs w:val="14"/>
                <w:b w:val="1"/>
                <w:bCs w:val="1"/>
                <w:color w:val="auto"/>
                <w:w w:val="94"/>
              </w:rPr>
              <w:t>Estimated life</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ind w:right="572"/>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3-13 years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78,403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3-10 years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97,133</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Computer equipment and software</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2-5 years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32,537</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210,343</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(151,976)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(123,936)</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 wrote off fixed assets of $5.4 million and $2.0 million, net of accumulated depreciation, for the years ended January 31, 2020 and 2019. Depreciation expense was $33.8 million, $33.9 million and $32.8 million for the years ended January 31, 2020, 2019 and 2018, respectively. For the year ended January 31, 2020, the Company recorded a $11.5 million impairment charge related to leasehold improvements and furniture and fixtures of certain Wilsons Leather, G.H. Bass and DKNY stores as a result of the performance of these stores. For the year ended January 31, 2019, the Company recorded a $2.8 million impairment charge related to leasehold improvements and furniture and fixtures of certain Wilsons Leather, G.H. Bass and Vilebrequin stores as a result of the performance of these stores. For the year ended January 31, 2018, the Company recorded a $10.5 million impairment charge on leasehold improvements and furniture and fixtures of certain of its Wilsons Leather and G.H. Bass stores as a result of the performance of these stores and a $0.7 million impairment charge with respect to furniture and fixtures located in certain customers’ stores.</w:t>
      </w:r>
    </w:p>
    <w:p>
      <w:pPr>
        <w:spacing w:after="0" w:line="16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 evaluates long-lived assets, which consist primarily of property and equipment and operating lease assets, for impairment whenever events or changes in circumstances indicate that the carrying amount of an asset may not be recoverable. In the evaluation process, the Company first compares the carrying value of the asset to the estimated future cash flows (undiscounted and without interest charges plus proceeds expected from disposition, if any). If the estimated undiscounted cash flows are less than the carrying value of the asset, the Company needs to determine the fair value of the assets. The Company compares the carrying value of the asset or asset group to its estimated fair value. If the fair value is less than the carrying value, the Company recognizes an impairment charge. The carrying amount of the asset or asset group is reduced to the estimated fair value based on a discounted cash flow valuation. Assets to be disposed of are reported at the lower of the carrying amount of the asset or fair value less costs to sell. The Company reviews retail store assets for potential impairment based on historical cash flows, lease termination provisions and forecasted future retail store operating results. If the Company recognizes an impairment charge for a depreciable long-lived asset, the adjusted carrying amount of the asset becomes its new cost basis and will be depreciated (amortized) over the remaining useful life of that asset.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E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16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February 1, 2019, the Company adopted ASC 842 using the optional transition method to apply the standard as of the effective date and, therefore, the standard has not been applied retroactively to the comparative periods presented in its financial statements. The Company has elected the transition package of three practical expedients permitted within the standard, which eliminates the requirements to reassess prior conclusions about lease identification, lease classification and initial direct costs. Further,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determines whether an arrangement is, or contains, a lease at contract inception. The Company leases certain retail stores, warehouses, distribution centers, office space and equipment. Leases with an initial term of 12 months or less are not recorded on the balance sheet. The Company recognizes lease expense for these leases on a straight-line basis over the lease term.</w:t>
      </w:r>
    </w:p>
    <w:p>
      <w:pPr>
        <w:spacing w:after="0" w:line="18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Total rent payable is recorded during the lease term, including rent escalations in which the amount of future rent is certain or fixed on the straight-line basis over the term of the lease (including any rent holiday periods beginning upon control of the premises and any fixed payments stated in the lease).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Certain leases contain provisions that require contingent rent payments based upon sales volume (variable lease cost).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Contingent rent is accrued each period as the liabilities are incurred.</w:t>
      </w:r>
    </w:p>
    <w:p>
      <w:pPr>
        <w:spacing w:after="0" w:line="21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lease assets and liabilities as of January 31, 2020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Pr>
          <w:p>
            <w:pPr>
              <w:spacing w:after="0"/>
              <w:rPr>
                <w:sz w:val="14"/>
                <w:szCs w:val="14"/>
                <w:color w:val="auto"/>
              </w:rPr>
            </w:pPr>
          </w:p>
        </w:tc>
        <w:tc>
          <w:tcPr>
            <w:tcW w:w="1680" w:type="dxa"/>
            <w:vAlign w:val="bottom"/>
          </w:tcPr>
          <w:p>
            <w:pPr>
              <w:jc w:val="right"/>
              <w:ind w:right="355"/>
              <w:spacing w:after="0"/>
              <w:rPr>
                <w:sz w:val="20"/>
                <w:szCs w:val="20"/>
                <w:color w:val="auto"/>
              </w:rPr>
            </w:pPr>
            <w:r>
              <w:rPr>
                <w:rFonts w:ascii="Arial" w:cs="Arial" w:eastAsia="Arial" w:hAnsi="Arial"/>
                <w:sz w:val="14"/>
                <w:szCs w:val="14"/>
                <w:b w:val="1"/>
                <w:bCs w:val="1"/>
                <w:color w:val="auto"/>
              </w:rPr>
              <w:t>January 31, 2020</w:t>
            </w:r>
          </w:p>
        </w:tc>
      </w:tr>
      <w:tr>
        <w:trPr>
          <w:trHeight w:val="142"/>
        </w:trPr>
        <w:tc>
          <w:tcPr>
            <w:tcW w:w="29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w:t>
            </w:r>
          </w:p>
        </w:tc>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270,032</w:t>
            </w:r>
          </w:p>
        </w:tc>
      </w:tr>
      <w:tr>
        <w:trPr>
          <w:trHeight w:val="21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assets</w:t>
            </w:r>
          </w:p>
        </w:tc>
        <w:tc>
          <w:tcPr>
            <w:tcW w:w="3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270,032</w:t>
            </w:r>
          </w:p>
        </w:tc>
      </w:tr>
      <w:tr>
        <w:trPr>
          <w:trHeight w:val="20"/>
        </w:trPr>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Current operating</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63,166</w:t>
            </w: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operating</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249,040</w:t>
            </w:r>
          </w:p>
        </w:tc>
      </w:tr>
      <w:tr>
        <w:trPr>
          <w:trHeight w:val="20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312,206</w:t>
            </w:r>
          </w:p>
        </w:tc>
      </w:tr>
      <w:tr>
        <w:trPr>
          <w:trHeight w:val="20"/>
        </w:trPr>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leases do not provide the rate of interest implicit in the lease. Therefore, the Company uses its incremental borrowing rate based on the information available at commencement date in determining the present value of lease payments. For transition purposes, the incremental borrowing rate on February 1, 2019 was used for operating leases that commenced prior to that date.</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recorded lease costs of $98.4 million during the year ended January 31, 2020. Lease costs are recorded within selling, general and administrative expenses in the Company’s consolidated statements of income and comprehensive income. The Company recorded variable lease costs and short-term lease costs of $16.8 million for the year ended January 31, 2020. Short-term lease costs are immaterial. During fiscal 2020, the Company recorded a $9.9 million impairment charge related to the operating lease assets at certain of our Wilsons Leather, G.H. Bass and DKNY stores as a result of the performance of these stores. The Company determines the fair value of operating lease assets by discounting the estimated market rental rates over the remaining term of the lease.</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January 31, 2020, the Company’s maturity of operating lease liabilities in the years ending up to January 31, 2025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84,407</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77,162</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67,646</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53,962</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43,425</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57,137</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383,739</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71,533</w:t>
            </w: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312,206</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January 31, 2020, there are no material leases that are legally binding but have not yet commenced.</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January 31, 2020, the weighted average remaining lease term related to operating leases is 5.2 years. The weighted average discount rate related to operating leases is 7.8%.</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paid for amounts included in the measurement of operating lease liabilities is $100.8 million as of January 31,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Right-of-use assets obtained in exchange for lease obligations were $27.0 million during the year ended January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F — INTANGIBLE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consist of:</w:t>
      </w: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gridSpan w:val="3"/>
            <w:vMerge w:val="restart"/>
          </w:tcPr>
          <w:p>
            <w:pPr>
              <w:ind w:left="1460"/>
              <w:spacing w:after="0"/>
              <w:rPr>
                <w:sz w:val="20"/>
                <w:szCs w:val="20"/>
                <w:color w:val="auto"/>
              </w:rPr>
            </w:pPr>
            <w:r>
              <w:rPr>
                <w:rFonts w:ascii="Arial" w:cs="Arial" w:eastAsia="Arial" w:hAnsi="Arial"/>
                <w:sz w:val="14"/>
                <w:szCs w:val="14"/>
                <w:b w:val="1"/>
                <w:bCs w:val="1"/>
                <w:color w:val="auto"/>
              </w:rPr>
              <w:t>January 31, 2020</w:t>
            </w:r>
          </w:p>
        </w:tc>
        <w:tc>
          <w:tcPr>
            <w:tcW w:w="220" w:type="dxa"/>
            <w:vAlign w:val="bottom"/>
            <w:vMerge w:val="restart"/>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Estimated Life</w:t>
            </w:r>
          </w:p>
        </w:tc>
        <w:tc>
          <w:tcPr>
            <w:tcW w:w="200" w:type="dxa"/>
            <w:vAlign w:val="bottom"/>
            <w:vMerge w:val="restart"/>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0"/>
        </w:trPr>
        <w:tc>
          <w:tcPr>
            <w:tcW w:w="4240" w:type="dxa"/>
            <w:vAlign w:val="bottom"/>
            <w:gridSpan w:val="5"/>
            <w:vMerge w:val="restart"/>
          </w:tcPr>
          <w:p>
            <w:pPr>
              <w:ind w:left="20"/>
              <w:spacing w:after="0"/>
              <w:rPr>
                <w:sz w:val="20"/>
                <w:szCs w:val="20"/>
                <w:color w:val="auto"/>
              </w:rPr>
            </w:pPr>
            <w:r>
              <w:rPr>
                <w:rFonts w:ascii="Arial" w:cs="Arial" w:eastAsia="Arial" w:hAnsi="Arial"/>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Trademarks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38,363</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Arial" w:cs="Arial" w:eastAsia="Arial" w:hAnsi="Arial"/>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438,658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4000" w:type="dxa"/>
            <w:vAlign w:val="bottom"/>
            <w:gridSpan w:val="3"/>
            <w:vMerge w:val="restart"/>
          </w:tcPr>
          <w:p>
            <w:pPr>
              <w:ind w:left="1460"/>
              <w:spacing w:after="0"/>
              <w:rPr>
                <w:sz w:val="20"/>
                <w:szCs w:val="20"/>
                <w:color w:val="auto"/>
              </w:rPr>
            </w:pPr>
            <w:r>
              <w:rPr>
                <w:rFonts w:ascii="Arial" w:cs="Arial" w:eastAsia="Arial" w:hAnsi="Arial"/>
                <w:sz w:val="14"/>
                <w:szCs w:val="14"/>
                <w:b w:val="1"/>
                <w:bCs w:val="1"/>
                <w:color w:val="auto"/>
              </w:rPr>
              <w:t>January 31, 2019</w:t>
            </w:r>
          </w:p>
        </w:tc>
        <w:tc>
          <w:tcPr>
            <w:tcW w:w="220" w:type="dxa"/>
            <w:vAlign w:val="bottom"/>
            <w:vMerge w:val="restart"/>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Estimated Life</w:t>
            </w:r>
          </w:p>
        </w:tc>
        <w:tc>
          <w:tcPr>
            <w:tcW w:w="200" w:type="dxa"/>
            <w:vAlign w:val="bottom"/>
            <w:vMerge w:val="restart"/>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0"/>
        </w:trPr>
        <w:tc>
          <w:tcPr>
            <w:tcW w:w="4240" w:type="dxa"/>
            <w:vAlign w:val="bottom"/>
            <w:gridSpan w:val="5"/>
            <w:vMerge w:val="restart"/>
          </w:tcPr>
          <w:p>
            <w:pPr>
              <w:ind w:left="20"/>
              <w:spacing w:after="0"/>
              <w:rPr>
                <w:sz w:val="20"/>
                <w:szCs w:val="20"/>
                <w:color w:val="auto"/>
              </w:rPr>
            </w:pPr>
            <w:r>
              <w:rPr>
                <w:rFonts w:ascii="Arial" w:cs="Arial" w:eastAsia="Arial" w:hAnsi="Arial"/>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14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Trademarks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8-12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15-17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5-10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Total finite-lived intangible assets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42,404</w:t>
            </w:r>
          </w:p>
        </w:tc>
        <w:tc>
          <w:tcPr>
            <w:tcW w:w="0" w:type="dxa"/>
            <w:vAlign w:val="bottom"/>
          </w:tcPr>
          <w:p>
            <w:pPr>
              <w:spacing w:after="0"/>
              <w:rPr>
                <w:sz w:val="1"/>
                <w:szCs w:val="1"/>
                <w:color w:val="auto"/>
              </w:rPr>
            </w:pPr>
          </w:p>
        </w:tc>
      </w:tr>
      <w:tr>
        <w:trPr>
          <w:trHeight w:val="20"/>
        </w:trPr>
        <w:tc>
          <w:tcPr>
            <w:tcW w:w="4240" w:type="dxa"/>
            <w:vAlign w:val="bottom"/>
            <w:gridSpan w:val="5"/>
            <w:vMerge w:val="restart"/>
          </w:tcPr>
          <w:p>
            <w:pPr>
              <w:ind w:left="20"/>
              <w:spacing w:after="0" w:line="182" w:lineRule="exact"/>
              <w:rPr>
                <w:sz w:val="20"/>
                <w:szCs w:val="20"/>
                <w:color w:val="auto"/>
              </w:rPr>
            </w:pPr>
            <w:r>
              <w:rPr>
                <w:rFonts w:ascii="Arial" w:cs="Arial" w:eastAsia="Arial" w:hAnsi="Arial"/>
                <w:sz w:val="18"/>
                <w:szCs w:val="18"/>
                <w:color w:val="auto"/>
              </w:rPr>
              <w:t>Indefinite-lived intangible assets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5"/>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Trademarks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439,742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Amortization expense with respect to finite-lived intangibles amounted to $4.5 million, $4.6 million and $4.5 million for the years ended January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estimated amortization expense with respect to intangibles for the next five years is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January 31,</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9"/>
              </w:rPr>
              <w:t>Amortization Expense</w:t>
            </w:r>
          </w:p>
        </w:tc>
      </w:tr>
      <w:tr>
        <w:trPr>
          <w:trHeight w:val="142"/>
        </w:trPr>
        <w:tc>
          <w:tcPr>
            <w:tcW w:w="6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right"/>
              <w:ind w:right="495"/>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3,523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Intangible assets with finite lives are amortized over their estimated useful lives and measured for impairment when events or circumstances indicate that the carrying value may be impaired.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Goodwill</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Changes in the amounts of goodwill for each of the years ended January 31, 2020 and 2019 are summarized by reportable segment as follows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4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Wholesale</w:t>
            </w: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Retail</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January 31, 2018</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262,710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262,710</w:t>
            </w:r>
          </w:p>
        </w:tc>
      </w:tr>
      <w:tr>
        <w:trPr>
          <w:trHeight w:val="216"/>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Currency translation</w:t>
            </w:r>
          </w:p>
        </w:tc>
        <w:tc>
          <w:tcPr>
            <w:tcW w:w="1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January 31, 2019</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261,137</w:t>
            </w:r>
          </w:p>
        </w:tc>
      </w:tr>
      <w:tr>
        <w:trPr>
          <w:trHeight w:val="216"/>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Currency translation</w:t>
            </w:r>
          </w:p>
        </w:tc>
        <w:tc>
          <w:tcPr>
            <w:tcW w:w="1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10"/>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31, 2020</w:t>
            </w:r>
          </w:p>
        </w:tc>
        <w:tc>
          <w:tcPr>
            <w:tcW w:w="1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260,622</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260,622</w:t>
            </w:r>
          </w:p>
        </w:tc>
      </w:tr>
      <w:tr>
        <w:trPr>
          <w:trHeight w:val="20"/>
        </w:trPr>
        <w:tc>
          <w:tcPr>
            <w:tcW w:w="3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the test as of January 31 of each year using a qualitative evaluation or a quantitative test that is a combination of a discounted cash flow analysis and a market approach. The discounted cash flow approach requires that certain assumptions and estimates be made regarding industry economic factors and future profitability. The market approach estimates the fair value based on comparisons with the market values and market multiples of earnings and revenues of similar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G — NOTES PAYABLE AND OTHER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debt consists of the following:</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January 31, 2020</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January 31, 2019</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21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6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w:t>
            </w: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Unsecured loan</w:t>
            </w:r>
          </w:p>
        </w:tc>
        <w:tc>
          <w:tcPr>
            <w:tcW w:w="1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427,860</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425,000</w:t>
            </w:r>
          </w:p>
        </w:tc>
      </w:tr>
      <w:tr>
        <w:trPr>
          <w:trHeight w:val="209"/>
        </w:trPr>
        <w:tc>
          <w:tcPr>
            <w:tcW w:w="20" w:type="dxa"/>
            <w:vAlign w:val="bottom"/>
          </w:tcPr>
          <w:p>
            <w:pPr>
              <w:spacing w:after="0"/>
              <w:rPr>
                <w:sz w:val="18"/>
                <w:szCs w:val="18"/>
                <w:color w:val="auto"/>
              </w:rPr>
            </w:pPr>
          </w:p>
        </w:tc>
        <w:tc>
          <w:tcPr>
            <w:tcW w:w="47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4"/>
                <w:szCs w:val="24"/>
                <w:color w:val="auto"/>
                <w:vertAlign w:val="superscript"/>
              </w:rPr>
              <w:t>(1)</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(10,014)</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discount</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(28,382)</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Current portion of long-term debt</w:t>
            </w:r>
          </w:p>
        </w:tc>
        <w:tc>
          <w:tcPr>
            <w:tcW w:w="1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396,794</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386,604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85" w:lineRule="exact"/>
        <w:rPr>
          <w:sz w:val="20"/>
          <w:szCs w:val="20"/>
          <w:color w:val="auto"/>
        </w:rPr>
      </w:pPr>
    </w:p>
    <w:p>
      <w:pPr>
        <w:ind w:left="380" w:right="239" w:hanging="330"/>
        <w:spacing w:after="0" w:line="268" w:lineRule="auto"/>
        <w:tabs>
          <w:tab w:leader="none" w:pos="380"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Does not include the debt issuance costs, net of amortization, totaling $4.6 million and $7.1 million as of January 31, 2020 and 2019, respectively, related to the revolving credit facility. The debt issuance costs have been deferred and are classified in prepaid expenses and other current assets in the accompanying Consolidated Balance Sheets as required under ASU 2015-15.</w:t>
      </w: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Company borrowed $350.0 million under a senior secured term loan facility (the “Term Loan”) that matures in December 2022. The Company prepaid $50.0 million in principal amount of the Term Loan, reducing the principal balance of the Term Loan to $300 million. The Term Loan is guaranteed by certain of the Company’s subsidiaries.</w:t>
      </w:r>
    </w:p>
    <w:p>
      <w:pPr>
        <w:spacing w:after="0" w:line="16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ind w:left="280" w:hanging="230"/>
        <w:spacing w:after="0"/>
        <w:tabs>
          <w:tab w:leader="none" w:pos="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“prime rate” as published by the Wall Street Journal from time to time, (ii) the federal funds rate plus 0.5% or</w:t>
      </w:r>
    </w:p>
    <w:p>
      <w:pPr>
        <w:spacing w:after="0" w:line="20" w:lineRule="exact"/>
        <w:rPr>
          <w:rFonts w:ascii="Arial" w:cs="Arial" w:eastAsia="Arial" w:hAnsi="Arial"/>
          <w:sz w:val="17"/>
          <w:szCs w:val="17"/>
          <w:color w:val="auto"/>
        </w:rPr>
      </w:pPr>
    </w:p>
    <w:p>
      <w:pPr>
        <w:ind w:left="360" w:hanging="310"/>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LIBOR rate for a borrowing with an interest period of one month) plus 4.25%, per annum, payable in cash.</w:t>
      </w:r>
    </w:p>
    <w:p>
      <w:pPr>
        <w:spacing w:after="0" w:line="22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Subject to certain permitted liens and other exclusions and exceptions, the Term Loan is secured (i) on a first-priority basis by a lien on the Company’s real estate assets, equipment and fixtures, equity interests and intellectual property and certain related rights owned by the Company and by certain of the Company’s subsidiaries and (ii) by a second-priority security interest in other assets of the Company and certain of its subsidiaries, which secure on a first-priority basis the Company’s asset-based loan facility described below under the caption “Revolving Credit Facility”.</w:t>
      </w:r>
    </w:p>
    <w:p>
      <w:pPr>
        <w:spacing w:after="0" w:line="1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Term Loan contains covenants that, among other things, restrict the Company’s ability, subject to certain exceptions, to incur additional debt; incur liens; sell or dispose of certain assets; merge with other companies; liquidate or dissolve the Company; acquire other companies; make loans, advances, or guarantees; and make certain investments. A first lien leverage covenant requires the Company to maintain a level of debt to EBITDA at a ratio as defined in the term loan agreement. As of January 31, 2020, the Company was in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Term Loan may be prepaid, at the option of the Company, in whole or in part, at any time at par plus accrued interest. The Term Loan is required to be prepaid with the proceeds of certain asset sales if such proceeds are not applied as required by the Term Loan within certain specified deadlines. The Term Loan is also required to be prepaid in an amount equal to 75% of the “Excess Cash Flow” (as defined in the Term Loan) of the Company with respect to each fiscal year ending on or after January 31, 2018. The percentage of Excess Cash Flow that must be so applied is reduced to 50% if the Company’s senior secured leverage ratio is less than 3.00 to 1.00, to 25% if the Company’s senior secured leverage ratio is less than 2.75 to 1.00 and to 0% if the Company’s senior secured leverage ratio is less than 2.25 to 1.00. As of January 31, 2020, the Company was not required to make a mandatory prepayment provision on excess cash flow as defined within the Term Loan.</w:t>
      </w:r>
    </w:p>
    <w:p>
      <w:pPr>
        <w:spacing w:after="0" w:line="1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also incurred debt issuance costs totaling $18.3 million related to the Term Loan, of which $2.6 million were expensed during each of the years ended January 31, 2020, 2019 and 2018 in connection with the $50 million prepayment. In accordance with ASU 2015-15, the debt issuance costs have been deferred and are presented as a contra-liability, offsetting the outstanding balance of the Term Loan, and are amortized using the effective interest method over the remaining life of the Term Loan.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weighted average interest rate for amounts borrowed under the Term Loan was 7.58% for the year ended January 31, 2020. A 25 basis point change in the interest rates applied to the Term Loan would change annual interest expense under the Term Loan by $0.8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 has a $650 million credit agreement (the “revolving credit facility”) under which amounts available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w:t>
      </w:r>
    </w:p>
    <w:p>
      <w:pPr>
        <w:spacing w:after="0" w:line="1" w:lineRule="exact"/>
        <w:rPr>
          <w:sz w:val="20"/>
          <w:szCs w:val="20"/>
          <w:color w:val="auto"/>
        </w:rPr>
      </w:pPr>
    </w:p>
    <w:p>
      <w:pPr>
        <w:jc w:val="both"/>
        <w:ind w:left="60" w:right="59" w:hanging="10"/>
        <w:spacing w:after="0" w:line="252" w:lineRule="auto"/>
        <w:tabs>
          <w:tab w:leader="none" w:pos="3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LIBOR rate for a borrowing with an interest period of one month) plus a margin of 0.25% to 0.75%, with the applicable margin determined based on the availability under the revolving credit facility agreement.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available commitments.</w:t>
      </w:r>
    </w:p>
    <w:p>
      <w:pPr>
        <w:spacing w:after="0" w:line="19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also incurred debt issuance costs totaling $12.4 million related to the revolving credit facility. As permitted under ASU 2015-15, the debt issuance costs have been deferred and are presented as an asset, which is amortized ratably over the term of the revolving credit facility.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revolving credit facility is secured by specified assets of the Company and certain of its subsidiaries.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January 31, 2020, the Company was in compliance with these covenants.</w:t>
      </w:r>
    </w:p>
    <w:p>
      <w:pPr>
        <w:spacing w:after="0" w:line="16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of January 31, 2020, interest under the revolving credit facility was being charged at the weighted average rate of 3.26% per annum. The revolving credit facility also includes amounts available for letters of credit. As of January 31, 2020, the Company had no borrowings outstanding under the revolving credit facility. As of January 31, 2020, there were outstanding trade and standby letters of credit amounting to $6.5 million and $5.3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LVMH Note</w:t>
      </w:r>
    </w:p>
    <w:p>
      <w:pPr>
        <w:spacing w:after="0" w:line="1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portion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w:t>
      </w:r>
    </w:p>
    <w:p>
      <w:pPr>
        <w:spacing w:after="0" w:line="10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connection with the issuance of the LVMH Note, LVMH entered into (i) a subordination agreement providing that the Company’s obligations under the LVMH Note are subordinate and junior to the Company’s obligations under the revolving credit facility and the Term Loan, and (ii) a pledge and security agreement with the Company and its subsidiary, G-III Leather Fashions, Inc., pursuant to which the Company and G-III Leather Fashions, Inc. granted to LVMH a security interest in specified collateral to secure the Company’s payment and performance of the Company’s obligations under the LVMH Note that is subordinate and junior to the security interest granted by the Company with respect to the Company’s obligations under the revolving credit facility agreement and Term Loan.</w:t>
      </w:r>
    </w:p>
    <w:p>
      <w:pPr>
        <w:spacing w:after="0" w:line="17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Unsecured Loan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April 15, 2019, T.R.B. International SA (“TRB”), a subsidiary of Vilebrequin, borrowed €3.0 million under an unsecured loan with Banque du Leman S.A (the “Unsecured Loan”). The Unsecured Loan matures on April 15, 2024. During the term of the Unsecured Loan, TRB is required to make quarterly installment payments of €0.2 million. Interest on the outstanding principal amount of the Unsecured Loan accrues at a fixed rate equal to 1.50% per annum, payable quarterly in cash.</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Debt Maturities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January 31, 2020, the Company’s mandatory debt repayments mature in the years ending up to January 31, 2025 or thereafter.</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r>
      <w:tr>
        <w:trPr>
          <w:trHeight w:val="142"/>
        </w:trPr>
        <w:tc>
          <w:tcPr>
            <w:tcW w:w="370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2022</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300,673</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125,673</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432"/>
        </w:trPr>
        <w:tc>
          <w:tcPr>
            <w:tcW w:w="3700" w:type="dxa"/>
            <w:vAlign w:val="bottom"/>
          </w:tcPr>
          <w:p>
            <w:pPr>
              <w:ind w:left="20"/>
              <w:spacing w:after="0"/>
              <w:rPr>
                <w:sz w:val="20"/>
                <w:szCs w:val="20"/>
                <w:color w:val="auto"/>
              </w:rPr>
            </w:pPr>
            <w:r>
              <w:rPr>
                <w:rFonts w:ascii="Arial" w:cs="Arial" w:eastAsia="Arial" w:hAnsi="Arial"/>
                <w:sz w:val="18"/>
                <w:szCs w:val="18"/>
                <w:i w:val="1"/>
                <w:iCs w:val="1"/>
                <w:color w:val="auto"/>
              </w:rPr>
              <w:t>Accrued expenses</w:t>
            </w: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700" w:type="dxa"/>
            <w:vAlign w:val="bottom"/>
          </w:tcPr>
          <w:p>
            <w:pPr>
              <w:ind w:left="20"/>
              <w:spacing w:after="0"/>
              <w:rPr>
                <w:sz w:val="20"/>
                <w:szCs w:val="20"/>
                <w:color w:val="auto"/>
              </w:rPr>
            </w:pPr>
            <w:r>
              <w:rPr>
                <w:rFonts w:ascii="Arial" w:cs="Arial" w:eastAsia="Arial" w:hAnsi="Arial"/>
                <w:sz w:val="18"/>
                <w:szCs w:val="18"/>
                <w:color w:val="auto"/>
              </w:rPr>
              <w:t>Accrued expenses consist of the following:</w:t>
            </w: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3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w w:val="99"/>
              </w:rPr>
              <w:t>January 31, 2020</w:t>
            </w:r>
          </w:p>
        </w:tc>
        <w:tc>
          <w:tcPr>
            <w:tcW w:w="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January 31, 2019</w:t>
            </w:r>
          </w:p>
        </w:tc>
      </w:tr>
      <w:tr>
        <w:trPr>
          <w:trHeight w:val="142"/>
        </w:trPr>
        <w:tc>
          <w:tcPr>
            <w:tcW w:w="3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6"/>
          </w:tcPr>
          <w:p>
            <w:pPr>
              <w:jc w:val="right"/>
              <w:ind w:right="612"/>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bonuses</w:t>
            </w:r>
          </w:p>
        </w:tc>
        <w:tc>
          <w:tcPr>
            <w:tcW w:w="316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40,980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44,519</w:t>
            </w:r>
          </w:p>
        </w:tc>
        <w:tc>
          <w:tcPr>
            <w:tcW w:w="20" w:type="dxa"/>
            <w:vAlign w:val="bottom"/>
          </w:tcPr>
          <w:p>
            <w:pPr>
              <w:spacing w:after="0"/>
              <w:rPr>
                <w:sz w:val="18"/>
                <w:szCs w:val="18"/>
                <w:color w:val="auto"/>
              </w:rPr>
            </w:pPr>
          </w:p>
        </w:tc>
      </w:tr>
      <w:tr>
        <w:trPr>
          <w:trHeight w:val="216"/>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2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60,858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58,322</w:t>
            </w:r>
          </w:p>
        </w:tc>
        <w:tc>
          <w:tcPr>
            <w:tcW w:w="20" w:type="dxa"/>
            <w:vAlign w:val="bottom"/>
          </w:tcPr>
          <w:p>
            <w:pPr>
              <w:spacing w:after="0"/>
              <w:rPr>
                <w:sz w:val="18"/>
                <w:szCs w:val="18"/>
                <w:color w:val="auto"/>
              </w:rPr>
            </w:pPr>
          </w:p>
        </w:tc>
      </w:tr>
      <w:tr>
        <w:trPr>
          <w:trHeight w:val="21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101,838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102,841</w:t>
            </w:r>
          </w:p>
        </w:tc>
        <w:tc>
          <w:tcPr>
            <w:tcW w:w="2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3700" w:type="dxa"/>
            <w:vAlign w:val="bottom"/>
          </w:tcPr>
          <w:p>
            <w:pPr>
              <w:spacing w:after="0"/>
              <w:rPr>
                <w:sz w:val="24"/>
                <w:szCs w:val="24"/>
                <w:color w:val="auto"/>
              </w:rPr>
            </w:pPr>
          </w:p>
        </w:tc>
        <w:tc>
          <w:tcPr>
            <w:tcW w:w="3160" w:type="dxa"/>
            <w:vAlign w:val="bottom"/>
            <w:gridSpan w:val="2"/>
          </w:tcPr>
          <w:p>
            <w:pPr>
              <w:ind w:left="600"/>
              <w:spacing w:after="0"/>
              <w:rPr>
                <w:sz w:val="20"/>
                <w:szCs w:val="20"/>
                <w:color w:val="auto"/>
              </w:rPr>
            </w:pPr>
            <w:r>
              <w:rPr>
                <w:rFonts w:ascii="Arial" w:cs="Arial" w:eastAsia="Arial" w:hAnsi="Arial"/>
                <w:sz w:val="18"/>
                <w:szCs w:val="18"/>
                <w:color w:val="auto"/>
              </w:rPr>
              <w:t>F-27</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H — 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income tax provision is comprised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Arial" w:cs="Arial" w:eastAsia="Arial" w:hAnsi="Arial"/>
                <w:sz w:val="18"/>
                <w:szCs w:val="18"/>
                <w:color w:val="auto"/>
              </w:rPr>
              <w:t>Federal</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22,471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23,463</w:t>
            </w:r>
          </w:p>
        </w:tc>
        <w:tc>
          <w:tcPr>
            <w:tcW w:w="100" w:type="dxa"/>
            <w:vAlign w:val="bottom"/>
          </w:tcPr>
          <w:p>
            <w:pPr>
              <w:spacing w:after="0"/>
              <w:rPr>
                <w:sz w:val="18"/>
                <w:szCs w:val="18"/>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28,723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and city</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Deferred</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Arial" w:cs="Arial" w:eastAsia="Arial" w:hAnsi="Arial"/>
                <w:sz w:val="18"/>
                <w:szCs w:val="18"/>
                <w:color w:val="auto"/>
              </w:rPr>
              <w:t>State and city</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138,292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137,748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93,691</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Non-United States</w:t>
            </w: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182,098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183,830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110,049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During the fourth quarter of fiscal 2020, the United States Treasury issued final regulations related to certain aspects of the TCJA. The tax implications of the final regulations were not material to the Company’s consolidated financial statements as the majority of the TCJA tax implications was recorded in fiscal years prior to January 31, 2020.</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January 1, 2018, TCJA subjects a U.S. parent company to current tax on its GILTI. The Company has elected to account for any tax on GILTI in the period in which it was incurred. At January 31, 2020, the Company incurred a GILTI net tax impact of $0.1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58" w:lineRule="auto"/>
        <w:rPr>
          <w:sz w:val="20"/>
          <w:szCs w:val="20"/>
          <w:color w:val="auto"/>
        </w:rPr>
      </w:pPr>
      <w:r>
        <w:rPr>
          <w:rFonts w:ascii="Arial" w:cs="Arial" w:eastAsia="Arial" w:hAnsi="Arial"/>
          <w:sz w:val="18"/>
          <w:szCs w:val="18"/>
          <w:color w:val="auto"/>
        </w:rPr>
        <w:t>The significant components of the Company’s net deferred tax asset at January 31, 2020 and 2019 are summarized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20" w:type="dxa"/>
            <w:vAlign w:val="bottom"/>
            <w:vMerge w:val="restart"/>
          </w:tcPr>
          <w:p>
            <w:pPr>
              <w:ind w:left="20"/>
              <w:spacing w:after="0"/>
              <w:rPr>
                <w:sz w:val="20"/>
                <w:szCs w:val="20"/>
                <w:color w:val="auto"/>
              </w:rPr>
            </w:pPr>
            <w:r>
              <w:rPr>
                <w:rFonts w:ascii="Arial" w:cs="Arial" w:eastAsia="Arial" w:hAnsi="Arial"/>
                <w:sz w:val="18"/>
                <w:szCs w:val="18"/>
                <w:color w:val="auto"/>
              </w:rPr>
              <w:t>Deferred income tax assets:</w:t>
            </w:r>
          </w:p>
        </w:tc>
        <w:tc>
          <w:tcPr>
            <w:tcW w:w="160" w:type="dxa"/>
            <w:vAlign w:val="bottom"/>
          </w:tcPr>
          <w:p>
            <w:pPr>
              <w:spacing w:after="0"/>
              <w:rPr>
                <w:sz w:val="15"/>
                <w:szCs w:val="15"/>
                <w:color w:val="auto"/>
              </w:rPr>
            </w:pPr>
          </w:p>
        </w:tc>
        <w:tc>
          <w:tcPr>
            <w:tcW w:w="19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Straight-line lease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Provision for bad debts and sales allowances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Supplemental employee retirement plan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Net operating loss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deferred income tax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(4,929)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assets</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115,725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(33,539)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(13,602)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(55,801)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 income tax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(105,542)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of January 31, 2020 and 2019, deferred tax liabilities of $7.9 million and $15.1 million, respectively, relate to intangible assets in Switzerland. In May 2019, Switzerland approved the Federal Act on Tax Reform and Old-Age and Survivors Insurance Financing as adopted by its Federal Parliament last fall. The tax reform replaces certain preferential tax regimes and provides a broad reduction of the cantonal corporate tax rates. As a result of this Swiss tax reform, the Company recognized a $6.1 million tax benefit related to revaluing its Swiss deferred tax liabilities.</w:t>
      </w:r>
    </w:p>
    <w:p>
      <w:pPr>
        <w:spacing w:after="0" w:line="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total undistributed earnings of the Company’s foreign subsidiaries are approximately $85.0 million for the fiscal year ended January 31, 2020. Those earnings are considered indefinitely reinvested. Even though the undistributed earnings can be distributed back generally without U.S. federal income tax as a result of the one-time transition tax under the TCJA regime, the Company will not change its indefinite reinvestment assertion with respect to those earnings. Upon distribution of those earnings in the form of dividends, the Company does not anticipate any material tax costs. As such, no deferred taxes have been provided for withholding taxes or other taxes that would result upon repatriation of undistributed foreign earnings.</w:t>
      </w:r>
    </w:p>
    <w:p>
      <w:pPr>
        <w:spacing w:after="0" w:line="11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the effective rate reported in the financial statements for the years ended January 31:</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Federal income taxes at the statutory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State and local income taxes, net of Federal tax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 resulting in Federal taxable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Tax reform</w:t>
            </w:r>
          </w:p>
        </w:tc>
        <w:tc>
          <w:tcPr>
            <w:tcW w:w="9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Share-based payments</w:t>
            </w:r>
          </w:p>
        </w:tc>
        <w:tc>
          <w:tcPr>
            <w:tcW w:w="980" w:type="dxa"/>
            <w:vAlign w:val="bottom"/>
            <w:gridSpan w:val="2"/>
          </w:tcPr>
          <w:p>
            <w:pPr>
              <w:jc w:val="right"/>
              <w:ind w:right="270"/>
              <w:spacing w:after="0"/>
              <w:rPr>
                <w:sz w:val="20"/>
                <w:szCs w:val="20"/>
                <w:color w:val="auto"/>
              </w:rPr>
            </w:pPr>
            <w:r>
              <w:rPr>
                <w:rFonts w:ascii="Arial" w:cs="Arial" w:eastAsia="Arial" w:hAnsi="Arial"/>
                <w:sz w:val="18"/>
                <w:szCs w:val="18"/>
                <w:color w:val="auto"/>
              </w:rPr>
              <w:t>(0.8)</w:t>
            </w:r>
          </w:p>
        </w:tc>
        <w:tc>
          <w:tcPr>
            <w:tcW w:w="1000" w:type="dxa"/>
            <w:vAlign w:val="bottom"/>
            <w:gridSpan w:val="2"/>
          </w:tcPr>
          <w:p>
            <w:pPr>
              <w:jc w:val="right"/>
              <w:ind w:right="270"/>
              <w:spacing w:after="0"/>
              <w:rPr>
                <w:sz w:val="20"/>
                <w:szCs w:val="20"/>
                <w:color w:val="auto"/>
              </w:rPr>
            </w:pPr>
            <w:r>
              <w:rPr>
                <w:rFonts w:ascii="Arial" w:cs="Arial" w:eastAsia="Arial" w:hAnsi="Arial"/>
                <w:sz w:val="18"/>
                <w:szCs w:val="18"/>
                <w:color w:val="auto"/>
              </w:rPr>
              <w:t>(0.6)</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(5.5)</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color w:val="auto"/>
              </w:rPr>
              <w:t>Actual provision for income taxes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effective tax rate decreased 3.9% percent in fiscal 2020 compared to fiscal 2019. The decrease in the tax rate is primarily attributable to the Swiss tax reform that was enacted in May 2019. Our effective tax rate decreased 18.7% percent in fiscal 2019 as compared to fiscal 2018. This decrease in the tax rate was primarily due to the effects of the TCJA, which included the reduction in the statutory U.S. federal corporate income tax rate from 35% to 21% and a one-time transition tax on the mandatory deemed repatriation of cumulative foreign earnings.</w:t>
      </w:r>
    </w:p>
    <w:p>
      <w:pPr>
        <w:spacing w:after="0" w:line="1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Valuation allowances represent deferred tax benefits where management is uncertain if the Company will have the ability to recognize those benefits in the future. During the year ended January 31, 2020, the Company recorded an additional valuation allowance of $1.9 million against its deferred tax assets for its standalone state tax losses.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reconciliation of the beginning and ending amounts of gross unrecognized tax benefits (excluding interest and penalties)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 as follows: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r>
      <w:tr>
        <w:trPr>
          <w:trHeight w:val="142"/>
        </w:trPr>
        <w:tc>
          <w:tcPr>
            <w:tcW w:w="4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w:t>
            </w:r>
          </w:p>
        </w:tc>
        <w:tc>
          <w:tcPr>
            <w:tcW w:w="1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statues of limitations</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Balance at January 31,</w:t>
            </w:r>
          </w:p>
        </w:tc>
        <w:tc>
          <w:tcPr>
            <w:tcW w:w="15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4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The Company accounts for uncertain income tax positions in accordance with ASC 740 —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files income tax returns in the U.S. federal jurisdiction and various state and foreign jurisdictions. As of January 31, 2020, there was an increase in the unrecognized tax position reserve of $2.1 million related to recent state and local tax return filings.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policy on classification is to include interest in interest and financing charges, net and penalties in selling, general and administrative expenses in the accompanying Consolidated Statements of Income and Comprehensive Income. The Company and certain of its subsidiaries are subject to U.S. Federal income tax as well as the income tax of multiple state, local, and foreign jurisdictions.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Of the major jurisdictions, the Company and its subsidiaries are subject to examination in the United States and various foreign jurisdictions for fiscal year 2014 and forward. The Company is currently under audit examination by New York, New Jersey and Canada for fiscal years 2014 through 2018. The Company believes that it is reasonably possible there will be no change to its unrecognized income tax position reserves during the next twelve months due to the applicable statues of limitations.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I —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has entered into license agreements that provide for royalty payments based on net sales of licensed products. The Company incurred royalty expense (included in cost of goods sold) of $178.8 million, $165.7 million and $154.3 million for the years ended January 31, 2020, 2019 and 2018, respectively. Contractual advertising expense, which is included in selling, general and administrative expenses and is normally based on a percentage of net sales associated with certain license agreements, was $48.3 million, $46.2 million and $43.4 million for the years ended January 31,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2019 and 2018, respectively. Based on minimum net sales requirements, future minimum royalty and advertising payments required under these agreements are: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Year Ending January 31,</w:t>
            </w:r>
          </w:p>
        </w:tc>
        <w:tc>
          <w:tcPr>
            <w:tcW w:w="1100" w:type="dxa"/>
            <w:vAlign w:val="bottom"/>
          </w:tcPr>
          <w:p>
            <w:pPr>
              <w:jc w:val="right"/>
              <w:ind w:right="294"/>
              <w:spacing w:after="0"/>
              <w:rPr>
                <w:sz w:val="20"/>
                <w:szCs w:val="20"/>
                <w:color w:val="auto"/>
              </w:rPr>
            </w:pPr>
            <w:r>
              <w:rPr>
                <w:rFonts w:ascii="Arial" w:cs="Arial" w:eastAsia="Arial" w:hAnsi="Arial"/>
                <w:sz w:val="14"/>
                <w:szCs w:val="14"/>
                <w:b w:val="1"/>
                <w:bCs w:val="1"/>
                <w:color w:val="auto"/>
              </w:rPr>
              <w:t>Amount</w:t>
            </w:r>
          </w:p>
        </w:tc>
      </w:tr>
      <w:tr>
        <w:trPr>
          <w:trHeight w:val="142"/>
        </w:trPr>
        <w:tc>
          <w:tcPr>
            <w:tcW w:w="7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3"/>
              </w:rPr>
              <w:t>(In thousands)</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153,265</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100,835</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52,629</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370,440</w:t>
            </w:r>
          </w:p>
        </w:tc>
      </w:tr>
      <w:tr>
        <w:trPr>
          <w:trHeight w:val="20"/>
        </w:trPr>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the ordinary course of business, the Company is subject to periodic claims, investigations and lawsuits. Although the Company cannot predict with certainty the ultimate resolution of claims, investigations and lawsuits, asserted against the Company, it does not believe that any currently pending legal proceeding or proceedings to which it is a party could have a material adverse effect on its business, financial condition or results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Canadian Customs Duty Examination</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w:t>
      </w:r>
    </w:p>
    <w:p>
      <w:pPr>
        <w:spacing w:after="0" w:line="2" w:lineRule="exact"/>
        <w:rPr>
          <w:sz w:val="20"/>
          <w:szCs w:val="20"/>
          <w:color w:val="auto"/>
        </w:rPr>
      </w:pPr>
    </w:p>
    <w:p>
      <w:pPr>
        <w:ind w:left="60" w:right="79" w:hanging="10"/>
        <w:spacing w:after="0" w:line="260" w:lineRule="auto"/>
        <w:tabs>
          <w:tab w:leader="none" w:pos="2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Canada to the vendor. The CBSA has also requested that G-III Canada change the valuation method used to pay duties with respect to goods imported in the future.</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under the new valuation method. This amount was paid to the CBSA. Beginning February 1, 2018, the Company began paying duties based on the new valuation method. Expense amounts deferred for the year ended January 31, 2020, related to the higher dutiable values, were CAD$12.8 million ($9.7 million).</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J —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Company’s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the loan agreement. Share repurchases may take place on the open market, in privately negotiated transactions or by other means, and would be made in accordance with applicable securities laws.</w:t>
      </w:r>
    </w:p>
    <w:p>
      <w:pPr>
        <w:spacing w:after="0" w:line="18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During fiscal 2020, pursuant to this program, the Company acquired 1,327,566 of its shares of common stock for an aggregate purchase price of $35.2 million. During fiscal 2019, the Company acquired 723,072 of its shares of common stock for an aggregate purchase price of $20.3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January 31, 2020, the Company had 2,756,905 shares available for grant under its long-term incentive plan. The plan provides for the grant of equity and cash awards, including restricted stock awards, stock options and other stock unit awards to directors, officers and employees. RSU’s generally vest over a three year period. PRSU’s granted to executives prior to fiscal 2020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PSU’s granted to executives in fiscal 2020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of shares for two years subsequent to the date of vesting. It is the Company’s policy to grant stock options at prices not less than the fair market value on the date of the grant. Option terms, vesting and exercise periods vary, except that the term of an option may not exceed ten years.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 and Performance Based Restricted Stock Units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940" w:type="dxa"/>
            <w:vAlign w:val="bottom"/>
            <w:gridSpan w:val="5"/>
          </w:tcPr>
          <w:p>
            <w:pPr>
              <w:ind w:left="660"/>
              <w:spacing w:after="0"/>
              <w:rPr>
                <w:sz w:val="20"/>
                <w:szCs w:val="20"/>
                <w:color w:val="auto"/>
              </w:rPr>
            </w:pPr>
            <w:r>
              <w:rPr>
                <w:rFonts w:ascii="Arial" w:cs="Arial" w:eastAsia="Arial" w:hAnsi="Arial"/>
                <w:sz w:val="14"/>
                <w:szCs w:val="14"/>
                <w:b w:val="1"/>
                <w:bCs w:val="1"/>
                <w:color w:val="auto"/>
              </w:rPr>
              <w:t>Restricted Stock Units</w:t>
            </w:r>
          </w:p>
        </w:tc>
        <w:tc>
          <w:tcPr>
            <w:tcW w:w="270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Performance Based Restricted Stock Units</w:t>
            </w: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Awards</w:t>
            </w: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435,102</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30.36</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1,599,472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30.32</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52,891</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26.83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190,875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13.36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(150,588)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28.75</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(344,784)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25.35</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28.42</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327,014</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30.59</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1,445,563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29.26</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137,723</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38.32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391,530</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30.23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(159,663)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30.38</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(292,266)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25.91</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(23,249)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29.69</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(5,033)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27.10</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281,825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34.56</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1,539,794</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30.15</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142,594</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37.74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332,651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35.77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(168,781)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32.32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(810,655)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24.58</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(12,695)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35.09</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42.41</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242,943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37.95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1,058,710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36.15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Restricted stock units (“RSU’s”) are time based awards that do not have market or performance conditions and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Performance Based Restricted Stock Units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Performance based restricted stock units consist of both performance based restricted stock units (“PRSU’s”) and performance stock units (“PSU’s”).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requisite acceleration method.</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PSU’s were granted to executives in fiscal 2020 and vest after a three year performance period during which certain earnings before interest and taxes and return on invested capital performance standards must be satisfied for vesting to occur. PSU’s are also subject to a lock up period that prevents the sale, contract to sell or transfer shares for two years subsequent to the date of vesting. PSU’s are expensed over the service period under the requisite acceleration method and based on an estimated percentage of achievement of certain pre-established goals.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accounts for forfeited awards as they occur as permitted by ASU 2016-09. Ultimately, the actual expense recognized over the vesting period will be for those shares that vest.</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recognized $17.5 million, $19.7 million and $19.7 million in share-based compensation expense for the years ended January 31, 2020, 2019 and 2018, respectively, related to restricted stock unit grants. At January 31, 2020, 2019 and 2018, unrecognized costs related to the restricted stock units totaled $18.7 million, $19.4 million and $23.0 million, respectively. The total fair value of awards for which restrictions lapsed was $31.0 million, $17.5 million and $14.3 million as of January 31, 2020, 2019 and 2018,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Stock options outstanding at beginning of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(188,465)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Cancelled or forfeited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9.20</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at end of year</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8"/>
                <w:szCs w:val="18"/>
                <w:color w:val="auto"/>
              </w:rPr>
              <w:t>Exercisable</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35,188</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17.12</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47,066</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13.14</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62,666</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F-33</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as of</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 as 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820" w:type="dxa"/>
            <w:vAlign w:val="bottom"/>
            <w:gridSpan w:val="2"/>
            <w:vMerge w:val="continue"/>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5"/>
                <w:szCs w:val="15"/>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Contractual Life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1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$12.51 - $17.45</w:t>
            </w:r>
          </w:p>
        </w:tc>
        <w:tc>
          <w:tcPr>
            <w:tcW w:w="1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21,066</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0.56</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14.07</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21,066</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$18.11 - $30.32</w:t>
            </w:r>
          </w:p>
        </w:tc>
        <w:tc>
          <w:tcPr>
            <w:tcW w:w="13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23.63</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14,122</w:t>
            </w:r>
          </w:p>
        </w:tc>
        <w:tc>
          <w:tcPr>
            <w:tcW w:w="34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0"/>
        </w:trPr>
        <w:tc>
          <w:tcPr>
            <w:tcW w:w="15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39,311</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Compensation expense for employee stock options is recognized in the consolidated financial statements over the service period (generally the vesting period) based on their fair value. Stock options are valued using the Black-Scholes option pricing model. The Black-Scholes model requires subjective assumptions regarding dividend yields, expected volatility, expected life of options and risk-free interest rates. These assumptions reflect management’s best estimates. Changes in these inputs and assumptions can materially affect the estimate of fair value and the amount of our compensation expenses for stock options. No stock options were granted during the years ended January 31, 2020 and January 31, 2018. The Company granted 8,245 stock options during the year ended January 31, 2019.</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accounts for forfeited awards as they occur as permitted by ASU 2016-09. Ultimately, the actual expense recognized over the vesting period will be for those shares that vest.</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weighted average remaining term for stock options outstanding was 1.5 years at January 31, 2020. The aggregate intrinsic value at January 31, 2020 was $0.4 million for stock options outstanding and $0.4 million for stock options exercisable. The intrinsic value for stock options is calculated based on the exercise price of the underlying awards and the market price of the Company’s common stock as of January 31, 2020, the reporting date.</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Proceeds received from the exercise of stock options were $0.1 million during the years ended January 31, 2020 and 2019. The intrinsic value of stock options exercised was $0.3 million and $0.4 million for the years ended January 31, 2020 and 2019, respectively. A portion of this amount is currently deductible for tax purposes.</w:t>
      </w:r>
    </w:p>
    <w:p>
      <w:pPr>
        <w:spacing w:after="0" w:line="165"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Company recognized $0.1 million in compensation expense for the year ended January 31, 2020 related to stock options. The Company recognized a nominal amount in compensation expense for the year ended January 31, 2019. No compensation expense related to stock options was recognized for the year ended January 31, 2018.</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K — CONCENTRATION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Major Customers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Two customers in the wholesale operations segment accounted for approximately 26.3% and 13.2%, respectively, of the Company’s net sales for the year ended January 31, 2020. Two customers accounted for 24.8% and 12.4% of the Company’s net sales for the year ended January 31, 2019. One customer accounted for 22.2% of the Company’s net sales for the year ended January 31, 2018. Three customers in the wholesale operations segment accounted for approximately 25.7%, 17.0% and 10.0%, respectively, of the Company’s net accounts receivable as of January 31, 2020. Two customers accounted for approximately 27.5% and 16.5%, respectively, of the Company’s net accounts receivable as of January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 Sourcing</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sourced from China approximately 49.5%, 61.5% and 65.1% of the inventory purchased for the years ended January 31, 2020, 2019 and 2018, respectively. During the years ended January 31, 2020, 2019 and 2018, respectively, the Company sourced 11.4%, 14.4% and 14.7% of its purchases from one vendor in China. The Company believes it has alternative manufacturing sources available to meet its current and future production requirements in the event the Company is required to change current manufacturers or current manufacturers are unavailable to fulfill the Company’s production needs.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L — EMPLOYEE BENEFIT PLANS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maintains a 401(k) plan (the “GIII Plan”) and trust for non-union employees. The Plan provides for a Safe Harbor (non-discretionary) matching contribution of 100% of the first 3% of the participant’s contributed pay plus 50% of the next 2% of the participant’s contributed pay. The Company made matching contributions of $4.7 million, $3.8 million and $3.6 million for the years ended January 31, 2020, 2019 and 2018, respectively. The DKI 401(k) plan and trust for U.S. based non-union employees was merged with the GIII Plan on June 1, 2017.</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M — SEGMENTS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revenues from license agreements related to our owned trademarks including DKNY, Donna Karan, Vilebrequin, G.H. Bass and Andrew Marc. The retail operations segment consists primarily of direct sales to consumers through Company-operated stores, consisting primarily of Wilsons Leather, G.H. Bass and DKNY stores, substantially all of which are operated as outlet stores, as well as a smaller number of Karl Lagerfeld Paris and Calvin Klein Performance stores. Sales through the Company’s owned websites, with the exception of Vilebrequin, are also included in the retail operations segment.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segment information, in thousands, is presented for the fiscal years ended:</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January 31, 2020</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8"/>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3,160,464</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1,925,062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205,797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(88,335)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2,042,524</w:t>
            </w: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1,117,940</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604,377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227,803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832,180</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38,735</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Asset impairments, net of gain on lease terminations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19,371</w:t>
            </w: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302,232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227,654</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January 31, 2019</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8"/>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2,716,958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3,076,208</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1,837,335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249,278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(117,514)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1,969,099</w:t>
            </w: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1,107,109</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570,290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264,473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834,763</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38,819</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impairments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279,689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230,714</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52"/>
              <w:spacing w:after="0"/>
              <w:rPr>
                <w:sz w:val="20"/>
                <w:szCs w:val="20"/>
                <w:color w:val="auto"/>
              </w:rPr>
            </w:pPr>
            <w:r>
              <w:rPr>
                <w:rFonts w:ascii="Arial" w:cs="Arial" w:eastAsia="Arial" w:hAnsi="Arial"/>
                <w:sz w:val="18"/>
                <w:szCs w:val="18"/>
                <w:color w:val="auto"/>
                <w:w w:val="91"/>
              </w:rPr>
              <w:t>F-35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January 31, 2018</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5"/>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Elimination </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2,454,008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2,806,938</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1,650,084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251,679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(149,564)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1,752,199</w:t>
            </w: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1,054,739</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571,164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284,083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855,247</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 impairments</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202,771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153,825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15"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pacing w:after="0" w:line="12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allocates overhead to its business segments on various bases, which include units shipped, space utilization, inventory levels, and relative sales levels, among other factors. The method of allocation has been applied consistently on a year-to-year basis.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January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ind w:left="3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gridSpan w:val="5"/>
          </w:tcPr>
          <w:p>
            <w:pPr>
              <w:jc w:val="right"/>
              <w:ind w:right="12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1,912,175</w:t>
            </w:r>
          </w:p>
        </w:tc>
        <w:tc>
          <w:tcPr>
            <w:tcW w:w="78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1,834,610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272,832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190,996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380,130</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182,452</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2,565,137</w:t>
            </w: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2,208,058</w:t>
            </w: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40" w:type="dxa"/>
            <w:vAlign w:val="bottom"/>
            <w:gridSpan w:val="9"/>
          </w:tcPr>
          <w:p>
            <w:pPr>
              <w:spacing w:after="0"/>
              <w:rPr>
                <w:sz w:val="20"/>
                <w:szCs w:val="20"/>
                <w:color w:val="auto"/>
              </w:rPr>
            </w:pPr>
            <w:r>
              <w:rPr>
                <w:rFonts w:ascii="Arial" w:cs="Arial" w:eastAsia="Arial" w:hAnsi="Arial"/>
                <w:sz w:val="18"/>
                <w:szCs w:val="18"/>
                <w:color w:val="auto"/>
                <w:w w:val="96"/>
              </w:rPr>
              <w:t>The total net sales and long-lived assets by geographic region are as follows: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2"/>
                <w:szCs w:val="22"/>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22"/>
                <w:szCs w:val="22"/>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3"/>
          </w:tcPr>
          <w:p>
            <w:pPr>
              <w:ind w:left="640"/>
              <w:spacing w:after="0"/>
              <w:rPr>
                <w:sz w:val="20"/>
                <w:szCs w:val="20"/>
                <w:color w:val="auto"/>
              </w:rPr>
            </w:pPr>
            <w:r>
              <w:rPr>
                <w:rFonts w:ascii="Arial" w:cs="Arial" w:eastAsia="Arial" w:hAnsi="Arial"/>
                <w:sz w:val="14"/>
                <w:szCs w:val="14"/>
                <w:b w:val="1"/>
                <w:bCs w:val="1"/>
                <w:color w:val="auto"/>
                <w:w w:val="83"/>
              </w:rPr>
              <w:t>2018</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6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96"/>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rPr>
              <w:t>Long-Lived</w:t>
            </w:r>
          </w:p>
        </w:tc>
        <w:tc>
          <w:tcPr>
            <w:tcW w:w="140" w:type="dxa"/>
            <w:vAlign w:val="bottom"/>
          </w:tcPr>
          <w:p>
            <w:pPr>
              <w:spacing w:after="0"/>
              <w:rPr>
                <w:sz w:val="10"/>
                <w:szCs w:val="10"/>
                <w:color w:val="auto"/>
              </w:rPr>
            </w:pPr>
          </w:p>
        </w:tc>
        <w:tc>
          <w:tcPr>
            <w:tcW w:w="920" w:type="dxa"/>
            <w:vAlign w:val="bottom"/>
            <w:tcBorders>
              <w:top w:val="single" w:sz="8" w:color="auto"/>
            </w:tcBorders>
            <w:gridSpan w:val="2"/>
            <w:vMerge w:val="restart"/>
          </w:tcPr>
          <w:p>
            <w:pPr>
              <w:jc w:val="right"/>
              <w:ind w:right="107"/>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Long-Lived</w:t>
            </w: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127"/>
              <w:spacing w:after="0"/>
              <w:rPr>
                <w:sz w:val="20"/>
                <w:szCs w:val="20"/>
                <w:color w:val="auto"/>
              </w:rPr>
            </w:pPr>
            <w:r>
              <w:rPr>
                <w:rFonts w:ascii="Arial" w:cs="Arial" w:eastAsia="Arial" w:hAnsi="Arial"/>
                <w:sz w:val="14"/>
                <w:szCs w:val="14"/>
                <w:b w:val="1"/>
                <w:bCs w:val="1"/>
                <w:color w:val="auto"/>
                <w:w w:val="88"/>
              </w:rPr>
              <w:t>Net Sales</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Long-Lived</w:t>
            </w:r>
          </w:p>
        </w:tc>
        <w:tc>
          <w:tcPr>
            <w:tcW w:w="0" w:type="dxa"/>
            <w:vAlign w:val="bottom"/>
          </w:tcPr>
          <w:p>
            <w:pPr>
              <w:spacing w:after="0"/>
              <w:rPr>
                <w:sz w:val="1"/>
                <w:szCs w:val="1"/>
                <w:color w:val="auto"/>
              </w:rPr>
            </w:pPr>
          </w:p>
        </w:tc>
      </w:tr>
      <w:tr>
        <w:trPr>
          <w:trHeight w:val="171"/>
        </w:trPr>
        <w:tc>
          <w:tcPr>
            <w:tcW w:w="2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$ 2,774,492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964,476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$ 2,656,479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$ 762,444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$ 2,466,107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$ 770,128</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Non-United States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385,972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231,973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419,729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191,719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340,831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185,448</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$ 3,160,464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1,196,449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$ 3,076,208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$ 954,163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$ 2,806,938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$ 955,576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Capital expenditures for locations outside of the United States totaled $4.6 million, $4.3 million and $3.7 million for the years ended January 31, 2020, 2019 and 2018,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N — EQUITY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in Fabco Holding B.V.</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August 2017, the Company entered into a joint venture agreement with Amlon Capital B.V. (“Amlon”), a private company incorporated in the Netherlands, to produce and market women’s and men’s apparel and accessories pursuant to a long-term license for DKNY and Donna Karan in the People’s Republic of China, including Macau, Hong Kong and Taiwan. The Company owns 49% of the joint venture, with Amlon owning the remaining 51%. The joint venture was funded with $25 million of equity to be used to strengthen the DKNY and Donna Karan brands and accelerate the growth of the business in the region. Of this amount, the Company contributed an aggregate of $10.0 million. Starting January 1, 2018, this joint venture is the exclusive seller of women’s and men’s apparel, handbags, luggage and certain accessories under the DKNY and Donna Karan brands in the territory. The investment in Fabco, which is being accounted for under the equity method of accounting, is reflected in Investment in Unconsolidated Affiliates on the Consolidated Balance Sheets at January 31, 2020 and 2019.</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in Karl Lagerfeld Holding B.V.</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February 2016, the Company acquired a 19% minority interest in KLH, the parent company of the group that holds the worldwide rights to the Karl Lagerfeld brand. The Company paid 32.5€ million (equal to $35.4 million at the date of the transaction) for this interest. This investment was intended to expand the partnership between the Company and the owners of Karl Lagerfeld brand and extend their business development opportunities on a global scale. The investment in KLH, which is being accounted for under the equity method of accounting, is reflected in Investment in Unconsolidated Affiliates on the Consolidated Balance Sheets at January 31, 2020 and 2019.</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in KL North America</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June 2015, the Company entered into a joint venture agreement with Karl Lagerfeld Group BV (“KLBV”). The Company paid KLBV $25.0 million for a 49% ownership interest in KLNA. KLNA holds brand rights to all Karl Lagerfeld trademarks, including the Karl Lagerfeld Paris brand the Company currently uses, for all consumer products (except eyewear, fragrance, cosmetics, watches, jewelry, and hospitality services) and apparel in the United States, Canada and Mexico. The investment in KLNA, which is being accounted for under the equity method of accounting, is reflected in Investment in Unconsolidated Affiliates on the Consolidated Balance Sheets at January 31, 2020 and 2019.</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O — 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Fabco</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G-III owns a 49% ownership interest in Fabco and is considered a related party of Fabco (see Note N). The Company sells inventory to Fabco and granted Fabco’s subsidiary the right to use certain Donna Karan and DKNY trademarks. In fiscal 2020, the Company sold $4.4 million in inventory to Fabco. The Company recorded $3.1 million and $2.2 million of licensing revenue from Fabco during the years ended January 31, 2020 and 2019, respectively. As of January 31, 2020, Fabco prepaid $0.5 million to the Company for minimum royalties and marketing fees relating to the first quarter of 2020 and has a $0.1 million payable balance relating to inventory purchased from the Company and its subsidiaries.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Transactions with KL North America</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G-III owns a 49% ownership interest in KLNA and is considered a related party of KLNA (see Note N). The Company entered into a licensing agreement to use the brand rights to certain Karl Lagerfeld trademarks held by KLNA. The Company incurred royalty and advertising expense of $6.8 million, $6.4 million and $4.8 million for the years ended January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P — QUARTERLY FINANCIAL DATA (UNAUDITED)</w:t>
      </w:r>
    </w:p>
    <w:p>
      <w:pPr>
        <w:spacing w:after="0" w:line="229" w:lineRule="exact"/>
        <w:rPr>
          <w:sz w:val="20"/>
          <w:szCs w:val="20"/>
          <w:color w:val="auto"/>
        </w:rPr>
      </w:pPr>
    </w:p>
    <w:p>
      <w:pPr>
        <w:ind w:left="60" w:right="59"/>
        <w:spacing w:after="0" w:line="258" w:lineRule="auto"/>
        <w:rPr>
          <w:sz w:val="20"/>
          <w:szCs w:val="20"/>
          <w:color w:val="auto"/>
        </w:rPr>
      </w:pPr>
      <w:r>
        <w:rPr>
          <w:rFonts w:ascii="Arial" w:cs="Arial" w:eastAsia="Arial" w:hAnsi="Arial"/>
          <w:sz w:val="18"/>
          <w:szCs w:val="18"/>
          <w:color w:val="auto"/>
        </w:rPr>
        <w:t>Summarized quarterly financial data for the fiscal years ended January 31, 2020 and 2019 are as follows (in thousands, except per share amounts):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6"/>
              <w:spacing w:after="0" w:line="115" w:lineRule="exact"/>
              <w:rPr>
                <w:sz w:val="20"/>
                <w:szCs w:val="20"/>
                <w:color w:val="auto"/>
              </w:rPr>
            </w:pPr>
            <w:r>
              <w:rPr>
                <w:rFonts w:ascii="Arial" w:cs="Arial" w:eastAsia="Arial" w:hAnsi="Arial"/>
                <w:sz w:val="13"/>
                <w:szCs w:val="13"/>
                <w:b w:val="1"/>
                <w:bCs w:val="1"/>
                <w:color w:val="auto"/>
              </w:rPr>
              <w:t>April 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7"/>
              <w:spacing w:after="0" w:line="115" w:lineRule="exact"/>
              <w:rPr>
                <w:sz w:val="20"/>
                <w:szCs w:val="20"/>
                <w:color w:val="auto"/>
              </w:rPr>
            </w:pPr>
            <w:r>
              <w:rPr>
                <w:rFonts w:ascii="Arial" w:cs="Arial" w:eastAsia="Arial" w:hAnsi="Arial"/>
                <w:sz w:val="13"/>
                <w:szCs w:val="13"/>
                <w:b w:val="1"/>
                <w:bCs w:val="1"/>
                <w:color w:val="auto"/>
              </w:rPr>
              <w:t>July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16"/>
              <w:spacing w:after="0" w:line="115"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line="176" w:lineRule="exact"/>
              <w:rPr>
                <w:sz w:val="20"/>
                <w:szCs w:val="20"/>
                <w:color w:val="auto"/>
              </w:rPr>
            </w:pPr>
            <w:r>
              <w:rPr>
                <w:rFonts w:ascii="Arial" w:cs="Arial" w:eastAsia="Arial" w:hAnsi="Arial"/>
                <w:sz w:val="14"/>
                <w:szCs w:val="14"/>
                <w:b w:val="1"/>
                <w:bCs w:val="1"/>
                <w:color w:val="auto"/>
                <w:w w:val="85"/>
              </w:rPr>
              <w:t xml:space="preserve">2020 </w:t>
            </w:r>
            <w:r>
              <w:rPr>
                <w:rFonts w:ascii="Arial" w:cs="Arial" w:eastAsia="Arial" w:hAnsi="Arial"/>
                <w:sz w:val="20"/>
                <w:szCs w:val="20"/>
                <w:b w:val="1"/>
                <w:bCs w:val="1"/>
                <w:color w:val="auto"/>
                <w:w w:val="85"/>
                <w:vertAlign w:val="superscript"/>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1,128,403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Gross profit</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236,064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89"/>
              </w:rPr>
              <w:t>Net income per common share</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Diluted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6"/>
              <w:spacing w:after="0" w:line="115" w:lineRule="exact"/>
              <w:rPr>
                <w:sz w:val="20"/>
                <w:szCs w:val="20"/>
                <w:color w:val="auto"/>
              </w:rPr>
            </w:pPr>
            <w:r>
              <w:rPr>
                <w:rFonts w:ascii="Arial" w:cs="Arial" w:eastAsia="Arial" w:hAnsi="Arial"/>
                <w:sz w:val="13"/>
                <w:szCs w:val="13"/>
                <w:b w:val="1"/>
                <w:bCs w:val="1"/>
                <w:color w:val="auto"/>
              </w:rPr>
              <w:t>April 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7"/>
              <w:spacing w:after="0" w:line="115" w:lineRule="exact"/>
              <w:rPr>
                <w:sz w:val="20"/>
                <w:szCs w:val="20"/>
                <w:color w:val="auto"/>
              </w:rPr>
            </w:pPr>
            <w:r>
              <w:rPr>
                <w:rFonts w:ascii="Arial" w:cs="Arial" w:eastAsia="Arial" w:hAnsi="Arial"/>
                <w:sz w:val="13"/>
                <w:szCs w:val="13"/>
                <w:b w:val="1"/>
                <w:bCs w:val="1"/>
                <w:color w:val="auto"/>
              </w:rPr>
              <w:t>July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16"/>
              <w:spacing w:after="0" w:line="115"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6"/>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sales</w:t>
            </w:r>
          </w:p>
        </w:tc>
        <w:tc>
          <w:tcPr>
            <w:tcW w:w="2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line="176" w:lineRule="exact"/>
              <w:rPr>
                <w:sz w:val="20"/>
                <w:szCs w:val="20"/>
                <w:color w:val="auto"/>
              </w:rPr>
            </w:pPr>
            <w:r>
              <w:rPr>
                <w:rFonts w:ascii="Arial" w:cs="Arial" w:eastAsia="Arial" w:hAnsi="Arial"/>
                <w:sz w:val="14"/>
                <w:szCs w:val="14"/>
                <w:b w:val="1"/>
                <w:bCs w:val="1"/>
                <w:color w:val="auto"/>
                <w:w w:val="85"/>
              </w:rPr>
              <w:t xml:space="preserve">2019 </w:t>
            </w:r>
            <w:r>
              <w:rPr>
                <w:rFonts w:ascii="Arial" w:cs="Arial" w:eastAsia="Arial" w:hAnsi="Arial"/>
                <w:sz w:val="20"/>
                <w:szCs w:val="20"/>
                <w:b w:val="1"/>
                <w:bCs w:val="1"/>
                <w:color w:val="auto"/>
                <w:w w:val="85"/>
                <w:vertAlign w:val="superscript"/>
              </w:rPr>
              <w:t>(2)</w:t>
            </w:r>
          </w:p>
        </w:tc>
        <w:tc>
          <w:tcPr>
            <w:tcW w:w="0" w:type="dxa"/>
            <w:vAlign w:val="bottom"/>
          </w:tcPr>
          <w:p>
            <w:pPr>
              <w:spacing w:after="0"/>
              <w:rPr>
                <w:sz w:val="1"/>
                <w:szCs w:val="1"/>
                <w:color w:val="auto"/>
              </w:rPr>
            </w:pPr>
          </w:p>
        </w:tc>
      </w:tr>
      <w:tr>
        <w:trPr>
          <w:trHeight w:val="209"/>
        </w:trPr>
        <w:tc>
          <w:tcPr>
            <w:tcW w:w="224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611,743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624,698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1,072,982</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89"/>
              </w:rPr>
              <w:t>Net income per common share</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Basic</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79" w:hanging="330"/>
        <w:spacing w:after="0" w:line="227" w:lineRule="auto"/>
        <w:tabs>
          <w:tab w:leader="none" w:pos="380" w:val="left"/>
        </w:tabs>
        <w:numPr>
          <w:ilvl w:val="0"/>
          <w:numId w:val="30"/>
        </w:numPr>
        <w:rPr>
          <w:rFonts w:ascii="Arial" w:cs="Arial" w:eastAsia="Arial" w:hAnsi="Arial"/>
          <w:sz w:val="24"/>
          <w:szCs w:val="24"/>
          <w:color w:val="auto"/>
          <w:vertAlign w:val="superscript"/>
        </w:rPr>
      </w:pPr>
      <w:r>
        <w:rPr>
          <w:rFonts w:ascii="Arial" w:cs="Arial" w:eastAsia="Arial" w:hAnsi="Arial"/>
          <w:sz w:val="16"/>
          <w:szCs w:val="16"/>
          <w:color w:val="auto"/>
        </w:rPr>
        <w:t>During the fourth quarter of fiscal 2020, the Company recorded a $21.8 million impairment charge primarily related to leasehold improvements, furniture and fixtures and operating lease assets at certain Wilsons Leather, G.H. Bass and DKNY stores as a result of the performance at these stores.</w:t>
      </w:r>
    </w:p>
    <w:p>
      <w:pPr>
        <w:spacing w:after="0" w:line="2" w:lineRule="exact"/>
        <w:rPr>
          <w:rFonts w:ascii="Arial" w:cs="Arial" w:eastAsia="Arial" w:hAnsi="Arial"/>
          <w:sz w:val="24"/>
          <w:szCs w:val="24"/>
          <w:color w:val="auto"/>
          <w:vertAlign w:val="superscript"/>
        </w:rPr>
      </w:pPr>
    </w:p>
    <w:p>
      <w:pPr>
        <w:jc w:val="both"/>
        <w:ind w:left="380" w:right="79" w:hanging="330"/>
        <w:spacing w:after="0" w:line="226" w:lineRule="auto"/>
        <w:tabs>
          <w:tab w:leader="none" w:pos="380" w:val="left"/>
        </w:tabs>
        <w:numPr>
          <w:ilvl w:val="0"/>
          <w:numId w:val="30"/>
        </w:numPr>
        <w:rPr>
          <w:rFonts w:ascii="Arial" w:cs="Arial" w:eastAsia="Arial" w:hAnsi="Arial"/>
          <w:sz w:val="24"/>
          <w:szCs w:val="24"/>
          <w:color w:val="auto"/>
          <w:vertAlign w:val="superscript"/>
        </w:rPr>
      </w:pPr>
      <w:r>
        <w:rPr>
          <w:rFonts w:ascii="Arial" w:cs="Arial" w:eastAsia="Arial" w:hAnsi="Arial"/>
          <w:sz w:val="16"/>
          <w:szCs w:val="16"/>
          <w:color w:val="auto"/>
        </w:rPr>
        <w:t>During the fourth quarter of fiscal 2019, the Company recorded a $2.8 million impairment charge related to leasehold improvements and furniture and fixtures at certain of Wilsons Leather, G.H. Bass and DKNY stores as a result of the performance at these stores.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Q —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Coronavirus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March 11, 2020, the World Health Organization declared the novel strain of coronavirus a global pandemic and recommended containment and mitigation measures worldwide. As of the date of this filing, the Company’s retail stores and the stores of some of its department store partners globally have been impacted by temporary closures. The Company cannot reasonably estimate the length or severity of this pandemic, but it currently anticipates a material adverse impact on the consolidated financial statements in fiscal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March 2020, the Company borrowed an aggregate of $500.0 million under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SCHEDULE II </w:t>
      </w:r>
      <w:r>
        <w:rPr>
          <w:rFonts w:ascii="Arial" w:cs="Arial" w:eastAsia="Arial" w:hAnsi="Arial"/>
          <w:sz w:val="18"/>
          <w:szCs w:val="18"/>
          <w:color w:val="auto"/>
        </w:rPr>
        <w:t>—</w:t>
      </w:r>
      <w:r>
        <w:rPr>
          <w:rFonts w:ascii="Arial" w:cs="Arial" w:eastAsia="Arial" w:hAnsi="Arial"/>
          <w:sz w:val="18"/>
          <w:szCs w:val="18"/>
          <w:b w:val="1"/>
          <w:bCs w:val="1"/>
          <w:color w:val="auto"/>
        </w:rPr>
        <w:t xml:space="preserve"> VALUATION AND QUALIFYING ACCOUNTS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January 31, 2020, 2019 and 2018</w:t>
      </w: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ASC 606</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Charges to</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Beginning</w:t>
            </w: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Transition</w:t>
            </w: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Cost and</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 xml:space="preserve">Deductions </w:t>
            </w:r>
            <w:r>
              <w:rPr>
                <w:rFonts w:ascii="Arial" w:cs="Arial" w:eastAsia="Arial" w:hAnsi="Arial"/>
                <w:sz w:val="21"/>
                <w:szCs w:val="21"/>
                <w:b w:val="1"/>
                <w:bCs w:val="1"/>
                <w:color w:val="auto"/>
                <w:w w:val="98"/>
                <w:vertAlign w:val="superscript"/>
              </w:rPr>
              <w:t>(1)</w:t>
            </w:r>
          </w:p>
        </w:tc>
        <w:tc>
          <w:tcPr>
            <w:tcW w:w="14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4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Period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Year ended January 31, 2020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3"/>
          </w:tcPr>
          <w:p>
            <w:pPr>
              <w:ind w:left="120"/>
              <w:spacing w:after="0"/>
              <w:rPr>
                <w:sz w:val="20"/>
                <w:szCs w:val="20"/>
                <w:color w:val="auto"/>
              </w:rPr>
            </w:pPr>
            <w:r>
              <w:rPr>
                <w:rFonts w:ascii="Arial" w:cs="Arial" w:eastAsia="Arial" w:hAnsi="Arial"/>
                <w:sz w:val="18"/>
                <w:szCs w:val="18"/>
                <w:color w:val="auto"/>
              </w:rPr>
              <w:t>Deducted from asset accounts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4420" w:type="dxa"/>
            <w:vAlign w:val="bottom"/>
            <w:gridSpan w:val="3"/>
          </w:tcPr>
          <w:p>
            <w:pPr>
              <w:ind w:left="220"/>
              <w:spacing w:after="0"/>
              <w:rPr>
                <w:sz w:val="20"/>
                <w:szCs w:val="20"/>
                <w:color w:val="auto"/>
              </w:rPr>
            </w:pPr>
            <w:r>
              <w:rPr>
                <w:rFonts w:ascii="Arial" w:cs="Arial" w:eastAsia="Arial" w:hAnsi="Arial"/>
                <w:sz w:val="18"/>
                <w:szCs w:val="18"/>
                <w:color w:val="auto"/>
              </w:rPr>
              <w:t>Reserve for returns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46,489</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ind w:left="220"/>
              <w:spacing w:after="0" w:line="216" w:lineRule="exact"/>
              <w:rPr>
                <w:sz w:val="20"/>
                <w:szCs w:val="20"/>
                <w:color w:val="auto"/>
              </w:rPr>
            </w:pPr>
            <w:r>
              <w:rPr>
                <w:rFonts w:ascii="Arial" w:cs="Arial" w:eastAsia="Arial" w:hAnsi="Arial"/>
                <w:sz w:val="17"/>
                <w:szCs w:val="17"/>
                <w:color w:val="auto"/>
              </w:rPr>
              <w:t xml:space="preserve">Reserve for sales allowances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181,312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422,628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417,011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186,929</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244,514</w:t>
            </w:r>
          </w:p>
        </w:tc>
        <w:tc>
          <w:tcPr>
            <w:tcW w:w="1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478,996</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489,382</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234,128</w:t>
            </w:r>
          </w:p>
        </w:tc>
        <w:tc>
          <w:tcPr>
            <w:tcW w:w="0" w:type="dxa"/>
            <w:vAlign w:val="bottom"/>
          </w:tcPr>
          <w:p>
            <w:pPr>
              <w:spacing w:after="0"/>
              <w:rPr>
                <w:sz w:val="1"/>
                <w:szCs w:val="1"/>
                <w:color w:val="auto"/>
              </w:rPr>
            </w:pPr>
          </w:p>
        </w:tc>
      </w:tr>
      <w:tr>
        <w:trPr>
          <w:trHeight w:val="21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Year ended January 31, 2019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ind w:left="120"/>
              <w:spacing w:after="0"/>
              <w:rPr>
                <w:sz w:val="20"/>
                <w:szCs w:val="20"/>
                <w:color w:val="auto"/>
              </w:rPr>
            </w:pPr>
            <w:r>
              <w:rPr>
                <w:rFonts w:ascii="Arial" w:cs="Arial" w:eastAsia="Arial" w:hAnsi="Arial"/>
                <w:sz w:val="18"/>
                <w:szCs w:val="18"/>
                <w:color w:val="auto"/>
              </w:rPr>
              <w:t>Deducted from asset accounts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4420" w:type="dxa"/>
            <w:vAlign w:val="bottom"/>
            <w:gridSpan w:val="3"/>
          </w:tcPr>
          <w:p>
            <w:pPr>
              <w:ind w:left="220"/>
              <w:spacing w:after="0"/>
              <w:rPr>
                <w:sz w:val="20"/>
                <w:szCs w:val="20"/>
                <w:color w:val="auto"/>
              </w:rPr>
            </w:pPr>
            <w:r>
              <w:rPr>
                <w:rFonts w:ascii="Arial" w:cs="Arial" w:eastAsia="Arial" w:hAnsi="Arial"/>
                <w:sz w:val="18"/>
                <w:szCs w:val="18"/>
                <w:color w:val="auto"/>
              </w:rPr>
              <w:t>Reserve for returns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62,278</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ind w:left="220"/>
              <w:spacing w:after="0" w:line="216" w:lineRule="exact"/>
              <w:rPr>
                <w:sz w:val="20"/>
                <w:szCs w:val="20"/>
                <w:color w:val="auto"/>
              </w:rPr>
            </w:pPr>
            <w:r>
              <w:rPr>
                <w:rFonts w:ascii="Arial" w:cs="Arial" w:eastAsia="Arial" w:hAnsi="Arial"/>
                <w:sz w:val="17"/>
                <w:szCs w:val="17"/>
                <w:color w:val="auto"/>
              </w:rPr>
              <w:t xml:space="preserve">Reserve for sales allowances </w:t>
            </w:r>
            <w:r>
              <w:rPr>
                <w:rFonts w:ascii="Arial" w:cs="Arial" w:eastAsia="Arial" w:hAnsi="Arial"/>
                <w:sz w:val="25"/>
                <w:szCs w:val="25"/>
                <w:color w:val="auto"/>
                <w:vertAlign w:val="superscript"/>
              </w:rPr>
              <w:t>(2)</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102,144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375,118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362,567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181,312</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165,416</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432,755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420,274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244,514</w:t>
            </w:r>
          </w:p>
        </w:tc>
        <w:tc>
          <w:tcPr>
            <w:tcW w:w="0" w:type="dxa"/>
            <w:vAlign w:val="bottom"/>
          </w:tcPr>
          <w:p>
            <w:pPr>
              <w:spacing w:after="0"/>
              <w:rPr>
                <w:sz w:val="1"/>
                <w:szCs w:val="1"/>
                <w:color w:val="auto"/>
              </w:rPr>
            </w:pPr>
          </w:p>
        </w:tc>
      </w:tr>
      <w:tr>
        <w:trPr>
          <w:trHeight w:val="21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Year ended January 31, 2018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ind w:left="2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Reserve for returns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61,179</w:t>
            </w:r>
          </w:p>
        </w:tc>
        <w:tc>
          <w:tcPr>
            <w:tcW w:w="0" w:type="dxa"/>
            <w:vAlign w:val="bottom"/>
          </w:tcPr>
          <w:p>
            <w:pPr>
              <w:spacing w:after="0"/>
              <w:rPr>
                <w:sz w:val="1"/>
                <w:szCs w:val="1"/>
                <w:color w:val="auto"/>
              </w:rPr>
            </w:pPr>
          </w:p>
        </w:tc>
      </w:tr>
      <w:tr>
        <w:trPr>
          <w:trHeight w:val="216"/>
        </w:trPr>
        <w:tc>
          <w:tcPr>
            <w:tcW w:w="4420" w:type="dxa"/>
            <w:vAlign w:val="bottom"/>
            <w:gridSpan w:val="3"/>
          </w:tcPr>
          <w:p>
            <w:pPr>
              <w:ind w:left="220"/>
              <w:spacing w:after="0" w:line="216" w:lineRule="exact"/>
              <w:rPr>
                <w:sz w:val="20"/>
                <w:szCs w:val="20"/>
                <w:color w:val="auto"/>
              </w:rPr>
            </w:pPr>
            <w:r>
              <w:rPr>
                <w:rFonts w:ascii="Arial" w:cs="Arial" w:eastAsia="Arial" w:hAnsi="Arial"/>
                <w:sz w:val="17"/>
                <w:szCs w:val="17"/>
                <w:color w:val="auto"/>
              </w:rPr>
              <w:t xml:space="preserve">Reserve for sales allowances </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303,734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296,084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102,144</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155,488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337,298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327,370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165,416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80" w:hanging="332"/>
        <w:spacing w:after="0"/>
        <w:tabs>
          <w:tab w:leader="none" w:pos="480" w:val="left"/>
        </w:tabs>
        <w:numPr>
          <w:ilvl w:val="0"/>
          <w:numId w:val="31"/>
        </w:numPr>
        <w:rPr>
          <w:rFonts w:ascii="Arial" w:cs="Arial" w:eastAsia="Arial" w:hAnsi="Arial"/>
          <w:sz w:val="24"/>
          <w:szCs w:val="24"/>
          <w:color w:val="auto"/>
          <w:vertAlign w:val="superscript"/>
        </w:rPr>
      </w:pPr>
      <w:r>
        <w:rPr>
          <w:rFonts w:ascii="Arial" w:cs="Arial" w:eastAsia="Arial" w:hAnsi="Arial"/>
          <w:sz w:val="16"/>
          <w:szCs w:val="16"/>
          <w:color w:val="auto"/>
        </w:rPr>
        <w:t>Accounts written off as uncollectible, net of recoveries.</w:t>
      </w:r>
    </w:p>
    <w:p>
      <w:pPr>
        <w:spacing w:after="0" w:line="10" w:lineRule="exact"/>
        <w:rPr>
          <w:rFonts w:ascii="Arial" w:cs="Arial" w:eastAsia="Arial" w:hAnsi="Arial"/>
          <w:sz w:val="24"/>
          <w:szCs w:val="24"/>
          <w:color w:val="auto"/>
          <w:vertAlign w:val="superscript"/>
        </w:rPr>
      </w:pPr>
    </w:p>
    <w:p>
      <w:pPr>
        <w:ind w:left="480" w:hanging="332"/>
        <w:spacing w:after="0" w:line="182" w:lineRule="auto"/>
        <w:tabs>
          <w:tab w:leader="none" w:pos="480" w:val="left"/>
        </w:tabs>
        <w:numPr>
          <w:ilvl w:val="0"/>
          <w:numId w:val="31"/>
        </w:numPr>
        <w:rPr>
          <w:rFonts w:ascii="Arial" w:cs="Arial" w:eastAsia="Arial" w:hAnsi="Arial"/>
          <w:sz w:val="22"/>
          <w:szCs w:val="22"/>
          <w:color w:val="auto"/>
          <w:vertAlign w:val="superscript"/>
        </w:rPr>
      </w:pPr>
      <w:r>
        <w:rPr>
          <w:rFonts w:ascii="Arial" w:cs="Arial" w:eastAsia="Arial" w:hAnsi="Arial"/>
          <w:sz w:val="15"/>
          <w:szCs w:val="15"/>
          <w:color w:val="auto"/>
        </w:rPr>
        <w:t>See Note A in the accompanying Notes to Consolidated Financial Statements for a description of sales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7960"/>
        <w:spacing w:after="0"/>
        <w:rPr>
          <w:sz w:val="20"/>
          <w:szCs w:val="20"/>
          <w:color w:val="auto"/>
        </w:rPr>
      </w:pPr>
      <w:r>
        <w:rPr>
          <w:rFonts w:ascii="Arial" w:cs="Arial" w:eastAsia="Arial" w:hAnsi="Arial"/>
          <w:sz w:val="16"/>
          <w:szCs w:val="16"/>
          <w:b w:val="1"/>
          <w:bCs w:val="1"/>
          <w:color w:val="auto"/>
        </w:rPr>
        <w:t>Exhibit 4.2</w:t>
      </w:r>
    </w:p>
    <w:p>
      <w:pPr>
        <w:spacing w:after="0" w:line="248" w:lineRule="exact"/>
        <w:rPr>
          <w:sz w:val="20"/>
          <w:szCs w:val="20"/>
          <w:color w:val="auto"/>
        </w:rPr>
      </w:pPr>
    </w:p>
    <w:p>
      <w:pPr>
        <w:jc w:val="center"/>
        <w:ind w:left="1660" w:right="80"/>
        <w:spacing w:after="0" w:line="282" w:lineRule="auto"/>
        <w:rPr>
          <w:sz w:val="20"/>
          <w:szCs w:val="20"/>
          <w:color w:val="auto"/>
        </w:rPr>
      </w:pPr>
      <w:r>
        <w:rPr>
          <w:rFonts w:ascii="Arial" w:cs="Arial" w:eastAsia="Arial" w:hAnsi="Arial"/>
          <w:sz w:val="18"/>
          <w:szCs w:val="18"/>
          <w:b w:val="1"/>
          <w:bCs w:val="1"/>
          <w:color w:val="auto"/>
        </w:rPr>
        <w:t>DESCRIPTION OF REGISTRANT’S SECURITIES REGISTERED PURSUANT TO SECTION 12 OF THE SECURITIES EXCHANGE ACT OF 1934</w:t>
      </w:r>
    </w:p>
    <w:p>
      <w:pPr>
        <w:spacing w:after="0" w:line="166" w:lineRule="exact"/>
        <w:rPr>
          <w:sz w:val="20"/>
          <w:szCs w:val="20"/>
          <w:color w:val="auto"/>
        </w:rPr>
      </w:pPr>
    </w:p>
    <w:p>
      <w:pPr>
        <w:jc w:val="both"/>
        <w:ind w:left="200" w:right="219" w:firstLine="847"/>
        <w:spacing w:after="0" w:line="254" w:lineRule="auto"/>
        <w:rPr>
          <w:sz w:val="20"/>
          <w:szCs w:val="20"/>
          <w:color w:val="auto"/>
        </w:rPr>
      </w:pPr>
      <w:r>
        <w:rPr>
          <w:rFonts w:ascii="Arial" w:cs="Arial" w:eastAsia="Arial" w:hAnsi="Arial"/>
          <w:sz w:val="18"/>
          <w:szCs w:val="18"/>
          <w:color w:val="auto"/>
        </w:rPr>
        <w:t>The following description of the capital stock of G-III Apparel Group, Ltd. (“us,” “our,” “we” or “our company”) is a summary of the rights of our capital stock and summarizes certain provisions of our certificate of incorporation, as amended through March 30, 2020 (our “Certificate of Incorporation”) and our bylaws as in effect as of that date (our “Bylaws”). This summary does not purport to be complete and is qualified in its entirety by the provisions of our Certificate of Incorporation and our Bylaws, copies of which have been filed as exhibits to this Annual Report on Form 10-K, as well as to the applicable provisions of the Delaware General Corporation Law. Our common stock is the only class of securities of our company registered under Section 12 of the Securities Exchange Act of 1934, as amended.</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22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Our Certificate of Incorporation authorizes the issuance of 121,000,000 shares of all classes of stock, consisting of 120,000,000 shares of common stock, $.01 par value per share, and 1,000,000 shares of preferred stock, $.01 par value per share. The preferred stock may be issued in one or more series with such terms as the board of directors may determine. The outstanding shares of our common stock are duly authorized, validly issued, and fully paid. We do not have any shares of preferred stock outstanding.</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our common stock are entitled to one vote for each share held by them on all</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on which stockholders are entitled to vote, including the election of directors, and do not have cumulative voting rights.</w:t>
      </w:r>
    </w:p>
    <w:p>
      <w:pPr>
        <w:spacing w:after="0" w:line="184"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any preferential rights of any then outstanding preferred stock,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entitled to receive, as, when and if declared by our board of directors from time to time, such dividends and other distributions in cash, stock or property from our assets or funds legally available for such purposes.</w:t>
      </w:r>
    </w:p>
    <w:p>
      <w:pPr>
        <w:spacing w:after="0" w:line="187"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any distribution of capital assets or winding-up of our company,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voluntary or involuntary, holders of our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the assets remaining after creditors have been paid in full.</w:t>
      </w:r>
    </w:p>
    <w:p>
      <w:pPr>
        <w:spacing w:after="0" w:line="184"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There are no preemptive, subscription or conversion rights applicable to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has no sinking fund or redemption provisions. Holders of our common stock may act by written consent as provided in our Bylaws.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7"/>
          <w:szCs w:val="17"/>
          <w:color w:val="auto"/>
        </w:rPr>
        <w:t>Our board of directors has the authority, without stockholder approval, to issue up to 1,000,000 shares of preferred stock in one or more series. Our board also has the authority to fix the designations, powers, preferences, privileges and relative, participating, optional or special rights and the qualifications, limitations or restrictions of any series of preferred stock issued, including dividend rights, conversion rights, voting rights, or other rights, any or all of which may be greater than the rights of the common stock. Preferred stock could be issued with terms that could delay or prevent a change in control of our company or make removal of management more difficult. In addition, the issuance of preferred stock may decrease the market price of the common stock and may adversely affect the voting and other rights of the holders of common stock.</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Anti-Takeover Effects of Certain Provisions of Our Certificate of Incorporation and Bylaws</w:t>
      </w:r>
    </w:p>
    <w:p>
      <w:pPr>
        <w:spacing w:after="0" w:line="225" w:lineRule="exact"/>
        <w:rPr>
          <w:sz w:val="20"/>
          <w:szCs w:val="20"/>
          <w:color w:val="auto"/>
        </w:rPr>
      </w:pPr>
    </w:p>
    <w:p>
      <w:pPr>
        <w:jc w:val="both"/>
        <w:ind w:left="200" w:right="239" w:firstLine="648"/>
        <w:spacing w:after="0" w:line="277" w:lineRule="auto"/>
        <w:rPr>
          <w:sz w:val="20"/>
          <w:szCs w:val="20"/>
          <w:color w:val="auto"/>
        </w:rPr>
      </w:pPr>
      <w:r>
        <w:rPr>
          <w:rFonts w:ascii="Arial" w:cs="Arial" w:eastAsia="Arial" w:hAnsi="Arial"/>
          <w:sz w:val="18"/>
          <w:szCs w:val="18"/>
          <w:color w:val="auto"/>
        </w:rPr>
        <w:t>Our Certificate of Incorporation and Bylaws contains provisions that could make it more difficult to acquire control of our company. A description of these provisions is set forth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jc w:val="both"/>
        <w:ind w:left="200" w:right="219" w:firstLine="648"/>
        <w:spacing w:after="0" w:line="271" w:lineRule="auto"/>
        <w:rPr>
          <w:sz w:val="20"/>
          <w:szCs w:val="20"/>
          <w:color w:val="auto"/>
        </w:rPr>
      </w:pPr>
      <w:r>
        <w:rPr>
          <w:rFonts w:ascii="Arial" w:cs="Arial" w:eastAsia="Arial" w:hAnsi="Arial"/>
          <w:sz w:val="17"/>
          <w:szCs w:val="17"/>
          <w:i w:val="1"/>
          <w:iCs w:val="1"/>
          <w:color w:val="auto"/>
        </w:rPr>
        <w:t>Authorized but Unissued Shares of Common Stock and Preferred Stock</w:t>
      </w:r>
      <w:r>
        <w:rPr>
          <w:rFonts w:ascii="Arial" w:cs="Arial" w:eastAsia="Arial" w:hAnsi="Arial"/>
          <w:sz w:val="17"/>
          <w:szCs w:val="17"/>
          <w:color w:val="auto"/>
        </w:rPr>
        <w:t>. The authorized but unissued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preferred stock are available for future issuance without stockholder approval, unless such approval is required by applicable law or the rules of any stock exchange on which our securities may be listed. These additional shares may be utilized for a variety of corporate purposes, including future public offerings to raise additional capital, corporate acquisitions and employee benefit plans. The existence of authorized but unissued shares of common stock and preferred stock could impede the completion of a merger, tender offer or other takeover attempt that some, or a majority, of the stockholders might believe to be in their best interests or in which stockholders might receive a premium for their stock over the then prevailing market price of the stock.</w:t>
      </w:r>
    </w:p>
    <w:p>
      <w:pPr>
        <w:spacing w:after="0" w:line="178" w:lineRule="exact"/>
        <w:rPr>
          <w:sz w:val="20"/>
          <w:szCs w:val="20"/>
          <w:color w:val="auto"/>
        </w:rPr>
      </w:pPr>
    </w:p>
    <w:p>
      <w:pPr>
        <w:jc w:val="both"/>
        <w:ind w:left="200" w:right="219" w:firstLine="648"/>
        <w:spacing w:after="0" w:line="296" w:lineRule="auto"/>
        <w:rPr>
          <w:sz w:val="20"/>
          <w:szCs w:val="20"/>
          <w:color w:val="auto"/>
        </w:rPr>
      </w:pPr>
      <w:r>
        <w:rPr>
          <w:rFonts w:ascii="Arial" w:cs="Arial" w:eastAsia="Arial" w:hAnsi="Arial"/>
          <w:sz w:val="16"/>
          <w:szCs w:val="16"/>
          <w:i w:val="1"/>
          <w:iCs w:val="1"/>
          <w:color w:val="auto"/>
        </w:rPr>
        <w:t>Special Stockholder Meetings</w:t>
      </w:r>
      <w:r>
        <w:rPr>
          <w:rFonts w:ascii="Arial" w:cs="Arial" w:eastAsia="Arial" w:hAnsi="Arial"/>
          <w:sz w:val="16"/>
          <w:szCs w:val="16"/>
          <w:color w:val="auto"/>
        </w:rPr>
        <w:t>. Our Bylaws provide that special meetings of the stockholders for any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or purposes, unless prescribed by statute or our Certificate of Incorporation, may be called by the president or secretary and shall be called by our chairman, president or secretary at the request in writing of a majority of the board of directors, or at the request in writing of stockholders owning a majority in amount of our entire capital stock issued and outstanding and entitled to vote. Any such request shall state the purpose or purposes of the proposed meeting.</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Advanced Notice Procedure</w:t>
      </w:r>
      <w:r>
        <w:rPr>
          <w:rFonts w:ascii="Arial" w:cs="Arial" w:eastAsia="Arial" w:hAnsi="Arial"/>
          <w:sz w:val="17"/>
          <w:szCs w:val="17"/>
          <w:color w:val="auto"/>
        </w:rPr>
        <w:t>. Our Bylaws provide an advance notice procedure for stockholder meetings.</w:t>
      </w:r>
    </w:p>
    <w:p>
      <w:pPr>
        <w:spacing w:after="0" w:line="237"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7"/>
          <w:szCs w:val="17"/>
          <w:color w:val="auto"/>
        </w:rPr>
        <w:t>With respect to annual meetings of stockholders, our Bylaws require stockholders to deliver notice to us of their intention to make director nominations or bring other business before the meeting not later than the close of business on the 90th day, nor earlier than the close of business on the 120th day, in advance of the anniversary of the previous year’s annual meeting if the meeting is to be held on a day which is not more than 30 days in advance of the anniversary of the previous year’s annual meeting or not later than 70 days after the anniversary of the previous year’s annual meeting. With respect to any other annual meeting of stockholders, we must receive stockholder notices by the close of business on the tenth day following the date of public disclosure of the meeting date. In addition, our Bylaws prescribe information that the stockholder’s notice must contain, both as to itself and its proposed director nominee, if the stockholder wishes to nominate a candidate for the annual meeting director election, and prescribes information that the stockholder’s notice must contain if the stockholder wishes to bring business other than a director nomination before the annual meeting.</w:t>
      </w:r>
    </w:p>
    <w:p>
      <w:pPr>
        <w:spacing w:after="0" w:line="182"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6"/>
          <w:szCs w:val="16"/>
          <w:color w:val="auto"/>
        </w:rPr>
        <w:t>With respect to special meetings of stockholders, written notice of a special meeting stating the place (if any), date, hour and means of remote communication, if any, of the meeting and the purpose or purposes for which the meeting is called must be given not less than ten nor more than sixty days before the date of the meeting, to each stockholder entitled to vote at such meeting. The only business that may be brought before the meeting will be the business described in the notice of meeting delivered to the stockholders. In the event we call a special meeting of stockholders for the purpose of electing one or more directors to the board of directors, any stockholder entitled to vote in such election of directors may nominate a person or persons (as the case may be) for election to such position(s) as specified in our notice of meeting, if the stockholder provides us written notice no later than the close of business on the 90th day prior to such special meeting and not earlier than the close of business on the later of the 120th day prior to such special meeting or the tenth (10th) day following the date of public disclosure of the date of the special meeting and of the nominees proposed by the board of directors to be elected at such meeting.</w:t>
      </w:r>
    </w:p>
    <w:p>
      <w:pPr>
        <w:spacing w:after="0" w:line="172"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7"/>
          <w:szCs w:val="17"/>
          <w:color w:val="auto"/>
        </w:rPr>
        <w:t>These advance notice provisions may have the effect of precluding the conduct of certain business at a meeting if the proper procedures are not followed or may discourage or deter a potential acquirer from conducting a solicitation of proxies to elect its own slate of directors or otherwise attempt to obtain control of us.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Anti-Takeover Provisions of Delaware Law</w:t>
      </w:r>
    </w:p>
    <w:p>
      <w:pPr>
        <w:spacing w:after="0" w:line="225"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color w:val="auto"/>
        </w:rPr>
        <w:t>A number of provisions under Delaware law may make it more difficult to acquire control of us. These provisions could deprive the stockholders of opportunities to realize a premium on the shares of common stock owned by them. In addition, these provisions may adversely affect the prevailing market price of the common stock. These provisions are intended to:</w:t>
      </w:r>
    </w:p>
    <w:p>
      <w:pPr>
        <w:spacing w:after="0" w:line="187" w:lineRule="exact"/>
        <w:rPr>
          <w:sz w:val="20"/>
          <w:szCs w:val="20"/>
          <w:color w:val="auto"/>
        </w:rPr>
      </w:pPr>
    </w:p>
    <w:p>
      <w:pPr>
        <w:ind w:left="860" w:right="239" w:hanging="327"/>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enhance the likelihood of continuity and stability in the composition of the board and in the policies formulated by the board;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08" w:name="page109"/>
    <w:bookmarkEnd w:id="108"/>
    <w:p>
      <w:pPr>
        <w:ind w:left="860" w:right="239" w:hanging="327"/>
        <w:spacing w:after="0" w:line="277"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discourage certain types of transactions which may involve an actual or threatened change in control of our company;</w:t>
      </w:r>
    </w:p>
    <w:p>
      <w:pPr>
        <w:spacing w:after="0" w:line="170" w:lineRule="exact"/>
        <w:rPr>
          <w:rFonts w:ascii="Arial" w:cs="Arial" w:eastAsia="Arial" w:hAnsi="Arial"/>
          <w:sz w:val="18"/>
          <w:szCs w:val="18"/>
          <w:color w:val="auto"/>
        </w:rPr>
      </w:pPr>
    </w:p>
    <w:p>
      <w:pPr>
        <w:ind w:left="860" w:hanging="327"/>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discourage certain tactics that may be used in proxy fights; and</w:t>
      </w:r>
    </w:p>
    <w:p>
      <w:pPr>
        <w:spacing w:after="0" w:line="225" w:lineRule="exact"/>
        <w:rPr>
          <w:rFonts w:ascii="Arial" w:cs="Arial" w:eastAsia="Arial" w:hAnsi="Arial"/>
          <w:sz w:val="18"/>
          <w:szCs w:val="18"/>
          <w:color w:val="auto"/>
        </w:rPr>
      </w:pPr>
    </w:p>
    <w:p>
      <w:pPr>
        <w:ind w:left="860" w:right="219" w:hanging="327"/>
        <w:spacing w:after="0" w:line="277"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encourage persons seeking to acquire control of our company to consult first with the board of directors to negotiate the terms of any proposed business combination or offer.</w:t>
      </w:r>
    </w:p>
    <w:p>
      <w:pPr>
        <w:spacing w:after="0" w:line="170"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We are subject to the provisions of Section 203 of the Delaware General Corporation Law, an anti-takeover law. Subject to exceptions, the statute prohibits a Delaware corporation that has a class of voting stock listed on a national securities exchange or held of record by more than 2,000 stockholders from engaging in a “business combination” with an “interested stockholder” for a period of three years after the date of the transaction in which the person became an interested stockholder, unless:</w:t>
      </w:r>
    </w:p>
    <w:p>
      <w:pPr>
        <w:spacing w:after="0" w:line="188" w:lineRule="exact"/>
        <w:rPr>
          <w:sz w:val="20"/>
          <w:szCs w:val="20"/>
          <w:color w:val="auto"/>
        </w:rPr>
      </w:pPr>
    </w:p>
    <w:p>
      <w:pPr>
        <w:ind w:left="860" w:right="239" w:hanging="327"/>
        <w:spacing w:after="0" w:line="308"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Prior to such date, the board of directors of the corporation approved either the business combination or the transaction which resulted in the stockholder becoming an interested stockholder;</w:t>
      </w:r>
    </w:p>
    <w:p>
      <w:pPr>
        <w:spacing w:after="0" w:line="146" w:lineRule="exact"/>
        <w:rPr>
          <w:rFonts w:ascii="Arial" w:cs="Arial" w:eastAsia="Arial" w:hAnsi="Arial"/>
          <w:sz w:val="17"/>
          <w:szCs w:val="17"/>
          <w:color w:val="auto"/>
        </w:rPr>
      </w:pPr>
    </w:p>
    <w:p>
      <w:pPr>
        <w:jc w:val="both"/>
        <w:ind w:left="860" w:right="219" w:hanging="327"/>
        <w:spacing w:after="0" w:line="272"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(but not the outstanding voting stock owned by the interested stockholder), those shares owned (1) by persons who are directors and also officers and (2) by employee stock plans in which employee participants do not have the right to determine confidentially whether shares held subject to the plan will be tendered in a tender or exchange offer; or</w:t>
      </w:r>
    </w:p>
    <w:p>
      <w:pPr>
        <w:spacing w:after="0" w:line="177" w:lineRule="exact"/>
        <w:rPr>
          <w:rFonts w:ascii="Arial" w:cs="Arial" w:eastAsia="Arial" w:hAnsi="Arial"/>
          <w:sz w:val="17"/>
          <w:szCs w:val="17"/>
          <w:color w:val="auto"/>
        </w:rPr>
      </w:pPr>
    </w:p>
    <w:p>
      <w:pPr>
        <w:jc w:val="both"/>
        <w:ind w:left="860" w:right="219" w:hanging="327"/>
        <w:spacing w:after="0" w:line="286"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6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8"/>
          <w:szCs w:val="18"/>
          <w:color w:val="auto"/>
        </w:rPr>
        <w:t>For purposes of Section 203, a “business combination” includes a merger, asset sale or other transaction resulting, directly or indirectly (except proportionately as a stockholder of our company), in a financial benefit to the interested stockholder, with an “interested stockholder” being defined as a person who, together with affiliates and associates, owns, or within three years prior to the date of determination whether the person is an “interested stockholder,” did own, 15% or more of the corporation’s voting stock.</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Limitation on Liability and Indemnification Matters</w:t>
      </w:r>
    </w:p>
    <w:p>
      <w:pPr>
        <w:spacing w:after="0" w:line="225" w:lineRule="exact"/>
        <w:rPr>
          <w:sz w:val="20"/>
          <w:szCs w:val="20"/>
          <w:color w:val="auto"/>
        </w:rPr>
      </w:pPr>
    </w:p>
    <w:p>
      <w:pPr>
        <w:jc w:val="both"/>
        <w:ind w:left="200" w:right="239" w:firstLine="648"/>
        <w:spacing w:after="0" w:line="277" w:lineRule="auto"/>
        <w:rPr>
          <w:sz w:val="20"/>
          <w:szCs w:val="20"/>
          <w:color w:val="auto"/>
        </w:rPr>
      </w:pPr>
      <w:r>
        <w:rPr>
          <w:rFonts w:ascii="Arial" w:cs="Arial" w:eastAsia="Arial" w:hAnsi="Arial"/>
          <w:sz w:val="18"/>
          <w:szCs w:val="18"/>
          <w:color w:val="auto"/>
        </w:rPr>
        <w:t>Our Certificate of Incorporation and Bylaws provide for the indemnification of our officers and directors to the fullest extent permitted under Delaware law.</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transfer agent and registrar for our common stock is EQ Shareowner Services.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Nasdaq Stock Market Listing</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Our common stock is traded on the Nasdaq Global Select Market under the trading symbol “GIII”.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563C1"/>
        </w:rPr>
      </w:pPr>
      <w:hyperlink w:anchor="page67">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ind w:left="2320"/>
              <w:spacing w:after="0"/>
              <w:rPr>
                <w:sz w:val="20"/>
                <w:szCs w:val="20"/>
                <w:color w:val="auto"/>
              </w:rPr>
            </w:pPr>
            <w:r>
              <w:rPr>
                <w:rFonts w:ascii="Arial" w:cs="Arial" w:eastAsia="Arial" w:hAnsi="Arial"/>
                <w:sz w:val="18"/>
                <w:szCs w:val="18"/>
                <w:b w:val="1"/>
                <w:bCs w:val="1"/>
                <w:color w:val="auto"/>
                <w:w w:val="91"/>
              </w:rPr>
              <w:t>Exhibit 21</w:t>
            </w:r>
          </w:p>
        </w:tc>
      </w:tr>
      <w:tr>
        <w:trPr>
          <w:trHeight w:val="432"/>
        </w:trPr>
        <w:tc>
          <w:tcPr>
            <w:tcW w:w="5800" w:type="dxa"/>
            <w:vAlign w:val="bottom"/>
            <w:gridSpan w:val="2"/>
          </w:tcPr>
          <w:p>
            <w:pPr>
              <w:ind w:left="3660"/>
              <w:spacing w:after="0"/>
              <w:rPr>
                <w:sz w:val="20"/>
                <w:szCs w:val="20"/>
                <w:color w:val="auto"/>
              </w:rPr>
            </w:pPr>
            <w:r>
              <w:rPr>
                <w:rFonts w:ascii="Arial" w:cs="Arial" w:eastAsia="Arial" w:hAnsi="Arial"/>
                <w:sz w:val="18"/>
                <w:szCs w:val="18"/>
                <w:b w:val="1"/>
                <w:bCs w:val="1"/>
                <w:color w:val="auto"/>
              </w:rPr>
              <w:t>Subsidiaries of G-III</w:t>
            </w:r>
          </w:p>
        </w:tc>
        <w:tc>
          <w:tcPr>
            <w:tcW w:w="3120" w:type="dxa"/>
            <w:vAlign w:val="bottom"/>
          </w:tcPr>
          <w:p>
            <w:pPr>
              <w:spacing w:after="0"/>
              <w:rPr>
                <w:sz w:val="24"/>
                <w:szCs w:val="24"/>
                <w:color w:val="auto"/>
              </w:rPr>
            </w:pPr>
          </w:p>
        </w:tc>
      </w:tr>
      <w:tr>
        <w:trPr>
          <w:trHeight w:val="378"/>
        </w:trPr>
        <w:tc>
          <w:tcPr>
            <w:tcW w:w="5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NAME OF SUBSIDIARY</w:t>
            </w: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rPr>
              <w:t>JURISDICTION OF ORGANIZATION</w:t>
            </w:r>
          </w:p>
        </w:tc>
      </w:tr>
      <w:tr>
        <w:trPr>
          <w:trHeight w:val="209"/>
        </w:trPr>
        <w:tc>
          <w:tcPr>
            <w:tcW w:w="5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G-III Leather Fashions, Inc.</w:t>
            </w:r>
          </w:p>
        </w:tc>
        <w:tc>
          <w:tcPr>
            <w:tcW w:w="36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16"/>
        </w:trPr>
        <w:tc>
          <w:tcPr>
            <w:tcW w:w="580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AM Retail Group, Inc.</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4"/>
              </w:rPr>
              <w:t>CK Outerwear LLC</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G-III Apparel Canada ULC</w:t>
            </w:r>
          </w:p>
        </w:tc>
        <w:tc>
          <w:tcPr>
            <w:tcW w:w="3120" w:type="dxa"/>
            <w:vAlign w:val="bottom"/>
          </w:tcPr>
          <w:p>
            <w:pPr>
              <w:jc w:val="center"/>
              <w:spacing w:after="0"/>
              <w:rPr>
                <w:sz w:val="20"/>
                <w:szCs w:val="20"/>
                <w:color w:val="auto"/>
              </w:rPr>
            </w:pPr>
            <w:r>
              <w:rPr>
                <w:rFonts w:ascii="Arial" w:cs="Arial" w:eastAsia="Arial" w:hAnsi="Arial"/>
                <w:sz w:val="18"/>
                <w:szCs w:val="18"/>
                <w:color w:val="auto"/>
                <w:w w:val="92"/>
              </w:rPr>
              <w:t>British Columbia, Canada</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7"/>
              </w:rPr>
              <w:t>G-III Hong Kong Limited</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8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Kostroma Limited</w:t>
            </w:r>
          </w:p>
        </w:tc>
        <w:tc>
          <w:tcPr>
            <w:tcW w:w="312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Hangzhou G-III Apparel Trading Co., Ltd</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G-III License Company, LLC</w:t>
            </w:r>
          </w:p>
        </w:tc>
        <w:tc>
          <w:tcPr>
            <w:tcW w:w="3120" w:type="dxa"/>
            <w:vAlign w:val="bottom"/>
          </w:tcPr>
          <w:p>
            <w:pPr>
              <w:ind w:left="118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Riviera Sun, Inc.</w:t>
            </w:r>
          </w:p>
        </w:tc>
        <w:tc>
          <w:tcPr>
            <w:tcW w:w="31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Vilebrequin International SA</w:t>
            </w:r>
          </w:p>
        </w:tc>
        <w:tc>
          <w:tcPr>
            <w:tcW w:w="312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5"/>
              </w:rPr>
              <w:t>GKL Holdings B.V.</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16"/>
        </w:trPr>
        <w:tc>
          <w:tcPr>
            <w:tcW w:w="58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T.R.B. International SA</w:t>
            </w:r>
          </w:p>
        </w:tc>
        <w:tc>
          <w:tcPr>
            <w:tcW w:w="312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Tropezina S.L.</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Spain</w:t>
            </w:r>
          </w:p>
        </w:tc>
      </w:tr>
      <w:tr>
        <w:trPr>
          <w:trHeight w:val="216"/>
        </w:trPr>
        <w:tc>
          <w:tcPr>
            <w:tcW w:w="58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Vilebrequin France SAS</w:t>
            </w:r>
          </w:p>
        </w:tc>
        <w:tc>
          <w:tcPr>
            <w:tcW w:w="31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TRB (Singapore) S.E. Asia PTE Ltd.</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Singapore</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Lobst SAS</w:t>
            </w:r>
          </w:p>
        </w:tc>
        <w:tc>
          <w:tcPr>
            <w:tcW w:w="31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TRB Belgique SPRL</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Belgium</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Riley SA</w:t>
            </w:r>
          </w:p>
        </w:tc>
        <w:tc>
          <w:tcPr>
            <w:tcW w:w="312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Sole SRL</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Italy</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La Plage Ltd.</w:t>
            </w:r>
          </w:p>
        </w:tc>
        <w:tc>
          <w:tcPr>
            <w:tcW w:w="31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T.R.B. Hong Kong Ltd.</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TRB Macao Ltd.</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Macao</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Riley &amp; Cie S.C.S.</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Monaco</w:t>
            </w:r>
          </w:p>
        </w:tc>
      </w:tr>
      <w:tr>
        <w:trPr>
          <w:trHeight w:val="216"/>
        </w:trPr>
        <w:tc>
          <w:tcPr>
            <w:tcW w:w="58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TRB Portugal, Comercio de Vestuario Unipessoal LDA</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Vilebrequin Shanghai Apparel and Accessory Co., Ltd.</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China</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Naiman GmbH</w:t>
            </w:r>
          </w:p>
        </w:tc>
        <w:tc>
          <w:tcPr>
            <w:tcW w:w="312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Vilebrequin Saint Maarten</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 Maarten</w:t>
            </w:r>
          </w:p>
        </w:tc>
      </w:tr>
      <w:tr>
        <w:trPr>
          <w:trHeight w:val="216"/>
        </w:trPr>
        <w:tc>
          <w:tcPr>
            <w:tcW w:w="58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Vilebrequin Deutschland GmbH</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Donna Karan International Inc.</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58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Gabrielle Studio, Inc.</w:t>
            </w:r>
          </w:p>
        </w:tc>
        <w:tc>
          <w:tcPr>
            <w:tcW w:w="31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The Donna Karan Company Store LLC</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Donna Karan Studio LLC</w:t>
            </w:r>
          </w:p>
        </w:tc>
        <w:tc>
          <w:tcPr>
            <w:tcW w:w="31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Donna Karan Service Company B.V.</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Donna Karan Company Store Ireland Limited</w:t>
            </w: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Donna Karan Company Stores UK Holding Ltd.</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The Donna Karan Company Store (UK) Limited</w:t>
            </w:r>
          </w:p>
        </w:tc>
        <w:tc>
          <w:tcPr>
            <w:tcW w:w="31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Donna Karan Company Stores UK Retail Ltd.</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Donna Karan Management Company UK Ltd.</w:t>
            </w:r>
          </w:p>
        </w:tc>
        <w:tc>
          <w:tcPr>
            <w:tcW w:w="31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5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Donna Karan Company Store (Germany) GmbH</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58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DKNY Stores (Spain), S.L.</w:t>
            </w:r>
          </w:p>
        </w:tc>
        <w:tc>
          <w:tcPr>
            <w:tcW w:w="312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216"/>
        </w:trPr>
        <w:tc>
          <w:tcPr>
            <w:tcW w:w="58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DKNY Stores (Portugal), Unipessoal Lda</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Portugal</w:t>
            </w:r>
          </w:p>
        </w:tc>
      </w:tr>
      <w:tr>
        <w:trPr>
          <w:trHeight w:val="1208"/>
        </w:trPr>
        <w:tc>
          <w:tcPr>
            <w:tcW w:w="5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10" w:name="page111"/>
    <w:bookmarkEnd w:id="110"/>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360" w:hanging="66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333-80937) of G-III Apparel Group, Ltd.,</w:t>
      </w:r>
    </w:p>
    <w:p>
      <w:pPr>
        <w:spacing w:after="0" w:line="23" w:lineRule="exact"/>
        <w:rPr>
          <w:rFonts w:ascii="Arial" w:cs="Arial" w:eastAsia="Arial" w:hAnsi="Arial"/>
          <w:sz w:val="18"/>
          <w:szCs w:val="18"/>
          <w:color w:val="auto"/>
        </w:rPr>
      </w:pPr>
    </w:p>
    <w:p>
      <w:pPr>
        <w:ind w:left="1360" w:hanging="66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333-115010) of G-III Apparel Group, Ltd.,</w:t>
      </w:r>
    </w:p>
    <w:p>
      <w:pPr>
        <w:spacing w:after="0" w:line="9" w:lineRule="exact"/>
        <w:rPr>
          <w:rFonts w:ascii="Arial" w:cs="Arial" w:eastAsia="Arial" w:hAnsi="Arial"/>
          <w:sz w:val="18"/>
          <w:szCs w:val="18"/>
          <w:color w:val="auto"/>
        </w:rPr>
      </w:pPr>
    </w:p>
    <w:p>
      <w:pPr>
        <w:ind w:left="1360" w:hanging="66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333-125804) of G-III Apparel Group, Ltd.,</w:t>
      </w:r>
    </w:p>
    <w:p>
      <w:pPr>
        <w:spacing w:after="0" w:line="9" w:lineRule="exact"/>
        <w:rPr>
          <w:rFonts w:ascii="Arial" w:cs="Arial" w:eastAsia="Arial" w:hAnsi="Arial"/>
          <w:sz w:val="18"/>
          <w:szCs w:val="18"/>
          <w:color w:val="auto"/>
        </w:rPr>
      </w:pPr>
    </w:p>
    <w:p>
      <w:pPr>
        <w:ind w:left="1360" w:hanging="66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333-143974) of G-III Apparel Group, Ltd.,</w:t>
      </w:r>
    </w:p>
    <w:p>
      <w:pPr>
        <w:spacing w:after="0" w:line="9" w:lineRule="exact"/>
        <w:rPr>
          <w:rFonts w:ascii="Arial" w:cs="Arial" w:eastAsia="Arial" w:hAnsi="Arial"/>
          <w:sz w:val="18"/>
          <w:szCs w:val="18"/>
          <w:color w:val="auto"/>
        </w:rPr>
      </w:pPr>
    </w:p>
    <w:p>
      <w:pPr>
        <w:ind w:left="1360" w:hanging="66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333-160056) of G-III Apparel Group, Ltd.,</w:t>
      </w:r>
    </w:p>
    <w:p>
      <w:pPr>
        <w:spacing w:after="0" w:line="9" w:lineRule="exact"/>
        <w:rPr>
          <w:rFonts w:ascii="Arial" w:cs="Arial" w:eastAsia="Arial" w:hAnsi="Arial"/>
          <w:sz w:val="18"/>
          <w:szCs w:val="18"/>
          <w:color w:val="auto"/>
        </w:rPr>
      </w:pPr>
    </w:p>
    <w:p>
      <w:pPr>
        <w:ind w:left="1360" w:hanging="668"/>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333-205602) of G-III Apparel Group, Ltd., and</w:t>
      </w:r>
    </w:p>
    <w:p>
      <w:pPr>
        <w:spacing w:after="0" w:line="9" w:lineRule="exact"/>
        <w:rPr>
          <w:rFonts w:ascii="Arial" w:cs="Arial" w:eastAsia="Arial" w:hAnsi="Arial"/>
          <w:sz w:val="18"/>
          <w:szCs w:val="18"/>
          <w:color w:val="auto"/>
        </w:rPr>
      </w:pPr>
    </w:p>
    <w:p>
      <w:pPr>
        <w:ind w:left="1540" w:hanging="848"/>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333-232338) of G-III Apparel Group, Ltd.</w:t>
      </w:r>
    </w:p>
    <w:p>
      <w:pPr>
        <w:spacing w:after="0" w:line="211"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of our reports dated March 30, 2020, with respect to the consolidated financial statements and schedule of G-III Apparel Group, Ltd. and subsidiaries and the effectiveness of internal control over financial reporting of G-III Apparel Group, Ltd. and subsidiaries included in this Annual Report (Form 10-K) of G-III Apparel Group, Ltd. and subsidiaries for the year ended January 31,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1017270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 13a – 14(a) OR RULE 15d – 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760" w:hanging="353"/>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G-III Apparel Group, Ltd.;</w:t>
      </w:r>
    </w:p>
    <w:p>
      <w:pPr>
        <w:spacing w:after="0" w:line="157" w:lineRule="exact"/>
        <w:rPr>
          <w:rFonts w:ascii="Arial" w:cs="Arial" w:eastAsia="Arial" w:hAnsi="Arial"/>
          <w:sz w:val="18"/>
          <w:szCs w:val="18"/>
          <w:color w:val="auto"/>
        </w:rPr>
      </w:pPr>
    </w:p>
    <w:p>
      <w:pPr>
        <w:ind w:left="760" w:right="239" w:hanging="353"/>
        <w:spacing w:after="0" w:line="263" w:lineRule="auto"/>
        <w:tabs>
          <w:tab w:leader="none" w:pos="7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760" w:right="119" w:hanging="353"/>
        <w:spacing w:after="0" w:line="263" w:lineRule="auto"/>
        <w:tabs>
          <w:tab w:leader="none" w:pos="7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760" w:right="139" w:hanging="353"/>
        <w:spacing w:after="0" w:line="311" w:lineRule="auto"/>
        <w:tabs>
          <w:tab w:leader="none" w:pos="75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6"/>
          <w:szCs w:val="16"/>
          <w:color w:val="auto"/>
        </w:rPr>
      </w:pPr>
    </w:p>
    <w:p>
      <w:pPr>
        <w:ind w:left="1140" w:right="99" w:hanging="370"/>
        <w:spacing w:after="0" w:line="259" w:lineRule="auto"/>
        <w:tabs>
          <w:tab w:leader="none" w:pos="11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140" w:right="199" w:hanging="370"/>
        <w:spacing w:after="0" w:line="259" w:lineRule="auto"/>
        <w:tabs>
          <w:tab w:leader="none" w:pos="11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140" w:right="59" w:hanging="370"/>
        <w:spacing w:after="0" w:line="263" w:lineRule="auto"/>
        <w:tabs>
          <w:tab w:leader="none" w:pos="11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140" w:right="59" w:hanging="370"/>
        <w:spacing w:after="0" w:line="259" w:lineRule="auto"/>
        <w:tabs>
          <w:tab w:leader="none" w:pos="11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760" w:right="299" w:hanging="353"/>
        <w:spacing w:after="0" w:line="263" w:lineRule="auto"/>
        <w:tabs>
          <w:tab w:leader="none" w:pos="7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140" w:right="179" w:hanging="370"/>
        <w:spacing w:after="0" w:line="263" w:lineRule="auto"/>
        <w:tabs>
          <w:tab w:leader="none" w:pos="11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140" w:right="299" w:hanging="370"/>
        <w:spacing w:after="0" w:line="277" w:lineRule="auto"/>
        <w:tabs>
          <w:tab w:leader="none" w:pos="11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30, 2020</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2" w:name="page113"/>
    <w:bookmarkEnd w:id="11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 13a – 14(a) OR RULE 15d – 14(a)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Neal S. Nackman, certify that:</w:t>
      </w:r>
    </w:p>
    <w:p>
      <w:pPr>
        <w:spacing w:after="0" w:line="225" w:lineRule="exact"/>
        <w:rPr>
          <w:sz w:val="20"/>
          <w:szCs w:val="20"/>
          <w:color w:val="auto"/>
        </w:rPr>
      </w:pPr>
    </w:p>
    <w:p>
      <w:pPr>
        <w:ind w:left="760" w:hanging="353"/>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G-III Apparel Group, Ltd.;</w:t>
      </w:r>
    </w:p>
    <w:p>
      <w:pPr>
        <w:spacing w:after="0" w:line="225" w:lineRule="exact"/>
        <w:rPr>
          <w:rFonts w:ascii="Arial" w:cs="Arial" w:eastAsia="Arial" w:hAnsi="Arial"/>
          <w:sz w:val="18"/>
          <w:szCs w:val="18"/>
          <w:color w:val="auto"/>
        </w:rPr>
      </w:pPr>
    </w:p>
    <w:p>
      <w:pPr>
        <w:ind w:left="760" w:right="239" w:hanging="353"/>
        <w:spacing w:after="0" w:line="263" w:lineRule="auto"/>
        <w:tabs>
          <w:tab w:leader="none" w:pos="7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119" w:hanging="353"/>
        <w:spacing w:after="0" w:line="263" w:lineRule="auto"/>
        <w:tabs>
          <w:tab w:leader="none" w:pos="7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60" w:right="139" w:hanging="353"/>
        <w:spacing w:after="0" w:line="311" w:lineRule="auto"/>
        <w:tabs>
          <w:tab w:leader="none" w:pos="75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140" w:right="99" w:hanging="370"/>
        <w:spacing w:after="0" w:line="259" w:lineRule="auto"/>
        <w:tabs>
          <w:tab w:leader="none" w:pos="115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40" w:right="199" w:hanging="370"/>
        <w:spacing w:after="0" w:line="259" w:lineRule="auto"/>
        <w:tabs>
          <w:tab w:leader="none" w:pos="11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140" w:right="59" w:hanging="370"/>
        <w:spacing w:after="0" w:line="263" w:lineRule="auto"/>
        <w:tabs>
          <w:tab w:leader="none" w:pos="1157"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40" w:right="59" w:hanging="370"/>
        <w:spacing w:after="0" w:line="259" w:lineRule="auto"/>
        <w:tabs>
          <w:tab w:leader="none" w:pos="11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60" w:right="299" w:hanging="353"/>
        <w:spacing w:after="0" w:line="263" w:lineRule="auto"/>
        <w:tabs>
          <w:tab w:leader="none" w:pos="7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40" w:right="179" w:hanging="370"/>
        <w:spacing w:after="0" w:line="263" w:lineRule="auto"/>
        <w:tabs>
          <w:tab w:leader="none" w:pos="114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140" w:right="299" w:hanging="370"/>
        <w:spacing w:after="0" w:line="277" w:lineRule="auto"/>
        <w:tabs>
          <w:tab w:leader="none" w:pos="115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30, 2020</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In connection with the Annual Report of G-III Apparel Group, Ltd. (the “Company”) on Form 10-K for the fiscal year ended January 31, 2020 (the “Report”), I, Morris Goldfarb, Chief Executive Officer of the Company, certify, pursuant to 18 U.S.C. §1350, as adopted pursuant to §906 of the Sarbanes-Oxley Act of 2002, that:</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March 30,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Goldfarb</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710565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14" w:name="page115"/>
    <w:bookmarkEnd w:id="11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In connection with the Annual Report of G-III Apparel Group, Ltd. (the “Company”) on Form 10-K for the fiscal year ended January 31, 2020 (the “Report”), I, Neal S. Nackman, Chief Financial Officer of the Company, certify, pursuant to 18 U.S.C. §1350, as adopted pursuant to §906 of the Sarbanes-Oxley Act of 2002, that:</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March 30,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S. Nackman</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984885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1)"/>
      <w:numFmt w:val="lowerRoman"/>
      <w:start w:val="3"/>
    </w:lvl>
  </w:abstractNum>
  <w:abstractNum w:abstractNumId="26">
    <w:nsid w:val="6CEAF087"/>
    <w:multiLevelType w:val="hybridMultilevel"/>
    <w:lvl w:ilvl="0">
      <w:lvlJc w:val="left"/>
      <w:lvlText w:val="(%1)"/>
      <w:numFmt w:val="lowerRoman"/>
      <w:start w:val="3"/>
    </w:lvl>
  </w:abstractNum>
  <w:abstractNum w:abstractNumId="27">
    <w:nsid w:val="22221A70"/>
    <w:multiLevelType w:val="hybridMultilevel"/>
    <w:lvl w:ilvl="0">
      <w:lvlJc w:val="left"/>
      <w:lvlText w:val="%1"/>
      <w:numFmt w:val="upperLetter"/>
      <w:start w:val="6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3" Type="http://schemas.openxmlformats.org/officeDocument/2006/relationships/image" Target="media/image67.png"/><Relationship Id="rId116" Type="http://schemas.openxmlformats.org/officeDocument/2006/relationships/image" Target="media/image68.png"/><Relationship Id="rId117" Type="http://schemas.openxmlformats.org/officeDocument/2006/relationships/image" Target="media/image69.png"/><Relationship Id="rId118" Type="http://schemas.openxmlformats.org/officeDocument/2006/relationships/image" Target="media/image70.png"/><Relationship Id="rId119" Type="http://schemas.openxmlformats.org/officeDocument/2006/relationships/image" Target="media/image71.png"/><Relationship Id="rId120" Type="http://schemas.openxmlformats.org/officeDocument/2006/relationships/image" Target="media/image72.png"/><Relationship Id="rId136" Type="http://schemas.openxmlformats.org/officeDocument/2006/relationships/image" Target="media/image73.png"/><Relationship Id="rId137" Type="http://schemas.openxmlformats.org/officeDocument/2006/relationships/image" Target="media/image74.png"/><Relationship Id="rId138" Type="http://schemas.openxmlformats.org/officeDocument/2006/relationships/image" Target="media/image75.png"/><Relationship Id="rId139" Type="http://schemas.openxmlformats.org/officeDocument/2006/relationships/image" Target="media/image76.png"/><Relationship Id="rId140" Type="http://schemas.openxmlformats.org/officeDocument/2006/relationships/image" Target="media/image77.png"/><Relationship Id="rId141" Type="http://schemas.openxmlformats.org/officeDocument/2006/relationships/image" Target="media/image78.png"/><Relationship Id="rId142" Type="http://schemas.openxmlformats.org/officeDocument/2006/relationships/image" Target="media/image79.png"/><Relationship Id="rId143" Type="http://schemas.openxmlformats.org/officeDocument/2006/relationships/image" Target="media/image80.png"/><Relationship Id="rId144" Type="http://schemas.openxmlformats.org/officeDocument/2006/relationships/image" Target="media/image81.png"/><Relationship Id="rId145" Type="http://schemas.openxmlformats.org/officeDocument/2006/relationships/image" Target="media/image82.png"/><Relationship Id="rId146" Type="http://schemas.openxmlformats.org/officeDocument/2006/relationships/image" Target="media/image83.png"/><Relationship Id="rId147" Type="http://schemas.openxmlformats.org/officeDocument/2006/relationships/image" Target="media/image84.png"/><Relationship Id="rId148" Type="http://schemas.openxmlformats.org/officeDocument/2006/relationships/image" Target="media/image85.png"/><Relationship Id="rId149" Type="http://schemas.openxmlformats.org/officeDocument/2006/relationships/image" Target="media/image86.png"/><Relationship Id="rId150" Type="http://schemas.openxmlformats.org/officeDocument/2006/relationships/image" Target="media/image87.png"/><Relationship Id="rId151" Type="http://schemas.openxmlformats.org/officeDocument/2006/relationships/image" Target="media/image88.png"/><Relationship Id="rId152" Type="http://schemas.openxmlformats.org/officeDocument/2006/relationships/image" Target="media/image89.png"/><Relationship Id="rId153" Type="http://schemas.openxmlformats.org/officeDocument/2006/relationships/image" Target="media/image90.png"/><Relationship Id="rId154" Type="http://schemas.openxmlformats.org/officeDocument/2006/relationships/image" Target="media/image91.png"/><Relationship Id="rId155" Type="http://schemas.openxmlformats.org/officeDocument/2006/relationships/image" Target="media/image92.png"/><Relationship Id="rId156" Type="http://schemas.openxmlformats.org/officeDocument/2006/relationships/image" Target="media/image93.png"/><Relationship Id="rId157" Type="http://schemas.openxmlformats.org/officeDocument/2006/relationships/image" Target="media/image94.png"/><Relationship Id="rId158" Type="http://schemas.openxmlformats.org/officeDocument/2006/relationships/image" Target="media/image95.png"/><Relationship Id="rId159" Type="http://schemas.openxmlformats.org/officeDocument/2006/relationships/image" Target="media/image96.png"/><Relationship Id="rId160" Type="http://schemas.openxmlformats.org/officeDocument/2006/relationships/image" Target="media/image97.png"/><Relationship Id="rId161" Type="http://schemas.openxmlformats.org/officeDocument/2006/relationships/image" Target="media/image98.png"/><Relationship Id="rId162" Type="http://schemas.openxmlformats.org/officeDocument/2006/relationships/image" Target="media/image99.png"/><Relationship Id="rId163" Type="http://schemas.openxmlformats.org/officeDocument/2006/relationships/image" Target="media/image100.png"/><Relationship Id="rId164" Type="http://schemas.openxmlformats.org/officeDocument/2006/relationships/image" Target="media/image101.png"/><Relationship Id="rId165" Type="http://schemas.openxmlformats.org/officeDocument/2006/relationships/image" Target="media/image102.png"/><Relationship Id="rId166" Type="http://schemas.openxmlformats.org/officeDocument/2006/relationships/image" Target="media/image103.png"/><Relationship Id="rId167" Type="http://schemas.openxmlformats.org/officeDocument/2006/relationships/image" Target="media/image104.png"/><Relationship Id="rId168" Type="http://schemas.openxmlformats.org/officeDocument/2006/relationships/image" Target="media/image105.png"/><Relationship Id="rId169" Type="http://schemas.openxmlformats.org/officeDocument/2006/relationships/image" Target="media/image106.png"/><Relationship Id="rId170" Type="http://schemas.openxmlformats.org/officeDocument/2006/relationships/image" Target="media/image107.png"/><Relationship Id="rId171" Type="http://schemas.openxmlformats.org/officeDocument/2006/relationships/image" Target="media/image108.png"/><Relationship Id="rId172" Type="http://schemas.openxmlformats.org/officeDocument/2006/relationships/image" Target="media/image109.png"/><Relationship Id="rId173"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177" Type="http://schemas.openxmlformats.org/officeDocument/2006/relationships/image" Target="media/image114.png"/><Relationship Id="rId178" Type="http://schemas.openxmlformats.org/officeDocument/2006/relationships/image" Target="media/image115.png"/><Relationship Id="rId179" Type="http://schemas.openxmlformats.org/officeDocument/2006/relationships/image" Target="media/image116.png"/><Relationship Id="rId180" Type="http://schemas.openxmlformats.org/officeDocument/2006/relationships/image" Target="media/image117.png"/><Relationship Id="rId181" Type="http://schemas.openxmlformats.org/officeDocument/2006/relationships/image" Target="media/image118.png"/><Relationship Id="rId182" Type="http://schemas.openxmlformats.org/officeDocument/2006/relationships/image" Target="media/image119.png"/><Relationship Id="rId183" Type="http://schemas.openxmlformats.org/officeDocument/2006/relationships/image" Target="media/image120.png"/><Relationship Id="rId184" Type="http://schemas.openxmlformats.org/officeDocument/2006/relationships/image" Target="media/image121.png"/><Relationship Id="rId185" Type="http://schemas.openxmlformats.org/officeDocument/2006/relationships/image" Target="media/image122.png"/><Relationship Id="rId186" Type="http://schemas.openxmlformats.org/officeDocument/2006/relationships/image" Target="media/image123.png"/><Relationship Id="rId187" Type="http://schemas.openxmlformats.org/officeDocument/2006/relationships/image" Target="media/image124.png"/><Relationship Id="rId188" Type="http://schemas.openxmlformats.org/officeDocument/2006/relationships/image" Target="media/image125.png"/><Relationship Id="rId189" Type="http://schemas.openxmlformats.org/officeDocument/2006/relationships/image" Target="media/image126.png"/><Relationship Id="rId190" Type="http://schemas.openxmlformats.org/officeDocument/2006/relationships/image" Target="media/image127.png"/><Relationship Id="rId191" Type="http://schemas.openxmlformats.org/officeDocument/2006/relationships/image" Target="media/image128.png"/><Relationship Id="rId192" Type="http://schemas.openxmlformats.org/officeDocument/2006/relationships/image" Target="media/image129.png"/><Relationship Id="rId193"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196" Type="http://schemas.openxmlformats.org/officeDocument/2006/relationships/image" Target="media/image133.png"/><Relationship Id="rId74" Type="http://schemas.openxmlformats.org/officeDocument/2006/relationships/hyperlink" Target="http://www.sec.gov/Archives/edgar/data/821002/000157104916016885/t1601856_ex2-1.htm" TargetMode="External"/><Relationship Id="rId75" Type="http://schemas.openxmlformats.org/officeDocument/2006/relationships/hyperlink" Target="http://www.sec.gov/Archives/edgar/data/821002/000157104916020381/t1603005_ex10-1.htm" TargetMode="External"/><Relationship Id="rId76" Type="http://schemas.openxmlformats.org/officeDocument/2006/relationships/hyperlink" Target="http://www.sec.gov/Archives/edgar/data/821002/000095013606007680/file2.htm" TargetMode="External"/><Relationship Id="rId77" Type="http://schemas.openxmlformats.org/officeDocument/2006/relationships/hyperlink" Target="http://www.sec.gov/Archives/edgar/data/821002/000095012311057737/y04932exv3w1.htm" TargetMode="External"/><Relationship Id="rId78" Type="http://schemas.openxmlformats.org/officeDocument/2006/relationships/hyperlink" Target="http://www.sec.gov/Archives/edgar/data/821002/000157104915005420/t1501536_ex3-1.htm" TargetMode="External"/><Relationship Id="rId79" Type="http://schemas.openxmlformats.org/officeDocument/2006/relationships/hyperlink" Target="http://www.sec.gov/Archives/edgar/data/821002/000119312513107874/d503217dex31.htm" TargetMode="External"/><Relationship Id="rId80" Type="http://schemas.openxmlformats.org/officeDocument/2006/relationships/hyperlink" Target="http://www.sec.gov/Archives/edgar/data/821002/000157104916020381/t1603005_ex10-4.htm" TargetMode="External"/><Relationship Id="rId81" Type="http://schemas.openxmlformats.org/officeDocument/2006/relationships/hyperlink" Target="http://www.sec.gov/Archives/edgar/data/821002/000095013606003565/file003.htm" TargetMode="External"/><Relationship Id="rId82" Type="http://schemas.openxmlformats.org/officeDocument/2006/relationships/hyperlink" Target="http://www.sec.gov/Archives/edgar/data/821002/000095013606003565/file004.htm" TargetMode="External"/><Relationship Id="rId83" Type="http://schemas.openxmlformats.org/officeDocument/2006/relationships/hyperlink" Target="http://www.sec.gov/Archives/edgar/data/821002/000095012309001831/y01044exv10w1.htm" TargetMode="External"/><Relationship Id="rId84" Type="http://schemas.openxmlformats.org/officeDocument/2006/relationships/hyperlink" Target="http://www.sec.gov/Archives/edgar/data/821002/000119312513107874/d503217dex102.htm" TargetMode="External"/><Relationship Id="rId85" Type="http://schemas.openxmlformats.org/officeDocument/2006/relationships/hyperlink" Target="http://www.sec.gov/Archives/edgar/data/821002/000157104914001406/t1400776_ex10-1.htm" TargetMode="External"/><Relationship Id="rId86" Type="http://schemas.openxmlformats.org/officeDocument/2006/relationships/hyperlink" Target="http://www.sec.gov/Archives/edgar/data/821002/000157104916020381/t1603005_ex10-2.htm" TargetMode="External"/><Relationship Id="rId87" Type="http://schemas.openxmlformats.org/officeDocument/2006/relationships/hyperlink" Target="http://www.sec.gov/Archives/edgar/data/821002/000157104916020381/t1603005_ex10-3.htm" TargetMode="External"/><Relationship Id="rId88" Type="http://schemas.openxmlformats.org/officeDocument/2006/relationships/hyperlink" Target="http://www.sec.gov/Archives/edgar/data/821002/000095013606003565/file007.htm" TargetMode="External"/><Relationship Id="rId89" Type="http://schemas.openxmlformats.org/officeDocument/2006/relationships/hyperlink" Target="http://www.sec.gov/Archives/edgar/data/821002/000095013606003565/file008.htm" TargetMode="External"/><Relationship Id="rId90" Type="http://schemas.openxmlformats.org/officeDocument/2006/relationships/hyperlink" Target="http://www.sec.gov/Archives/edgar/data/821002/000095012310112815/y04204exv10w6.htm" TargetMode="External"/><Relationship Id="rId91" Type="http://schemas.openxmlformats.org/officeDocument/2006/relationships/hyperlink" Target="http://www.sec.gov/Archives/edgar/data/821002/000095013606003565/file009.htm" TargetMode="External"/><Relationship Id="rId92" Type="http://schemas.openxmlformats.org/officeDocument/2006/relationships/hyperlink" Target="http://www.sec.gov/Archives/edgar/data/821002/000095013606003565/file010.htm" TargetMode="External"/><Relationship Id="rId94" Type="http://schemas.openxmlformats.org/officeDocument/2006/relationships/hyperlink" Target="http://www.sec.gov/Archives/edgar/data/821002/000095012310112815/y04204exv10w5.htm" TargetMode="External"/><Relationship Id="rId95" Type="http://schemas.openxmlformats.org/officeDocument/2006/relationships/hyperlink" Target="http://www.sec.gov/Archives/edgar/data/821002/000095012310112815/y04204exv10w4.htm" TargetMode="External"/><Relationship Id="rId96" Type="http://schemas.openxmlformats.org/officeDocument/2006/relationships/hyperlink" Target="http://www.sec.gov/Archives/edgar/data/821002/000095012310112815/y04204exv10w7.htm" TargetMode="External"/><Relationship Id="rId97" Type="http://schemas.openxmlformats.org/officeDocument/2006/relationships/hyperlink" Target="http://www.sec.gov/Archives/edgar/data/821002/000119312513253469/d529922dex105e.htm" TargetMode="External"/><Relationship Id="rId98" Type="http://schemas.openxmlformats.org/officeDocument/2006/relationships/hyperlink" Target="http://www.sec.gov/Archives/edgar/data/821002/000157104914002294/t1401027_ex10-5xe.htm" TargetMode="External"/><Relationship Id="rId99" Type="http://schemas.openxmlformats.org/officeDocument/2006/relationships/hyperlink" Target="http://www.sec.gov/Archives/edgar/data/821002/000114420418018565/tv489439_ex10-4g.htm" TargetMode="External"/><Relationship Id="rId100" Type="http://schemas.openxmlformats.org/officeDocument/2006/relationships/hyperlink" Target="http://www.sec.gov/Archives/edgar/data/821002/000114420418033788/tv495005_ex10-1.htm" TargetMode="External"/><Relationship Id="rId101" Type="http://schemas.openxmlformats.org/officeDocument/2006/relationships/hyperlink" Target="http://www.sec.gov/Archives/edgar/data/821002/000095012310112815/y04204exv10w8.htm" TargetMode="External"/><Relationship Id="rId102" Type="http://schemas.openxmlformats.org/officeDocument/2006/relationships/hyperlink" Target="http://www.sec.gov/Archives/edgar/data/821002/000119312513107874/d503217dex101.htm" TargetMode="External"/><Relationship Id="rId103" Type="http://schemas.openxmlformats.org/officeDocument/2006/relationships/hyperlink" Target="http://www.sec.gov/Archives/edgar/data/821002/000095012309006668/y01491exv10w10wa.htm" TargetMode="External"/><Relationship Id="rId104" Type="http://schemas.openxmlformats.org/officeDocument/2006/relationships/hyperlink" Target="http://www.sec.gov/Archives/edgar/data/821002/000095013605003512/file002.htm" TargetMode="External"/><Relationship Id="rId105" Type="http://schemas.openxmlformats.org/officeDocument/2006/relationships/hyperlink" Target="http://www.sec.gov/Archives/edgar/data/821002/000157104914005486/t1402027_ex10-1.htm" TargetMode="External"/><Relationship Id="rId106" Type="http://schemas.openxmlformats.org/officeDocument/2006/relationships/hyperlink" Target="http://www.sec.gov/Archives/edgar/data/821002/000157104915004196/t1501166_ex10-1.htm" TargetMode="External"/><Relationship Id="rId107" Type="http://schemas.openxmlformats.org/officeDocument/2006/relationships/hyperlink" Target="http://www.sec.gov/Archives/edgar/data/821002/000157104915004196/t1501166_ex10-2.htm" TargetMode="External"/><Relationship Id="rId108" Type="http://schemas.openxmlformats.org/officeDocument/2006/relationships/hyperlink" Target="http://www.sec.gov/Archives/edgar/data/821002/000155837019005682/giii-20190613ex101ee14b0.htm" TargetMode="External"/><Relationship Id="rId109" Type="http://schemas.openxmlformats.org/officeDocument/2006/relationships/hyperlink" Target="http://www.sec.gov/Archives/edgar/data/821002/000157104915009960/t1502937_ex10-1.htm" TargetMode="External"/><Relationship Id="rId110" Type="http://schemas.openxmlformats.org/officeDocument/2006/relationships/hyperlink" Target="http://www.sec.gov/Archives/edgar/data/821002/000157104917000901/t1700280_ex10-1.htm" TargetMode="External"/><Relationship Id="rId111" Type="http://schemas.openxmlformats.org/officeDocument/2006/relationships/hyperlink" Target="http://www.sec.gov/Archives/edgar/data/821002/000157104917002552/t1700771_ex10-1.htm" TargetMode="External"/><Relationship Id="rId112" Type="http://schemas.openxmlformats.org/officeDocument/2006/relationships/hyperlink" Target="http://www.sec.gov/Archives/edgar/data/821002/000114420418023883/tv492603_ex10-1.htm" TargetMode="External"/><Relationship Id="rId113" Type="http://schemas.openxmlformats.org/officeDocument/2006/relationships/hyperlink" Target="http://www.sec.gov/Archives/edgar/data/821002/000155837019003185/ex-99d1.htm" TargetMode="External"/><Relationship Id="rId114" Type="http://schemas.openxmlformats.org/officeDocument/2006/relationships/hyperlink" Target="http://www.sec.gov/Archives/edgar/data/821002/000095012311014727/c12756exv10w1.htm" TargetMode="External"/><Relationship Id="rId115" Type="http://schemas.openxmlformats.org/officeDocument/2006/relationships/hyperlink" Target="http://www.sec.gov/Archives/edgar/data/821002/000095012310112815/y04204exv10w10.htm" TargetMode="External"/><Relationship Id="rId121" Type="http://schemas.openxmlformats.org/officeDocument/2006/relationships/hyperlink" Target="http://www.sec.gov/Archives/edgar/data/821002/000095012308012173/y00256exv10w1.htm" TargetMode="External"/><Relationship Id="rId122" Type="http://schemas.openxmlformats.org/officeDocument/2006/relationships/hyperlink" Target="http://www.sec.gov/Archives/edgar/data/821002/000095012309001831/y01044exv10w2.htm" TargetMode="External"/><Relationship Id="rId123" Type="http://schemas.openxmlformats.org/officeDocument/2006/relationships/hyperlink" Target="http://www.sec.gov/Archives/edgar/data/821002/000119312513107874/d503217dex103.htm" TargetMode="External"/><Relationship Id="rId124" Type="http://schemas.openxmlformats.org/officeDocument/2006/relationships/hyperlink" Target="http://www.sec.gov/Archives/edgar/data/821002/000157104914001406/t1400776_ex10-2.htm" TargetMode="External"/><Relationship Id="rId125" Type="http://schemas.openxmlformats.org/officeDocument/2006/relationships/hyperlink" Target="http://www.sec.gov/Archives/edgar/data/821002/000095013606007680/file3.htm" TargetMode="External"/><Relationship Id="rId126" Type="http://schemas.openxmlformats.org/officeDocument/2006/relationships/hyperlink" Target="http://www.sec.gov/Archives/edgar/data/821002/000155837019002565/giii-20190131ex1010bb073.htm" TargetMode="External"/><Relationship Id="rId127" Type="http://schemas.openxmlformats.org/officeDocument/2006/relationships/hyperlink" Target="http://www.sec.gov/Archives/edgar/data/821002/000095012310112815/y04204exv10w9.htm" TargetMode="External"/><Relationship Id="rId128" Type="http://schemas.openxmlformats.org/officeDocument/2006/relationships/hyperlink" Target="http://www.sec.gov/Archives/edgar/data/821002/000095012310112815/y04204exv10w1.htm" TargetMode="External"/><Relationship Id="rId129" Type="http://schemas.openxmlformats.org/officeDocument/2006/relationships/hyperlink" Target="http://www.sec.gov/Archives/edgar/data/821002/000119312513011014/d466845dex101.htm" TargetMode="External"/><Relationship Id="rId130" Type="http://schemas.openxmlformats.org/officeDocument/2006/relationships/hyperlink" Target="http://www.sec.gov/Archives/edgar/data/821002/000157104916020647/t1603077_ex10-2.htm" TargetMode="External"/><Relationship Id="rId131" Type="http://schemas.openxmlformats.org/officeDocument/2006/relationships/hyperlink" Target="http://www.sec.gov/Archives/edgar/data/821002/000157104916020647/t1603077_ex10-3.htm" TargetMode="External"/><Relationship Id="rId132" Type="http://schemas.openxmlformats.org/officeDocument/2006/relationships/hyperlink" Target="http://www.sec.gov/Archives/edgar/data/821002/000157104916020647/t1603077_ex10-4.htm" TargetMode="External"/><Relationship Id="rId133" Type="http://schemas.openxmlformats.org/officeDocument/2006/relationships/hyperlink" Target="http://www.sec.gov/Archives/edgar/data/821002/000157104916020647/t1603077_ex10-5.htm" TargetMode="External"/><Relationship Id="rId134" Type="http://schemas.openxmlformats.org/officeDocument/2006/relationships/hyperlink" Target="http://www.sec.gov/Archives/edgar/data/821002/000157104917003132/t1700141_ex10-18.htm" TargetMode="External"/><Relationship Id="rId135" Type="http://schemas.openxmlformats.org/officeDocument/2006/relationships/hyperlink" Target="http://www.sec.gov/Archives/edgar/data/821002/000157104917003132/t1700141_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2020-03-30T16:50:45Z</dcterms:created>
  <dcterms:modified xsi:type="dcterms:W3CDTF">2020-03-30T16:50:45Z</dcterms:modified>
</cp:coreProperties>
</file>