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 the quarterly period ended October 31, 2022</w:t>
      </w:r>
    </w:p>
    <w:p>
      <w:pPr>
        <w:spacing w:after="0" w:line="1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-3175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-3175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G-III APPAREL GROUP, LTD.</w:t>
      </w:r>
    </w:p>
    <w:p>
      <w:pPr>
        <w:spacing w:after="0" w:line="53" w:lineRule="exact"/>
        <w:rPr>
          <w:sz w:val="24"/>
          <w:szCs w:val="24"/>
          <w:color w:val="auto"/>
        </w:rPr>
      </w:pPr>
    </w:p>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01"/>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512 Seventh Avenue, New York, New York</w:t>
            </w:r>
          </w:p>
        </w:tc>
        <w:tc>
          <w:tcPr>
            <w:tcW w:w="2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10018</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9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(212) 403-0500</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9795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13995"/>
                    </a:xfrm>
                    <a:prstGeom prst="rect">
                      <a:avLst/>
                    </a:prstGeom>
                    <a:noFill/>
                  </pic:spPr>
                </pic:pic>
              </a:graphicData>
            </a:graphic>
          </wp:anchor>
        </w:drawing>
      </w:r>
    </w:p>
    <w:p>
      <w:pPr>
        <w:spacing w:after="0" w:line="57"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83"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83"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82" w:lineRule="exact"/>
        <w:rPr>
          <w:sz w:val="24"/>
          <w:szCs w:val="24"/>
          <w:color w:val="auto"/>
        </w:rPr>
      </w:pPr>
    </w:p>
    <w:p>
      <w:pPr>
        <w:jc w:val="both"/>
        <w:ind w:left="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6" w:lineRule="exact"/>
        <w:rPr>
          <w:sz w:val="24"/>
          <w:szCs w:val="24"/>
          <w:color w:val="auto"/>
        </w:rPr>
      </w:pPr>
    </w:p>
    <w:p>
      <w:pPr>
        <w:ind w:left="10" w:right="18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As of December 1, 2022, there were 47,488,999 shares of issuer’s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8"/>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92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0000EE"/>
              </w:rPr>
              <w:t>Part I</w:t>
            </w:r>
          </w:p>
        </w:tc>
        <w:tc>
          <w:tcPr>
            <w:tcW w:w="71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8"/>
        </w:trPr>
        <w:tc>
          <w:tcPr>
            <w:tcW w:w="920" w:type="dxa"/>
            <w:vAlign w:val="bottom"/>
            <w:gridSpan w:val="8"/>
            <w:vMerge w:val="continue"/>
          </w:tcPr>
          <w:p>
            <w:pPr>
              <w:spacing w:after="0"/>
              <w:rPr>
                <w:sz w:val="13"/>
                <w:szCs w:val="13"/>
                <w:color w:val="auto"/>
              </w:rPr>
            </w:pPr>
          </w:p>
        </w:tc>
        <w:tc>
          <w:tcPr>
            <w:tcW w:w="7140" w:type="dxa"/>
            <w:vAlign w:val="bottom"/>
            <w:gridSpan w:val="19"/>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–October 31, 2022, October 31, 2021 and January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gridSpan w:val="3"/>
          </w:tcPr>
          <w:p>
            <w:pPr>
              <w:ind w:left="160"/>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 For the Three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Nine Months Ended October 31, 2022 and 2021 (Unaudited)</w:t>
            </w:r>
          </w:p>
        </w:tc>
        <w:tc>
          <w:tcPr>
            <w:tcW w:w="30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–October 31, 2022 and October 31,</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2021 (Unaudited)</w:t>
            </w:r>
          </w:p>
        </w:tc>
        <w:tc>
          <w:tcPr>
            <w:tcW w:w="5740" w:type="dxa"/>
            <w:vAlign w:val="bottom"/>
            <w:gridSpan w:val="1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 For the Nine Months Ended October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6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38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Part II</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20" w:type="dxa"/>
            <w:vAlign w:val="bottom"/>
          </w:tcPr>
          <w:p>
            <w:pPr>
              <w:spacing w:after="0"/>
              <w:rPr>
                <w:sz w:val="17"/>
                <w:szCs w:val="17"/>
                <w:color w:val="auto"/>
              </w:rPr>
            </w:pPr>
          </w:p>
        </w:tc>
        <w:tc>
          <w:tcPr>
            <w:tcW w:w="9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240" w:type="dxa"/>
            <w:vAlign w:val="bottom"/>
            <w:gridSpan w:val="1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gridSpan w:val="4"/>
          </w:tcPr>
          <w:p>
            <w:pPr>
              <w:spacing w:after="0"/>
              <w:rPr>
                <w:sz w:val="24"/>
                <w:szCs w:val="24"/>
                <w:color w:val="auto"/>
              </w:rPr>
            </w:pPr>
          </w:p>
        </w:tc>
        <w:tc>
          <w:tcPr>
            <w:tcW w:w="3380" w:type="dxa"/>
            <w:vAlign w:val="bottom"/>
            <w:gridSpan w:val="8"/>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8"/>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279,564</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$18.3 million,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$17.4 million and $17.4 million,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881,135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844,382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605,512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900,987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448,991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53,532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1,984,545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1,627,463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176,530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450,252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303,668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265,116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3,290,221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2,728,017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2,742,528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4,063</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233,893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Customer refund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Income tax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643,178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547,002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510,805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Notes payable, net of discount and unamortized issuance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787,892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513,466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1,667,922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1,241,020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1,222,145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Preferred stock; 1,000 shares authorized; no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 $0.01 par value; 120,000 shares authorized; 49,396, 49,396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 49,396 shares issued,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465,230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450,768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1,245,061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1,068,575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1,117,005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held in treasury, at cost - 1,907, 827 and 1,480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(45,553)</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(21,940)</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1,622,258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1,486,239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1,519,912</w:t>
            </w:r>
          </w:p>
        </w:tc>
        <w:tc>
          <w:tcPr>
            <w:tcW w:w="0" w:type="dxa"/>
            <w:vAlign w:val="bottom"/>
          </w:tcPr>
          <w:p>
            <w:pPr>
              <w:spacing w:after="0"/>
              <w:rPr>
                <w:sz w:val="1"/>
                <w:szCs w:val="1"/>
                <w:color w:val="auto"/>
              </w:rPr>
            </w:pPr>
          </w:p>
        </w:tc>
      </w:tr>
      <w:tr>
        <w:trPr>
          <w:trHeight w:val="196"/>
        </w:trPr>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redeemable noncontrolling interests and stockholders' 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3,290,221</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2,728,017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1,078,299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1,015,392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2,372,300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733,672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667,882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1,552,708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344,627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347,510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239,893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182,360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616,351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Asset impairment, net of gain on lease terminations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480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profit</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97,214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158,126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183,008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(loss) income</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(2,795)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financing charges,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(16,052)</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(12,354)</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(40,805)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78,367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146,670</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167,026</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17,521</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60,846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Loss attributable to noncontrolling interests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(257)</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 attributable to G-III Apparel Group, Ltd.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61,103</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106,674</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128,056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SHARE ATTRIBUTABLE</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9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TO G-III APPAREL GROUP, LTD.: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920" w:type="dxa"/>
            <w:vAlign w:val="bottom"/>
            <w:gridSpan w:val="4"/>
            <w:shd w:val="clear" w:color="auto" w:fill="CCEEFF"/>
          </w:tcPr>
          <w:p>
            <w:pPr>
              <w:ind w:left="120"/>
              <w:spacing w:after="0" w:line="163" w:lineRule="exact"/>
              <w:rPr>
                <w:sz w:val="20"/>
                <w:szCs w:val="20"/>
                <w:color w:val="auto"/>
              </w:rPr>
            </w:pPr>
            <w:r>
              <w:rPr>
                <w:rFonts w:ascii="Times New Roman" w:cs="Times New Roman" w:eastAsia="Times New Roman" w:hAnsi="Times New Roman"/>
                <w:sz w:val="17"/>
                <w:szCs w:val="17"/>
                <w:color w:val="auto"/>
              </w:rPr>
              <w:t>Basic:</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48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47,488</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48,567</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47,832</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48,474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gridSpan w:val="4"/>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Diluted:</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48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48,475</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49,458</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48,866</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49,499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60,846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(26,473)</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(4,402)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(28,111)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(26,473)</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(4,402)</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(28,111)</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34,373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102,070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99,426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4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0" w:type="dxa"/>
            <w:vAlign w:val="bottom"/>
            <w:vMerge w:val="continue"/>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(257)</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8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480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G-III Apparel Group, Ltd.</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34,071</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101,868</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98,803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200"/>
          </w:cols>
          <w:pgMar w:left="1440" w:top="513" w:right="125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left="5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$ 461,621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1,183,958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(45,616)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1,584,001</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(26,518)</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$ 465,230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1,245,061</w:t>
            </w:r>
          </w:p>
        </w:tc>
        <w:tc>
          <w:tcPr>
            <w:tcW w:w="1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(45,553)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1,622,258</w:t>
            </w: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$ 447,476</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961,901</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 (22,003)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1,380,612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106,674</w:t>
            </w: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2021</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$ 450,768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1,068,575</w:t>
            </w:r>
          </w:p>
        </w:tc>
        <w:tc>
          <w:tcPr>
            <w:tcW w:w="1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(21,940)</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1,486,239</w:t>
            </w: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$ 456,329</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1,117,005</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 (39,157)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1,519,912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(28,215)</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(16,622)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128,056</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128,056</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$ 465,230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1,245,061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(45,553)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1,622,258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$ 448,417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(27,029)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1,336,241</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(5,089)</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Cumulative effect of change in accounting</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principle</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(9,334)</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2021</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$ 450,768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1,068,575</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(21,940)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vMerge w:val="continue"/>
          </w:tcPr>
          <w:p>
            <w:pPr>
              <w:spacing w:after="0"/>
              <w:rPr>
                <w:sz w:val="11"/>
                <w:szCs w:val="11"/>
                <w:color w:val="auto"/>
              </w:rPr>
            </w:pPr>
          </w:p>
        </w:tc>
        <w:tc>
          <w:tcPr>
            <w:tcW w:w="940" w:type="dxa"/>
            <w:vAlign w:val="bottom"/>
            <w:gridSpan w:val="2"/>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 attributable to G-III Apparel Group, Ltd.</w:t>
            </w:r>
          </w:p>
        </w:tc>
        <w:tc>
          <w:tcPr>
            <w:tcW w:w="1200" w:type="dxa"/>
            <w:vAlign w:val="bottom"/>
            <w:gridSpan w:val="2"/>
          </w:tcPr>
          <w:p>
            <w:pPr>
              <w:jc w:val="right"/>
              <w:ind w:right="37"/>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128,056</w:t>
            </w:r>
          </w:p>
        </w:tc>
        <w:tc>
          <w:tcPr>
            <w:tcW w:w="380" w:type="dxa"/>
            <w:vAlign w:val="bottom"/>
            <w:gridSpan w:val="2"/>
          </w:tcPr>
          <w:p>
            <w:pPr>
              <w:jc w:val="right"/>
              <w:ind w:right="57"/>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152,163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to net cash used in operating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20,021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21,166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on disposal of fixed assets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Non-cash operating lease costs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38,264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31,635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 on lease terminations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Asset impairment</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Dividend received from unconsolidated affiliate</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Equity gain in unconsolidated affiliates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 in fair value of equity securities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1,182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28,917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financing charges and debt discount amortization</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7,629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7,212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Non-cash gain on fair value of prior minority ownership of Karl Lagerfeld</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(30,925)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(248,280)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(351,683)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(355,313)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(32,488)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Income taxes, net</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29,444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52,229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5,274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net</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Customer refund liabilities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12,740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(38,312)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(34,720)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1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(11,484)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136,147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0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(415,330)</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(15,388)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Operating lease assets initial direct costs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e-commerce retailer</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(25,000)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equity securities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(22,378)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Sale of equity securities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22,434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Capital expenditures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Acquisition of KLH, net of cash acquired</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(168,592)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Acquisition of other foreign business, net of cash acquired</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brand acquisition</w:t>
            </w:r>
          </w:p>
        </w:tc>
        <w:tc>
          <w:tcPr>
            <w:tcW w:w="10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(13,266)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0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(211,125)</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(51,270)</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 of borrowings - revolving facility</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(172,513)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Proceeds from borrowings - revolving facility</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512,748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 of borrowings - foreign facilities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(28,512)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Proceeds from borrowings - foreign facilities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36,863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treasury shares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(16,622)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Taxes paid for net share settlements</w:t>
            </w:r>
          </w:p>
        </w:tc>
        <w:tc>
          <w:tcPr>
            <w:tcW w:w="1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(9,790)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(4,333)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0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322,174</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(4,510)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adjustments</w:t>
            </w:r>
          </w:p>
        </w:tc>
        <w:tc>
          <w:tcPr>
            <w:tcW w:w="10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(10,984)</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(315,265)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(72,370)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10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465,984</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351,934</w:t>
            </w:r>
          </w:p>
        </w:tc>
        <w:tc>
          <w:tcPr>
            <w:tcW w:w="0" w:type="dxa"/>
            <w:vAlign w:val="bottom"/>
          </w:tcPr>
          <w:p>
            <w:pPr>
              <w:spacing w:after="0"/>
              <w:rPr>
                <w:sz w:val="1"/>
                <w:szCs w:val="1"/>
                <w:color w:val="auto"/>
              </w:rPr>
            </w:pPr>
          </w:p>
        </w:tc>
      </w:tr>
      <w:tr>
        <w:trPr>
          <w:trHeight w:val="196"/>
        </w:trPr>
        <w:tc>
          <w:tcPr>
            <w:tcW w:w="578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1040" w:type="dxa"/>
            <w:vAlign w:val="bottom"/>
          </w:tcPr>
          <w:p>
            <w:pPr>
              <w:spacing w:after="0"/>
              <w:rPr>
                <w:sz w:val="17"/>
                <w:szCs w:val="17"/>
                <w:color w:val="auto"/>
              </w:rPr>
            </w:pPr>
          </w:p>
        </w:tc>
        <w:tc>
          <w:tcPr>
            <w:tcW w:w="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150,719</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279,564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payments: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Interest, net</w:t>
            </w:r>
          </w:p>
        </w:tc>
        <w:tc>
          <w:tcPr>
            <w:tcW w:w="1200" w:type="dxa"/>
            <w:vAlign w:val="bottom"/>
            <w:gridSpan w:val="2"/>
          </w:tcPr>
          <w:p>
            <w:pPr>
              <w:jc w:val="right"/>
              <w:ind w:right="37"/>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38,391</w:t>
            </w:r>
          </w:p>
        </w:tc>
        <w:tc>
          <w:tcPr>
            <w:tcW w:w="380" w:type="dxa"/>
            <w:vAlign w:val="bottom"/>
            <w:gridSpan w:val="2"/>
          </w:tcPr>
          <w:p>
            <w:pPr>
              <w:jc w:val="right"/>
              <w:ind w:right="57"/>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36,954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tax payments, net</w:t>
            </w:r>
          </w:p>
        </w:tc>
        <w:tc>
          <w:tcPr>
            <w:tcW w:w="1200" w:type="dxa"/>
            <w:vAlign w:val="bottom"/>
            <w:gridSpan w:val="2"/>
            <w:shd w:val="clear" w:color="auto" w:fill="CCEEFF"/>
          </w:tcPr>
          <w:p>
            <w:pPr>
              <w:jc w:val="right"/>
              <w:ind w:right="37"/>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4,643</w:t>
            </w:r>
          </w:p>
        </w:tc>
        <w:tc>
          <w:tcPr>
            <w:tcW w:w="380" w:type="dxa"/>
            <w:vAlign w:val="bottom"/>
            <w:gridSpan w:val="2"/>
            <w:shd w:val="clear" w:color="auto" w:fill="CCEEFF"/>
          </w:tcPr>
          <w:p>
            <w:pPr>
              <w:jc w:val="right"/>
              <w:ind w:right="57"/>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Stock received from licensing agreement</w:t>
            </w:r>
          </w:p>
        </w:tc>
        <w:tc>
          <w:tcPr>
            <w:tcW w:w="1200" w:type="dxa"/>
            <w:vAlign w:val="bottom"/>
            <w:gridSpan w:val="2"/>
          </w:tcPr>
          <w:p>
            <w:pPr>
              <w:jc w:val="right"/>
              <w:ind w:right="3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5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4,831</w:t>
            </w:r>
          </w:p>
        </w:tc>
        <w:tc>
          <w:tcPr>
            <w:tcW w:w="0" w:type="dxa"/>
            <w:vAlign w:val="bottom"/>
          </w:tcPr>
          <w:p>
            <w:pPr>
              <w:spacing w:after="0"/>
              <w:rPr>
                <w:sz w:val="1"/>
                <w:szCs w:val="1"/>
                <w:color w:val="auto"/>
              </w:rPr>
            </w:pPr>
          </w:p>
        </w:tc>
      </w:tr>
    </w:tbl>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All material intercompany balances and transactions have been eliminated. The results of KLH are included in the Company’s consolidated financial statements beginning May 31, 2022.</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Vilebrequin International SA (“Vilebrequin”), a Swiss corporation that is wholly-owned by the Company, KLH, Fabco Holding B.V. (“Fabco”) and Sonia Rykiel, which the Company purchased in October 2021, report results on a calendar year basis rather than on the January 31 fiscal year basis used by the Company. Accordingly, the results of Vilebrequin, KLH, Fabco and Sonia Rykiel are included in the financial statements for the quarter ended or ending closest to the Company’s fiscal quarter end. For example, with respect to the Company’s results for the nine-month period ended October 31, 2022, the results of Vilebrequin, Fabco and Sonia Rykiel are included for the nine-month period ended September 30, 2022. For the three and nine month periods ended September 30, 2022, the results of KLH, which includes KLNA, are included for the period from July 1, 2022 through September 30, 2022 and June 1, 2022 through September 30, 2022, respectively. The results of the Company’s previous 49% ownership interest in KLNA and 19% ownership interest in KLH are included for the period from February 1, 2022 through May 30, 2022. The Company’s retail operations segment reports on a 52/53-week fiscal year. For fiscal 2023 and 2022, the three and nine-month periods for the retail operations segment were each 13-week and 39-week periods, respectively, and ended on October 29, 2022 and October 30, 2021, respectively.</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results for the three and nine months ended October 31, 2022 are not necessarily indicative of the results expected for the entire fiscal year, given the seasonal nature of the Company’s business and the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financial statements and notes included in the Company’s Annual Report on Form 10-K for the fiscal year ended January 31, 2022 filed with the Securities and Exchange Commission (the “SEC”).</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2 – Allowance for Doubtful Accounts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October 31, 2022, October 31, 2021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2022 were: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October 31,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10"/>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898,383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899,393</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(18,192)</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(18,258)</w:t>
            </w:r>
          </w:p>
        </w:tc>
      </w:tr>
      <w:tr>
        <w:trPr>
          <w:trHeight w:val="209"/>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880,191</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881,135</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860,245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861,831</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(17,412)</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(17,449)</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842,833</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844,382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620,737</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622,903</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(17,307)</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(17,391)</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603,430</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605,512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80" w:space="720"/>
            <w:col w:w="5019"/>
          </w:cols>
          <w:pgMar w:left="1440" w:top="513" w:right="1440" w:bottom="1440" w:gutter="0" w:footer="0" w:header="0"/>
          <w:type w:val="continuous"/>
        </w:sect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activity in its allowance for credit losses: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5"/>
                <w:szCs w:val="15"/>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(18,192)</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2021</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(17,429)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3 – Inventories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was $17.1 million, $13.9 million and $18.9 million as of October 31, 2022, October 31, 2021 and January 31, 2022, respectively. The inventory return asset is recorded within prepaid expenses and other current assets on the condensed consolidated balance sheets.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$6.5 million, $5.6 million and $4.5 million at October 31, 2022, October 31, 2021 and January 31, 2022, respectively. Consignment inventory is held by the Company’s customers. The Company reflects this inventory on its condensed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4 – Fair Value of Financial Instruments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66"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4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5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9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7"/>
        </w:trPr>
        <w:tc>
          <w:tcPr>
            <w:tcW w:w="2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400,000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379,000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422,020</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340,235</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119,415</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112,613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110,123</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8,444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credit facility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condensed consolidated balance sheets, which may differ from their respective fair values. The fair value of the Company’s secured notes is based on their current market price as of October 31, 2022.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2% note in the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purposes of this fair value disclosure, the Company based its fair value estimate for the LVMH Note on the initial fair value as determined at the date of the acquisition of DKNY and Donna Karan and records the amortization using the effective interest method over the term of the LVMH Note.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LVMH Note was considered a Level 3 valuation in the fair value hierarchy.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Non-Financial Assets and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Times New Roman" w:cs="Times New Roman" w:eastAsia="Times New Roman" w:hAnsi="Times New Roman"/>
          <w:sz w:val="18"/>
          <w:szCs w:val="18"/>
          <w:color w:val="212529"/>
        </w:rPr>
        <w:t>During the fourth quarter of fiscal 2022,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Company recorded a $1.5 million impairment charge primarily related to leasehold improvements, furniture and fixtures and operating lease assets at certain DKNY, Karl Lagerfeld Paris and Vilebrequin stores as a result of the performance at these stores.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5 – Leases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lease assets and liabilities as of October 31, 2022, October 31, 2021 and January 31, 2022 consist of the following:</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42"/>
        </w:trPr>
        <w:tc>
          <w:tcPr>
            <w:tcW w:w="1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176,530</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169,595</w:t>
            </w:r>
          </w:p>
        </w:tc>
      </w:tr>
      <w:tr>
        <w:trPr>
          <w:trHeight w:val="216"/>
        </w:trPr>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42,763</w:t>
            </w:r>
          </w:p>
        </w:tc>
      </w:tr>
      <w:tr>
        <w:trPr>
          <w:trHeight w:val="216"/>
        </w:trPr>
        <w:tc>
          <w:tcPr>
            <w:tcW w:w="19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2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147,688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142,868</w:t>
            </w:r>
          </w:p>
        </w:tc>
      </w:tr>
      <w:tr>
        <w:trPr>
          <w:trHeight w:val="209"/>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185,631</w:t>
            </w: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operating lease assets and operating lease liabilities increased during fiscal 2023 primarily due to the acquisition of KLH. The Company recorded lease costs of $17.1 million and $46.1 million during the three and nine months ended October 31, 2022, respectively. The Company recorded lease costs of $14.0 million and $41.1 million during the three and nine months ended October 31, 2021, respectively. Lease costs are recorded within selling, general and administrative expenses in the Company’s condensed consolidated statements of operations and comprehensive income. The Company recorded variable lease costs and short-term lease costs of $6.1 million and $16.7 million for the three and nine months ended October 31, 2022, respectively. The Company recorded variable lease costs and short-term lease costs of $2.8 million and $6.2 million for the three and nine months ended October 31, 2021, respectively. Short-term lease costs are immaterial.</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October 31, 2022, the Company’s maturity of operating lease liabilities in the years ending up to January 31, 2027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63,708</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55,124</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44,808</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2027</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75,086</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290,943</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55,127</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235,816</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October 31, 2022, there are no material leases that are legally binding but have not yet commenced.</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October 31, 2022, the weighted average remaining lease term related to operating leases is 5.5 years. The weighted average discount rate related to operating leases is 7.7%.</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is $47.6 million and $44.5 million during the nine months ended October 31, 2022 and October 31, 2021, respectively. Right-of-use assets obtained in exchange for lease obligations were $96.7 million and $24.6 million during the nine months ended October 31, 2022 and October 31,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6 – Karl Lagerfeld Acquisition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April 29, 2022, the Company entered into a share purchase agreement (the “Purchase Agreement”) with a group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investors pursuant to which the Company agreed to acquire, on the terms set forth and subject to the conditions set forth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Purchase Agreement, the remaining 81% interest in KLH that it did not already own, for an aggregate consideration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€202.0 million (approximately $216.8 million) in cash, after taking into account certain adjustments. The acquisition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closed on May 31, 2022. The Company funded the purchase price from cash on hand.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31, 2022, the effective date of the acquisition, the Company’s previously held 19% investment in KLH and 49% investment in KLNA were remeasured at fair value using a market approach based on the purchase price of the acquisition and a discount for lack of control related to the Company’s previously held minority investment in KLH. As a result of this remeasurement, a non-cash gain of $30.9 million was recorded as of the effective date of the acquisition.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addition of KLH to the Company’s portfolio of owned brands advances several of its strategic initiatives, including increasing its direct ownership of brands and their licensing opportunities and further diversifying its global presence. This acquisition offers additional opportunities to expand the Company’s international growth by further developing its European-based brands, which also include Vilebrequin and Sonia Rykiel. The Company believes that KLH’s existing digital channel presence provides an opportunity for the Company to enhance its omni-channel business and further accelerate its digital initiatives.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Price Consideration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purchase price of $216.8 million, after taking into account certain adjustments, was paid from cash on hand. The purchase price has been revised to include adjustments in accordance with the Purchase Agreement.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initial purchase price and the valuation of the prior minority ownership for the acquisition of KLH is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disbursed for the acquisition of KLH</w:t>
            </w:r>
          </w:p>
        </w:tc>
        <w:tc>
          <w:tcPr>
            <w:tcW w:w="360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cash acquired</w:t>
            </w:r>
          </w:p>
        </w:tc>
        <w:tc>
          <w:tcPr>
            <w:tcW w:w="2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aggregate adjustments to purchase price</w:t>
            </w:r>
          </w:p>
        </w:tc>
        <w:tc>
          <w:tcPr>
            <w:tcW w:w="26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purchase price</w:t>
            </w:r>
          </w:p>
        </w:tc>
        <w:tc>
          <w:tcPr>
            <w:tcW w:w="2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fair value of prior minority ownership</w:t>
            </w:r>
          </w:p>
        </w:tc>
        <w:tc>
          <w:tcPr>
            <w:tcW w:w="26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8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Allocation of the Purchase Price Consideration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date of acquisition: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55,753</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45,894</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178,823</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9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412,876</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58,942</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93,198</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acquisition consideration</w:t>
            </w: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319,678</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quarter ended October 31, 2022, the Company recorded adjustments to the fair values of assets acquired and liabilities assumed at the date of acquisition based on additional information obtained. The Company recorded an additional $2.8 million in both total assets and total liabilities, primarily related to operating lease assets, inventories, allowance for doubtful accounts, goodwill, customer relationships and operating lease liabilities.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recognized goodwill of approximately $45.9 million in connection with the acquisition of KLH. The goodwill was assigned to the Company’s wholesale operations reporting unit. The Company intends to make an election under Internal Revenue Code Section 338(g) to amortize the total goodwill and intangible assets over a 15 year period for income tax purposes in the United States.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 trademarks were determined using the relief from royalty method and the fair value of the customer relationships were determined using an income approach. The Company classifies these intangibles as Level 3 fair value measurements. Identifiable intangible assets acquired include the following (in thousands):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9"/>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6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183,117</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recognized approximately $5.4 million of acquisition related costs that were expensed in fiscal 2022 and fiscal 2023. The fiscal 2022 and fiscal 2023 acquisition and integration costs are recorded within selling, general and administrative expenses in the Company’s condensed consolidated statements of operations and comprehensive income for the fiscal year ended January 31, 2022 and for the nine months ended October 31, 2022, respectively.</w:t>
      </w:r>
    </w:p>
    <w:p>
      <w:pPr>
        <w:sectPr>
          <w:pgSz w:w="11900" w:h="16838" w:orient="portrait"/>
          <w:cols w:equalWidth="0" w:num="1">
            <w:col w:w="9019"/>
          </w:cols>
          <w:pgMar w:left="1440" w:top="513" w:right="1440"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estimates of fair value of assets acquired and liabilities assumed are preliminary and subject to change based on completion of certain working capital adjustments and the tax implications of the Company’s purchase price allocation. The purchase price allocation for acquired companies can be modified for up to one year from the date of acquisition.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Sales, Operating Income and Pro Forma Impact of the Transaction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amount of net sales and operating income of KLH since the acquisition date included in the condensed consolidated statements of operations and comprehensive income for the three months ended October 31, 2022 were $51.9 million and $4.0 million, respectively. The amount of net sales and operating income of KLH since the acquisition date included in the condensed consolidated statements of operations comprehensive income for the nine months ended October 31, 2022 were $69.2 million and $5.1 million, respectively.</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unaudited pro forma consolidated results of operations of the Company for the periods presented, as though the acquisition of KLH had occurred on February 1, 2021.</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5"/>
                <w:szCs w:val="15"/>
                <w:color w:val="auto"/>
              </w:rPr>
            </w:pPr>
          </w:p>
        </w:tc>
        <w:tc>
          <w:tcPr>
            <w:tcW w:w="24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96"/>
        </w:trPr>
        <w:tc>
          <w:tcPr>
            <w:tcW w:w="34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 in thousands, except per share amounts)</w:t>
            </w:r>
          </w:p>
        </w:tc>
        <w:tc>
          <w:tcPr>
            <w:tcW w:w="960" w:type="dxa"/>
            <w:vAlign w:val="bottom"/>
          </w:tcPr>
          <w:p>
            <w:pPr>
              <w:spacing w:after="0"/>
              <w:rPr>
                <w:sz w:val="17"/>
                <w:szCs w:val="17"/>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2,127,604</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168,397</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11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certain assumptions that the Company considers reasonable. The unaudited pro forma condensed combined financial data is based on preliminary estimates and assumptions set forth in the accompanying notes. Pro forma adjustments are necessary to reflect (i) the changes in depreciation and amortization expense resulting from fair value adjustments to intangible assets, (ii) amortization of the inventory fair value adjustment, (iii) expenses for incentive compensation arrangements acquired as part of the acquisition agreement, (iv) elimination of royalty expenses related to the Company’s license agreement with KLNA, (v) the taxation of G-III’s and KLH’s combined income as a result of the acquisition, as well as the tax effects related to such pro forma adjustments, (vi) the $30.9 million gain recorded to remeasure to fair value the previously held investments in KLH and KLNA as though the gain was recorded on February 1, 2021 and (vii) adjustments for accounting policy changes to conform to G-III’s presentation. The pro forma results do not include any realized or anticipated cost synergies or other effects of the integration of KLH. Accordingly, such pro forma amounts are not indicative of the results that actually would have occurred had the acquisition been completed on February 1, 2021, nor are they indicative of the future operating results of the combined company.</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7 – Intangible Assets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consist of:</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51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13"/>
                <w:szCs w:val="13"/>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450,252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4000" w:type="dxa"/>
            <w:vAlign w:val="bottom"/>
            <w:gridSpan w:val="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220" w:type="dxa"/>
            <w:vAlign w:val="bottom"/>
            <w:vMerge w:val="restart"/>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(20,224)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453,329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Amortization expense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Amortization expense with respect to finite-lived intangibles amounted to $1.0 million and $2.7 million for the three and nine months ended October 31, 2022, respectively. Amortization expense with respect to finite-lived intangibles amounted to $0.9 million and $2.8 million for the three and nine months ended October 31, 2021, respectively. Amortization expense with respect to finite-lived intangibles amounted to $3.7 million for the year ended January 31, 2022.</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with respect to intangibles to be recorded for the next five years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220" w:type="dxa"/>
            <w:vAlign w:val="bottom"/>
          </w:tcPr>
          <w:p>
            <w:pPr>
              <w:spacing w:after="0"/>
              <w:rPr>
                <w:sz w:val="17"/>
                <w:szCs w:val="17"/>
                <w:color w:val="auto"/>
              </w:rPr>
            </w:pPr>
          </w:p>
        </w:tc>
        <w:tc>
          <w:tcPr>
            <w:tcW w:w="18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42"/>
        </w:trPr>
        <w:tc>
          <w:tcPr>
            <w:tcW w:w="6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measured for impairment when events or circumstances indicate that the carrying value may be impaired.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Change in Goodwill</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Changes in the amounts of goodwill for the nine months ended October 31, 2022 and the year ended January 31, 2022 are summarized by reportable segment as follows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263,135</w:t>
            </w: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Sonia Rykiel</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(2,126)</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 2022</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262,527</w:t>
            </w: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Karl Lagerfeld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w:t>
            </w: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other foreign business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(8,276)</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303,668</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303,668</w:t>
            </w: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its goodwill test as of January 31 of each year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The Company also performs its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tests of its wholesale reporting unit and its indefinite-lived trademarks as of January 31, 2022 and determined that no impairment existed at that date. The result of the Company’s annual test determined that the estimated fair value of its wholesale reporting unit and its indefinite-lived trademarks were substantially in excess of their carrying values.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indefinite-lived trademark balance is primarily composed of the Donna Karan/DKNY trademark that was acquired in fiscal 2017 and the Karl Lagerfeld trademark that was acquired in fiscal 2023.</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the Company’s goodwill and indefinite-lived intangible assets are considered a Level 3 valuation in the fair value hierarchy.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8 – Net Income per Common Share</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310,600 and 258,600 shares of common stock have been excluded from the diluted net income per share calculation for the three and nine months ended October 31, 2022, respectively. Approximately 68,800 and 18,300 shares of common stock have been excluded from the diluted net income per share calculation for the three and nine months ended October 31, 2021. All share-based payments outstanding that vest based on the achievement of performance conditions, and for which the respective performance conditions have not been achieved, have been excluded from the diluted per share calculation.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per share: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gridSpan w:val="1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106,674</w:t>
            </w:r>
          </w:p>
        </w:tc>
        <w:tc>
          <w:tcPr>
            <w:tcW w:w="48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128,056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48,474</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48,474</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Note 9 – Notes Payable</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300" w:type="dxa"/>
            <w:vAlign w:val="bottom"/>
          </w:tcPr>
          <w:p>
            <w:pPr>
              <w:spacing w:after="0"/>
              <w:rPr>
                <w:sz w:val="23"/>
                <w:szCs w:val="23"/>
                <w:color w:val="auto"/>
              </w:rPr>
            </w:pPr>
          </w:p>
        </w:tc>
        <w:tc>
          <w:tcPr>
            <w:tcW w:w="144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LVMH Note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loans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8,444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facilities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2,841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Foreign credit facility</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536,285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discount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380" w:right="79" w:hanging="330"/>
        <w:spacing w:after="0" w:line="243"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Does not include debt issuance costs, net of amortization, totaling $4.4 million, $6.0 million and $5.6 million as of October 31, 2022, October 31, 2021 and January 31, 2022, respectively, related to the revolving credit facility. These debt issuance costs have been deferred and are classified in assets in the accompanying condensed consolidated balance sheets in accordance with ASC 835.</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due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redemption prices set forth in the Indenture, plus accrued and unpaid interest, if any, to, but excluding, the applicable redemption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As of October 31, 2022, interest under the ABL Credit Agreement was being paid at an average rate of 4.91% per annum.</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October 31, 2022,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October 31, 2022, the Company had $340.2 million of borrowings outstanding under the ABL Credit Agreement. The ABL credit agreement also includes amounts available for letters of credit. As of October 31, 2022, there were outstanding trade and standby letters of credit amounting to $6.5 million and $3.4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the ABL Credit Agreement. As permitted under ASC 835, the debt issuance costs have been deferred and are presented as an asset which is amortized ratably over the term of the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portion of the consideration for the acquisition of Donna Karan International (“DKI”), the Company issued to LVMH a junior lien secured promissory note in the principal amount of $125.0 million that bears interest at the rate of 2% per year. $75.0 million of the principal amount of the LVMH Note is due and payable on June 1, 2023 and therefore has been recorded within the current portion of notes payable on the condensed consolidated balance sheets and $50.0 million of such principal amount is due and payable on December 1, 2023.</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ASC 820 requires the note to be recorded at fair value at issuance. As a result, the Company recorded a $40.0 million debt discount upon issuance of the LVMH Note. This discount is being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€0.4 million under these loans. Interest on the outstanding principal amount of the unsecured loans accrues at a fixed rate equal to 0% to 5.0% per annum, payable on either a quarterly or monthly basis. As of October 31, 2022, the Company had an aggregate outstanding balance of €10.7 million ($10.4 million) under these unsecured loans.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2022, T.R.B International SA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2022, TRB had an aggregate of €3.7 million ($3.7 million) drawn under these facilities.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(“EURIBOR”) plus a margin of 1.7%. As of October 31, 2022, KLH had €10.6 million ($10.4 million) of borrowings outstanding under this credit facility.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10 – Revenue Recognition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and Karl Lagerfeld businesses, other than sales of the Karl Lagerfeld Paris brand from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G.H. Bass, Andrew Marc, Karl Lagerfeld, Vilebrequin and Sonia Rykiel trademarks owned by the Company. As of October 31, 2022, revenues from license agreements represented an insignificant portion of wholesale revenues.</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digital channels for the DKNY, Donna Karan, G.H. Bass, Karl Lagerfeld Paris, Andrew Marc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$3.3 million, $3.8 million and $5.1 million at October 31, 2022, October 31, 2021 and January 31, 2022, respectively. The Company recognized $2.7 million in revenue for the three months ended October 31, 2022 related to contract liabilities that existed at July 31, 2022. The Company recognized $3.2 million in revenue for the nine months ended October 31, 2022 related to contract liabilities</w:t>
      </w:r>
    </w:p>
    <w:p>
      <w:pPr>
        <w:sectPr>
          <w:pgSz w:w="11900" w:h="16838" w:orient="portrait"/>
          <w:cols w:equalWidth="0" w:num="1">
            <w:col w:w="9019"/>
          </w:cols>
          <w:pgMar w:left="1440" w:top="513"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that existed at January 31, 2022. There were no contract assets recorded as of October 31, 2022, October 31, 2021 and January 31, 2022. Substantially all of the advance payments from licensees as of October 31, 2022 are expected to be recognized as revenue within the next twelve months.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11 – Segments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and Karl Lagerfeld businesses, other than sales of the Karl Lagerfeld Paris brand from retail stores and digital outlets. Wholesale revenues also include revenues from license agreements related to our owned trademarks including DKNY, Donna Karan, Vilebrequin, Karl Lagerfeld, G.H. Bass, Andrew Marc and Sonia Rykiel. The retail operations segment consists primarily of direct sales to consumers through Company-operated stores, which consists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is presented for the three and nine month periods indicated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2022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1,069,574</w:t>
            </w:r>
          </w:p>
        </w:tc>
        <w:tc>
          <w:tcPr>
            <w:tcW w:w="40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(20,037)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1,078,299</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(20,037)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733,672</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344,627</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239,893</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1,013,440</w:t>
            </w:r>
          </w:p>
        </w:tc>
        <w:tc>
          <w:tcPr>
            <w:tcW w:w="40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1,015,392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678,959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667,882</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347,510</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0" w:type="dxa"/>
            <w:vAlign w:val="bottom"/>
            <w:shd w:val="clear" w:color="auto" w:fill="CCEEFF"/>
          </w:tcPr>
          <w:p>
            <w:pPr>
              <w:spacing w:after="0"/>
              <w:rPr>
                <w:sz w:val="18"/>
                <w:szCs w:val="18"/>
                <w:color w:val="auto"/>
              </w:rPr>
            </w:pPr>
          </w:p>
        </w:tc>
      </w:tr>
      <w:tr>
        <w:trPr>
          <w:trHeight w:val="21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166,035</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158,126</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2,338,435</w:t>
            </w:r>
          </w:p>
        </w:tc>
        <w:tc>
          <w:tcPr>
            <w:tcW w:w="40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(53,893)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2,372,300</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(53,893)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1,552,708</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773,840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819,592</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616,351</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 net of 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207,875</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October 31, 2021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8"/>
        </w:trPr>
        <w:tc>
          <w:tcPr>
            <w:tcW w:w="2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1,991,967</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(46,453)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2,018,383</w:t>
            </w: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(46,453)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1,282,526</w:t>
            </w:r>
          </w:p>
        </w:tc>
      </w:tr>
      <w:tr>
        <w:trPr>
          <w:trHeight w:val="209"/>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698,881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735,857</w:t>
            </w: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470,803</w:t>
            </w: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r>
      <w:tr>
        <w:trPr>
          <w:trHeight w:val="21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263,511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243,888</w:t>
            </w:r>
          </w:p>
        </w:tc>
      </w:tr>
      <w:tr>
        <w:trPr>
          <w:trHeight w:val="20"/>
        </w:trPr>
        <w:tc>
          <w:tcPr>
            <w:tcW w:w="2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2240" w:type="dxa"/>
            <w:vAlign w:val="bottom"/>
            <w:tcBorders>
              <w:bottom w:val="single" w:sz="8" w:color="auto"/>
            </w:tcBorders>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by licensed and proprietary product sales for each of the Company’s reportable segments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080" w:type="dxa"/>
            <w:vAlign w:val="bottom"/>
          </w:tcPr>
          <w:p>
            <w:pPr>
              <w:spacing w:after="0"/>
              <w:rPr>
                <w:sz w:val="15"/>
                <w:szCs w:val="15"/>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80" w:type="dxa"/>
            <w:vAlign w:val="bottom"/>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80" w:type="dxa"/>
            <w:vAlign w:val="bottom"/>
          </w:tcPr>
          <w:p>
            <w:pPr>
              <w:spacing w:after="0"/>
              <w:rPr>
                <w:sz w:val="15"/>
                <w:szCs w:val="15"/>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00" w:type="dxa"/>
            <w:vAlign w:val="bottom"/>
          </w:tcPr>
          <w:p>
            <w:pPr>
              <w:spacing w:after="0"/>
              <w:rPr>
                <w:sz w:val="15"/>
                <w:szCs w:val="15"/>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28"/>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gridSpan w:val="4"/>
          </w:tcPr>
          <w:p>
            <w:pPr>
              <w:jc w:val="right"/>
              <w:ind w:right="6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1,265,544</w:t>
            </w:r>
          </w:p>
        </w:tc>
      </w:tr>
      <w:tr>
        <w:trPr>
          <w:trHeight w:val="216"/>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400,166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935,293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726,423</w:t>
            </w:r>
          </w:p>
        </w:tc>
      </w:tr>
      <w:tr>
        <w:trPr>
          <w:trHeight w:val="21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net sales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1,069,574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1,013,440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2,338,435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1,991,967</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72,824</w:t>
            </w:r>
          </w:p>
        </w:tc>
      </w:tr>
      <w:tr>
        <w:trPr>
          <w:trHeight w:val="20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sales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72,869</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assets for each of the Company’s reportable segments, as well as assets not allocated to a segment,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5"/>
        </w:trPr>
        <w:tc>
          <w:tcPr>
            <w:tcW w:w="49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2,073,834</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111,517</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911,357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1,154,542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557,177</w:t>
            </w: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3,290,221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2,728,017</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2,742,528</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12 – Stockholders’ Equity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31, 2022, the Company issued no shares of common stock and utilized 2,366 shares of treasury stock in connection with the vesting of equity awards. For the three months ended October 31, 2021, the Company issued no shares of common stock and utilized 2,366 shares of treasury stock in connection with the vesting of equity awards. For the nine months ended October 31, 2022, the Company issued no shares of common stock and utilized 385,485 shares of treasury stock in connection with the vesting of equity awards. For the nine months ended October 31, 2021, the Company issued no shares of common stock and utilized 191,837 shares of treasury stock in connection with the vesting of equity awards.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13 – Canadian Customs Duty Examination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October 2017, the Canada Border Service Agency (“CBSA”) issued an audit report to G-III Apparel Canada ULC (“G-</w:t>
      </w:r>
    </w:p>
    <w:p>
      <w:pPr>
        <w:spacing w:after="0" w:line="27" w:lineRule="exact"/>
        <w:rPr>
          <w:sz w:val="20"/>
          <w:szCs w:val="20"/>
          <w:color w:val="auto"/>
        </w:rPr>
      </w:pPr>
    </w:p>
    <w:p>
      <w:pPr>
        <w:jc w:val="both"/>
        <w:ind w:left="60" w:right="59" w:hanging="10"/>
        <w:spacing w:after="0" w:line="252"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a wholly-owned subsidiary of the Company, challenging the valuation used by G-III Canada for certain goods imported into Canada between February 1, 2014 and October 27, 2017. The CBSA requested that G-III Canada reassess its customs entries for that period and change the valuation method used to pay duties with respect to goods imported in the future. As a result of this reassessment, in March 2018, G-III Canada provided a bond to the CBSA in the amount of CAD$26.9 million ($20.9 million) representing customs duty and interest through December 31, 2017 that was claimed to be owed to the CBSA.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Beginning February 1, 2018, the Company began paying duties based on the new valuation method. Cumulative amounts paid and deferred through October 31, 2022, related to the higher dutiable values, were CAD$15.8 million ($11.6 million).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G-III Canada filed a Notice of Appeal with the Canadian International Trade Tribunal (the “Tribunal”) appealing the CBSA decision. A hearing on the appeal was held on December 7, 2021. On August 22, 2022, the Tribunal ruled in favor of G-III Canada and G-III Canada’s appeal has been allowed by the Tribunal. The decision was not appealed by the CBSA.</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 result, G-III Canada will continue to declare dutiable values utilizing its pre-audit methodology, with the addition of a dutiable design assist (“design assist”). The Tribunal ruling requires the CBSA to issue a CAD$1.8 million ($1.3 million) refund, including interest and net of the design assist, for amounts paid by G-III Canada between February 1, 2014 and January 31, 2018. G-III Canada is in the process of filing adjustment requests with the CBSA for the period from February 1, 2018 to January 31, 2022 to amend declared dutiable values. These amendments are expected to result in a refund of duty and interest of approximately CAD$13.0 million ($9.5 million) after deductions for the design assist and related interest. The bond issued by G-III Canada in March 2018 is in the process of being released back to the Company.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14 – Recent Adopted and Issued Accounting Pronouncements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accounting guidance adopted during the three months ended October 31,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Issued Accounting Guidance Being Evaluated for Adoption</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issued ASU 2020-04, “Facilitation of the Effects of Reference Rate Reform on Financial Reporting” and in January 2021, issued ASU 2021-01, “Reference Rate Reform: Scope”. Both of these updates aim to ease the potential burden in accounting for reference rate reform. These updates provide optional expedients and exceptions, if certain criteria are met, for applying accounting principles generally accepted in the United States to contract modifications, hedging relationships and other transactions affected by the expected market transition from the London Interbank Offered Rate (“LIBOR”) and other interbank offered rates to alternative reference rates, such as the Secured Overnight Financing Rate (“SOFR”). The amendments were effective upon issuance and allow companies to adopt the amendments on a prospective basis through December 31, 2022. The Company has not applied this ASU to any existing contracts in the current year. As of October 31, 2022, the Company had availability of approximately $290 million under its revolving credit facility. The interest rate under this facility is indexed to LIBOR. As such, the revolving credit facility is likely to be impacted when LIBOR quotations cease to be available. The Company is evaluating the impact that the guidance will have on its condensed consolidated financial statements and related disclosures and currently does not expect that any impact would be 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2023 is referred to as “fiscal 2023.”</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Vilebrequin, KLH, Fabco and Sonia Rykiel report results on a calendar year basis rather than on the January 31 fiscal year basis used by G-III. Accordingly, the results of Vilebrequin, KLH, Fabco and Sonia Rykiel are, and will be, included in our financial statements for the quarter ended or ending closest to G-III’s fiscal quarter end. For example, with respect to our results for the nine-month period ended October 31, 2022, the results of Vilebrequin, Fabco and Sonia Rykiel are included for the nine-month period ended September 30, 2022 and for KLH for the period from the date of acquisition to September 30, 2022. We accounted for our investment in each of KLH and KLNA using the equity method of accounting through May 30, 2022. As of May 31, 2022, KLH is accounted for as our consolidated wholly-owned subsidiary and KLNA is an indirect wholly-owned subsidiary of ours. Our retail operations segment uses a 52/53-week fiscal year. For fiscal 2023 and 2022, the three and nine-month period for the retail operations segment were each 13-week and 39-week periods and ended on October 29, 2022 and October 30, 2021, respectively.</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8" w:lineRule="exact"/>
        <w:rPr>
          <w:sz w:val="20"/>
          <w:szCs w:val="20"/>
          <w:color w:val="auto"/>
        </w:rPr>
      </w:pPr>
    </w:p>
    <w:p>
      <w:pPr>
        <w:jc w:val="both"/>
        <w:ind w:left="720" w:right="79" w:hanging="319"/>
        <w:spacing w:after="0" w:line="25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material license agreements could cause us to lose significant revenues and have a material adverse effect on our results of operations;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ind w:left="720" w:right="3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relationship with PVH Corp. and its Calvin Klein or Tommy Hilfiger brands would have a material adverse effect on our results of operations;</w:t>
      </w:r>
    </w:p>
    <w:p>
      <w:pPr>
        <w:jc w:val="both"/>
        <w:ind w:left="720" w:right="5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wholesale operations including, among others, maintaining the image of our proprietary brands, business practices of our customers that could adversely affect us and retail customer concentration;</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our retail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ind w:left="720" w:right="73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 including our recent acquisition of the remaining interest in KLH;</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operating through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 and effect of unseasonable or extreme weather on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from disruptions to the worldwide supply chain;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licensees may not generate expected sales or maintain the value of our brands;</w:t>
      </w:r>
    </w:p>
    <w:p>
      <w:pPr>
        <w:spacing w:after="0" w:line="9"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environment on us, our customers, suppliers and vendors, including without limitation, the effects of inflationary cost pressures;</w:t>
      </w:r>
    </w:p>
    <w:p>
      <w:pPr>
        <w:ind w:left="720" w:right="2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war, acts of terrorism, natural disasters or public health crises could adversely affect our business and results of operations;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foreign manufacturers;</w:t>
      </w:r>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expansion into foreign markets, conducting business internationally and exposures to foreign currencies;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adoption of a national security law in Hong Kong;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right="39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of data security or privacy breaches;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or exposure to additional tax liabilities could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corporate responsibility issues by stakeholders;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2022. We undertake no obligation to publicly update or revise any forward-looking statements, whether as a result of new information, future events or otherwise, except as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We are not only licensees, but also brand owners, and we distribute our products through multiple channels.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own proprietary brands include DKNY, Donna Karan, Karl Lagerfeld, Vilebrequin, G.H. Bass, Eliza J, Jessica Howard, Andrew Marc, Marc New York, Wilsons Leather and Sonia Rykiel. We sell products under an extensive portfolio of well-known licensed brands, including Calvin Klein, Tommy Hilfiger,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including its Bloomingdale’s division, Dillard’s, Hudson’s Bay Company, including their Saks Fifth Avenue division, Nordstrom, Kohl’s, TJX Companies, Ross Stores and Burlington. We also sell our products using digital channels through retail partners such as macys.com, nordstrom.com and dillards.com, each of which has a substantial online business. In addition, we sell to leading online retail partners such as Amazon, Fanatics, Zalando and Zappos.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DKNY, Karl Lagerfeld, Karl Lagerfeld Paris and Vilebrequin retail stores, as well as through our digital channels for the DKNY, Donna Karan, Karl Lagerfeld, Karl Lagerfeld Paris, Vilebrequin, G.H. Bass, Andrew Marc, Wilsons Leather and Sonia Rykiel businesses.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products that are accepted in the marketplace, source the manufacture of our products on a competitive basis, and continue to diversify our product portfolio and the markets we serve.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Effective May 31, 2022, we own three of our power brands (DKNY, Donna Karan and Karl Lagerfeld) and license two of our power brands (Calvin Klein and Tommy Hilfiger). It is our objective to continue to expand our product offerings and we are continually discussing new licensing opportunities with brand owners and seeking to acquire established brands.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Calvin Klein and Tommy Hilfiger License Extensions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November 30, 2022, we announced the extension of licenses for Calvin Klein and Tommy Hilfiger products. The following chart sets forth the new extension term, any potential renewal term or the existing current term for the Calvin Klein and Tommy Hilfiger license agreements. This chart updates the chart contained in our Annual Report on Form 10-K for the fiscal year ended January 31, 2022.</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Date Current</w:t>
            </w:r>
          </w:p>
        </w:tc>
        <w:tc>
          <w:tcPr>
            <w:tcW w:w="2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Date Potential Renewal</w:t>
            </w:r>
          </w:p>
        </w:tc>
      </w:tr>
      <w:tr>
        <w:trPr>
          <w:trHeight w:val="17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20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Term Ends</w:t>
            </w:r>
          </w:p>
        </w:tc>
        <w:tc>
          <w:tcPr>
            <w:tcW w:w="20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Term Ends</w:t>
            </w:r>
          </w:p>
        </w:tc>
      </w:tr>
      <w:tr>
        <w:trPr>
          <w:trHeight w:val="196"/>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Calvin Klein (Men's outerwear)</w:t>
            </w:r>
          </w:p>
        </w:tc>
        <w:tc>
          <w:tcPr>
            <w:tcW w:w="2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Calvin Klein (Women's outerwear)</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Calvin Klein (Women's dresses)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Calvin Klein (Women's suits)</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2029</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Calvin Klein (Women's performance wear)</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Calvin Klein (Women's better sportswear)</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Calvin Klein (Better luggage)</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Calvin Klein (Women's handbags and small leather goods)</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Calvin Klein (Men's and women's swimwear)</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Calvin Klein Jeans (Women's jeanswear)</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Tommy Hilfiger (Men's and women's outerwear)</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Tommy Hilfiger (Luggage)</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Tommy Hilfiger (Women's sportswear)*</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Tommy Hilfiger (Women's dresses)*</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Tommy Hilfiger (Women's suits)*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2029</w:t>
            </w:r>
          </w:p>
        </w:tc>
      </w:tr>
      <w:tr>
        <w:trPr>
          <w:trHeight w:val="21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Tommy Jeans*</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Tommy Hilfiger x Leagues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bl>
    <w:p>
      <w:pPr>
        <w:spacing w:after="0" w:line="67" w:lineRule="exact"/>
        <w:rPr>
          <w:sz w:val="20"/>
          <w:szCs w:val="20"/>
          <w:color w:val="auto"/>
        </w:rPr>
      </w:pPr>
    </w:p>
    <w:p>
      <w:pPr>
        <w:jc w:val="both"/>
        <w:ind w:left="220" w:right="79" w:hanging="170"/>
        <w:spacing w:after="0" w:line="264" w:lineRule="auto"/>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These categories are part of the Tommy Hilfiger license agreement that is referred to as “Women’s apparel” in our Form 10-K. We have separated these categories for presentation purposes in this chart as there are different term end dates for these categories in the amendment to the Women’s apparel license agreement.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dependent on sales of licensed products for a substantial portion of our revenues. Net sales of products under the Calvin Klein and Tommy Hilfiger brands constituted approximately 48.2% of our net sales in the nine months ended October 31, 2022, approximately 50.7% of our net sales in fiscal 2022 and approximately 53.5% of our net sales in fiscal 2021.</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amendments to the license agreements for these products provide for staggered extensions by category that expire beginning December 31, 2024 and continuing through December 31, 2027. PVH Corp., the owner of these two brands, has indicated that it intends to produce these products itself once the license agreements expire. 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continue to strategize near-term growth initiatives across our current owned and licensed brands including category, geographical and digital expansion. Additionally, we are directing resources toward new growth areas, including building our own brands, broadening our European business, developing new licensing opportunities and continuing to seek to acquire new businesses.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Karl Lagerfeld Acquisition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31, 2022, we acquired from a group of investors the remaining 81% in interests in KLH that we did not already own, for an aggregate consideration of €202.0 million ($216.8 million) in cash, after taking into account certain adjustments. We funded the purchase price from cash on hand. See Note 6 – Karl Lagerfeld Acquisition in the accompanying Notes to Condensed Consolidated Financial Statements for more information.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addition of the iconic Karl Lagerfeld fashion brand to the G-III portfolio of owned brands advances several of our strategic initiatives, including increasing the direct ownership of brands, capitalizing on their licensing opportunities and further diversifying our global presence. This acquisition represents a significant opportunity to expand our international growth by further developing our European-based brands, which also include Vilebrequin and Sonia Rykiel. We believe that Karl Lagerfeld’s existing digital channel presence could enable us to enhance our omni-channel business and further accelerate our digital initiatives. The influential legacy of the Karl Lagerfeld brand embodies a creative expression that aligns with our goal to provide innovative products for our customers.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Vilebrequin and Karl Lagerfeld businesses, other than sales of the Karl Lagerfeld Paris brand from retail stores and digital outlets. Wholesale revenues also include royalty revenues from license agreements related to our owned trademarks including DKNY, Donna Karan, Karl Lagerfeld, Vilebrequin, Sonia Rykiel, G.H. Bass and Andrew Marc.</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company-operated stores and through digital channels. Our company-operated stores consists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sell our products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www.andrewmarc.com, www.wilsonsleather.com, www.soniarykiel.com, www.karllagerfeldparis.com and www.karl.com. In addition, we sell to leading online retail partners such as Amazon, Fanatics, Zalando and Zappos and have made minority investments in two different e-commerce retailers.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recent purchase of the interests not owned by us that resulted in Karl Lagerfeld becoming our wholly-owned subsidiary,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 and Interest Rates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Inflationary pressures have impacted the entire economy, including our industry. We are experiencing increased costs in many aspects of our business, including our freight costs as discussed below under </w:t>
      </w:r>
      <w:r>
        <w:rPr>
          <w:rFonts w:ascii="Times New Roman" w:cs="Times New Roman" w:eastAsia="Times New Roman" w:hAnsi="Times New Roman"/>
          <w:sz w:val="18"/>
          <w:szCs w:val="18"/>
          <w:i w:val="1"/>
          <w:iCs w:val="1"/>
          <w:color w:val="auto"/>
        </w:rPr>
        <w:t>“Supply Chain”</w:t>
      </w:r>
      <w:r>
        <w:rPr>
          <w:rFonts w:ascii="Times New Roman" w:cs="Times New Roman" w:eastAsia="Times New Roman" w:hAnsi="Times New Roman"/>
          <w:sz w:val="18"/>
          <w:szCs w:val="18"/>
          <w:color w:val="auto"/>
        </w:rPr>
        <w:t>. We have implemented price increases on many of our products. Our price increases are an effort to mitigate the effect of higher costs, although, the impact of price increases on consumer demand and on our business and results of operations is uncertain. We expect inflationary pressures to continue to impact our business throughout fiscal 2023 and fiscal 2024. Recent historic high rates of inflation, including increased fuel and food prices, has led to a softening of consumer demand and increased promotional activity in our categories and may lead to further challenges to grow our sales. Ongoing inflation may also negatively impact our cost structure and labor costs in the future.</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in response to concerns about inflation and it may raise them again in the future. Higher interest rates may increase the costs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fluctuation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consolidated operations are impacted by the relationships between our reporting currency, the U.S. Dollar, and those of our non-United States subsidiaries whose functional/local currency is other than the U.S. Dollar, primarily the Euro. We continue to expect volatility in the global foreign currency exchange rates, which may have a negative impact on the reported results of certain of our non-United States subsidiaries in the future, when translated to the U.S. Dollar.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Numerous factors disrupting the shipping industry have negatively affected transit times from our overseas suppliers, as well as our ability to ensure that we are able to import our product in a manner that allows for timely delivery to our customers. Congestion at ports of origin and ports of entry have caused significant changes to the itineraries of our steamship carriers. Truck driver shortages, shortages of truck equipment such as the chassis that the containers are transported on, and the inability of ports to provide reliable pick uptimes, have also negatively impacted our ability to timely receive goods. In addition, issues with respect to labor contracts for workers at certain ports on the west coast of the United States have also resulted in shifting delivery of goods to ports on the east coast of the United States which has caused increased delays at certain east coast ports.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shipping costs have increased as a result of higher contractual shipping rates resulting from increased demand for container space and the need to purchase additional container space on the secondary market at spot rates. While increased</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spot rates have moderated, they are still higher than pre-pandemic levels. Our ability to secure container space has improved, however, ports around the world continue to experience congestion, slowing transit times of product through ports of origin and ports of entry which negatively affects our ability to timely receive and deliver product to our retail partners and customers.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supply chain disruptions, we have accelerated production schedules to allow for more lead time and to accommodate the anticipated extended transit times from our overseas suppliers in an effort to import our product in a manner that allows for timely delivery to our customers. As a result, our inventory levels are higher than in prior years.</w:t>
      </w:r>
    </w:p>
    <w:p>
      <w:pPr>
        <w:spacing w:after="0" w:line="10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Similar to companies in the apparel and other industries that rely on the importation of merchandise, we have accelerated production of our products, primarily in response to supply chain disruptions. This has led to elevated inventory levels, resulting in storage and process capacity pressures within our distribution centers. We sought additional warehouse capacity to facilitate our higher inventory levels but had not been able to secure sufficient additional warehouse space to accommodate the higher inventory levels prior to the end of our third fiscal quarter. This was primarily due to negotiations we expected to complete that were either delayed or were terminated as we did not want to enter into expensive long-term commitments for such capacity.</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elevated inventory levels, lack of additional space in our warehouses, port congestion and the logistical challenges related to trucking all contributed to us incurring significant demurrage charges in our third fiscal quarter. Demurrage charges are charges paid to steamship carriers for freight remaining in the terminal for longer periods than initially agreed upon. Port congestion and trucking conditions are slowly improving. In addition, we have procured additional warehouse space and expect to significantly reduce our demurrage charges. We are still expecting to have significant inventory levels at least through the first half of fiscal 2024. As a result, we expect our warehouse operations may be less efficient, and we expect to incur additional labor and storage costs related to our inventory.</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recently executed new contracts with two of our long-term steamship carrier partners and are continuing to pursue new carrier relationships for additional cargo capacity. We believe that our existing carriers will be able to manage demand in a more efficient manner for the balance of fiscal 2023 and, as a result, our reliance on the secondary market will be reduced. We are actively managing shipments based on delivery dates to better utilize contracted cargo space and attempt to reduce our reliance on the secondary market.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Excess Inventory in the Marketplace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Higher marketplace inventories and a rapidly changing economic environment have caused retailers to rationalize their inventory levels. As a result, retailers have increased promotional activity to reduce their inventory. While we have planned for a certain amount of promotional activity, additional promotional activity in excess of what we have planned for could have an adverse effect on our results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continued impact of the COVID-19 pandemic on our business operations remains uncertain and cannot be predicted. The extent to which COVID-19 impacts our results will depend on continued developments in the United States and around the world in the public and private responses to the pandemic. New information may emerge concerning the severity of the outbreak and the spread of variants of the COVID-19 virus in locations that are important to our business. Actions taken to contain COVID-19 or treat its impact may change or become more restrictive if additional waves of infections occur. We continue to monitor the latest developments regarding the COVID-19 pandemic and have incorporated certain assumptions regarding the duration, severity and global macroeconomic impact of the pandemic into our financial outlook. The impact of COVID-19 on our business and operating results could differ materially from these assumptions based on a number of factors largely outside of our control.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 in Ukraine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current war in Ukraine and the continued threat of terrorism, heightened security measures and military action in response to acts of terrorism or civil unrest has disrupted commerce and intensified concerns regarding the United States and world economies. Less than 1% of our revenue in fiscal 2022 was generated in Russia and Ukraine. As such, we do not expect that the war in Ukraine will have a direct material negative impact on our results of operations in fiscal 2023.</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However, the imposition of additional sanctions by the United States and/or foreign governments could lead to restrictions related to sales and our supply chain for which the financial impact is uncertain. In addition, the war has also led to, and may lead to further, broader unfavorable macroeconomic implications, including unfavorable foreign exchange rates, increases in fuel prices, food shortages, a weakening of the European economy, lower consumer demand and volatility in financial markets. These implications of the war in Ukraine could have a material adverse effect on our business and our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2022 compared to three months ended October 31, 2021</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October 31, 2022 increased to $1.08 billion from $1.02 billion in the same period last year. Net sales of our segments are reported before intercompany eliminations.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$1.07 billion for the three months ended October 31, 2022 from $1.01 billion in the comparable period last year. This increase is primarily the result of inclusion of the results of KLH for the three month period which added $51.9 million in net sales to our wholesale operations segment. Additionally, net sales of Calvin Klein licensed products increased by $8.0 million. The increase in sales of Calvin Klein products was primarily related to women’s suits and dresses.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sales of our retail operations segment increased to $28.8 million for the three months ended October 31, 2022 from $26.2 million in the same period last year. This increase is primarily due to an increase in our store count. The number of retail stores operated by us increased from 56 at October 31, 2021 to 60 at October 31, 2022.</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Gross profit was $344.6 million, or 32% of net sales, for the three months ended October 31, 2022, compared to $347.5 million, or 34.2% of net sales, in the same period last year. The gross profit percentage in our wholesale operations segment was 30.7% in the three months ended October 31, 2022 compared to 33.0% in the same period last year. The gross profit percentage in the current year period was negatively impacted by $26.7 million in demurrage charges due to our inability to pick up freight from port terminals in a timely manner compared to an insignificant amount of demurrage charges in the same period last year. The gross profit percentage in the current year period was also negatively impacted by higher promotional activity, inflationary pressure on product costs and increased freight costs, partially offset by the implementation of price increases by us. The gross profit percentage in our retail operations segment was 54.9% for the three months ended October 31, 2022 compared to 49.8% for the same period last year. The gross profit percentage in the current year period was positively impacted by a reduction in promotional activity.</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$239.9 million in the three months ended October 31, 2022 from $182.4 million in the same period last year. The inclusion of the results of KLH for the three months ended October 31, 2022 represented $28.8 million of this increase. The remainder of the increase in expenses was primarily due to an increase of $18.6 million in third-party warehouse and facility expenses primarily related to higher inventory levels and a $3.5 million increase in advertising expenses related to digital and brand promotional activities.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Depreciation and amortization was $7.3 million for the three months ended October 31, 2022 compared to $7.0 million in the same period last year. This increase primarily results from the inclusion of the results of KLH for the three month period which increased depreciation and amortization by $1.1 million, partially offset by lower depreciation and amortization as a result of a reduction in capital expenditures in recent years.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loss was $2.8 million in the three months ended October 31, 2022 compared to other income of $0.9 million for the same period last year. Other loss in the current period consisted of $4.0 million of foreign currency losses during the three months ended October 31, 2022 compared to $1.1 million during the same period last year. In addition, we recorded $0.2 million of losses from unconsolidated affiliates during the three months ended October 31, 2022 compared to $0.5 million in income from unconsolidated affiliates in the same period last year.</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and financing charges, net, for the three months ended October 31, 2022 were $16.1 million compared to $12.4 million in the same period last year. The increase was due to higher average borrowings on our revolving credit facility in</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current year period. There were no borrowings outstanding under our revolving credit facility in the same period last year.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expense was $17.5 million for the three months ended October 31, 2022 compared to $40.2 million for the same period last year. Our effective tax rate decreased to 22.4% in the current year’s quarter from 27.4% in last year’s comparable quarter. This decrease is primarily due to changes in the mix of tax jurisdictions where taxable income is generated during the three months ended October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October 31, 2022 compared to nine months ended October 31, 2021</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sales for the nine months ended October 31, 2022 increased to $2.37 billion from $2.02 billion in the same period last year. Net sales of our segments are reported before intercompany eliminations.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$2.34 billion for the nine months ended October 31, 2022 from $1.99 billion in the comparable period last year. This increase is primarily the result of a $98.2 million increase in net sales of Calvin Klein licensed products, a $40.9 million increase in net sales of our DKNY and Donna Karan products and a $35.6 million increase in net sales of Karl Lagerfeld Paris products. The increase in sales of Calvin Klein products was primarily related to dresses, women’s suits and men’s and women’s outerwear. The increase in sales of DKNY and Donna Karan products was primarily related to dresses, sportswear and luggage. The increase in sales of Karl Lagerfeld Paris products was primarily related to handbags, men’s outerwear and shoes. Additionally, the inclusion of the results of KLH for four months in the period added $69.2 million in net sales to our wholesale operations segment.</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Net sales of our retail operations segment increased to $87.8 million for the nine months ended October 31, 2022 from $72.9 million in the same period last year. This increase is primarily due to an increase in our store count. The number of retail stores operated by us increased from 56 at October 31, 2021 to 60 at October 31, 2022.</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Gross profit was $819.6 million, or 34.5% of net sales, for the nine months ended October 31, 2022, compared to $735.9 million, or 36.5% of net sales, in the same period last year. The gross profit percentage in our wholesale operations segment was 33.0% in the nine months ended October 31, 2022 compared to 35.1% in the same period last year. The gross profit percentage in the current year period was negatively impacted by $30.8 million in demurrage charges due to our inability to pick up freight from port terminals in a timely manner compared to an insignificant amount of demurrage charges in the same period last year. Additionally, the gross profit percentage in the current year period was negatively impacted by higher promotional activity, inflationary pressure on product costs and increased freight costs, partially offset by the implementation of price increases by us. The gross profit percentage in our retail operations segment was 52.1% for the nine months ended October 31, 2022 compared to 50.7% for the same period last year. The gross profit percentage in the current year period was positively impacted by a reduction in promotional activity.</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to $616.4 million in the nine months ended October 31, 2022 from $470.8 million in the same period last year. The inclusion of the results of KLH for the nine months ended October 31, 2022 represented $39.2 million of this increase. The remainder of the increase in expenses was primarily due to increases of (i) $26.6 million in compensation expense, primarily from increased salary expenses, (ii) $35.8 million in third-party warehouse and facility expenses and (iii) $18.1 million in advertising related to digital and brand promotional activities. In addition, professional fees increased $4.2 million primarily due to expenses associated with the acquisition of KLH.</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$20.0 million for the nine months ended October 31, 2022 compared to $21.2 million in the same period last year. This decrease primarily relates to a reduction in capital expenditures in recent years partially offset by depreciation and amortization resulting from the acquisition of KLH.</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Other income was $24.8 million in the nine months ended October 31, 2022 compared to $4.7 million for the same period last year. Other income in the current period consisted of a gain of $30.9 million during the nine months ended October 31, 2022 as a result of the remeasurement of our previously held 19% investment in KLH and 49% interest in KLNA as of the effective date of the acquisition of the remaining interests in KLH. Other loss in the current period consisted of $9.4 million of foreign currency losses during the nine months ended October 31, 2022 compared to $1.6 million during the same period last year. Additionally, we recorded $0.8 million in income from unconsolidated affiliates during the nine months ended October 31, 2022 compared to $2.8 million in the same period last year.</w:t>
      </w:r>
    </w:p>
    <w:p>
      <w:pPr>
        <w:sectPr>
          <w:pgSz w:w="11900" w:h="16838" w:orient="portrait"/>
          <w:cols w:equalWidth="0" w:num="1">
            <w:col w:w="9019"/>
          </w:cols>
          <w:pgMar w:left="1440" w:top="513" w:right="1440"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and financing charges, net, for the nine months ended October 31, 2022 were $40.8 million compared to $36.9 million for the same period last year. The increase was due to higher average borrowings on our revolving credit facility in the current year period. We had no borrowings outstanding under our revolving credit facility in the same period last year.</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expense was $39.5 million for the nine months ended October 31, 2022 compared to $59.7 million for the same period last year. Our effective tax rate decreased to 23.6% in the current year’s period from 28.2% in last year’s comparable period. This decrease in the effective tax rate is primarily due to the exclusion from taxable income of the gain on the remeasurement of the fair value of our previously held 19% investment in KLH and 49% interest in KLNA.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Availability</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rely on our cash flows generated from operations in most periods,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 We have also used cash to make minority investments in private companies and to acquire the remaining portion of the Karl Lagerfeld business.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October 31, 2022, we had cash and cash equivalents of $150.7 million and availability under our revolving credit facility of approximately $290 million. As of October 31, 2022, we were in compliance with all covenants under our debt agreements.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were used (i) to repay the $300 million that was outstanding under our prior term loan facility due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and from time to time at the redemption prices set forth in the Indenture, plus accrued and unpaid interest, if any, to, but excluding, the applicable redemption date.</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As of October 31, 2022, interest under the ABL Credit Agreement was being paid at an average rate of 4.91% per annum.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October 31, 2022, the Company was in compliance with these covenants.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October 31, 2022, we had $340.2 million of borrowings outstanding under the ABL Credit Agreement, all of which are classified as long-term liabilities. The ABL Credit Agreement also includes amounts available for letters of credit. As of October 31, 2022, there were outstanding trade and standby letters of credit amounting to $6.5 million and $3.4 million,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835, the debt issuance costs have been deferred and are presented as an asset which is amortized ratably over the term of the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interest rate under our revolving credit facility is indexed to LIBOR. LIBOR quotations could cease as of December 31, 2022. We have discussed alternatives to LIBOR with the administrative agent under our ABL Credit Agreement and we expect that if LIBOR can no longer be used as the reference rate, we will be able to use an alternative such as the Secured Overnight Financing Rate, known as SOFR. We do not expect a material change to our interest expense or results of operations if LIBOR is no longer available as a reference rate under our ABL Credit Agreement.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therefore has been recorded within current portion of notes payable on the condensed consolidated balance sheets and $50 million of such principal amount is due and payable on December 1, 2023.</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an independent valuation, it was determined that the LVMH Note should be treated as having been issued at a discount of $40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discount is being amortized as interest expense using the effective interest method over the term of the LVMH Note.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our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€0.4 million. Interest on the outstanding principal amount of the unsecured loans accrues at a fixed rate equal to 0% to 5.0% per annum, payable on either a quarterly or monthly basis. As of October 31, 2022, the Company had an aggregate outstanding balance of €10.7 million ($10.4 million) under these unsecured loans.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2022, TRB had an aggregate €3.7 million ($3.7 million) drawn under these facilities.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(“EURIBOR”) plus a margin of 1.7%. As of October 31, 2022, KLH had €10.6 million ($10.4 million) of borrowings outstanding under this credit facility.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$340.2 million of borrowings outstanding under our revolving credit facility at October 31, 2022 and no borrowings outstanding at October 31, 2021. We had $400 million in borrowings outstanding under the Notes at October 31, 2022 and October 31, 2021, respectively. Our contingent liability under open letters of credit was approximately $9.9 million and $17.1 million at October 31, 2022 and 2021, respectively. In addition to the amounts outstanding under these two loan agreements, at October 31, 2022 and 2021, we had $125 million of face value principal amount outstanding under the LVMH Note. As of October 31, 2022 and 2021, we had an aggregate of €10.7 million ($10.4 million) and €7.3 million ($8.4 million) outstanding under the Company’s various unsecured loans. As of October 31, 2022 and 2021, we had €3.7 million ($3.7 million) and €2.5 million ($2.8 million) outstanding under Vilebrequin’s overdraft facilities. As of October 31, 2022, we had €10.6 million ($10.4 million) outstanding under KLH’s foreign credit facility.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March 2022, our Board of Directors authorized an increase in the number of shares covered by our share repurchase program to an aggregate amount of 10,000,000 shares. Pursuant to this program, during the nine months ended October 31, 2022, we acquired 811,874 of our shares of common stock for an aggregate purchase price of $16.6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December 1, 2022, we had 9,188,126 authorized shares remaining under this program and 47,488,999 shares of common stock outstanding.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used $415.3 million in cash from operating activities during the nine months ended October 31, 2022, primarily as a result of increases of $355.3 million in inventories, $248.3 million in accounts receivable and a non-cash gain of $30.9 million on our 19% investment in KLH and 49% investment in KLNA. These items were offset, in part, by our net income of $128.1 million and non-cash charges consisting primarily of $28.9 million relating to share-based compensation and depreciation and amortization of $20.0 million.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changes in operating cash flow items varied to some extent from seasonal patterns in prior years. While inventories normally increase in the first nine months of our fiscal year, they increased more than normal due to an acceleration in our production schedule in an attempt to mitigate the potential effects of supply chain disruptions and to accommodate the</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anticipated extended transit times experienced by our overseas suppliers. Accounts receivable increased because we experience higher sales levels in our third and fourth quarters.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used $211.1 million of cash in investing activities during the nine months ended October 31, 2022, primarily as a result of cash paid, net of cash acquired, of $168.6 million for the acquisition to KLH. We also used cash for a $25.0 million minority investment in an e-commerce retailer. In addition, we had $14.8 million in capital expenditures primarily related to infrastructure and information technology expenditures and additional fixturing costs at department stores.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$322.2 million during nine months ended October 31, 2022 primarily as a result of borrowings of $512.7 million under our ABL Credit Agreement, partially offset by repayments of $172.5 million under that Agreement. This borrowing was also offset, in part, by $16.6 million of cash used to repurchase 811,874 shares of our common stock under our share repurchase program and $9.8 million for taxes paid in connection with net share settlements of stock grants that vested.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accounting policies and related estimates described in our Annual Report on Form 10-K for the year ended January 31, 2022 are those that depend most heavily on these judgments and estimates. As of October 31, 2022, there have been no material changes to our critical accounting policies.</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the disclosure made with respect to these matters in our Annual Report on Form 10-K for the year ended January 31, 2022.</w:t>
      </w:r>
    </w:p>
    <w:p>
      <w:pPr>
        <w:spacing w:after="0" w:line="158"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period covered by the Quarterly Report that have materially affected, or are reasonably likely to materially affect, these internal controls.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31, 2022, we acquired KLH. See Note 6 – Karl Lagerfeld Acquisition in the accompanying Notes to our Condensed Consolidated Financial Statements in this Quarterly Report for further information on our acquisition of KLH.</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currently in the process of integrating the internal controls and procedures of KLH into our internal controls over financial reporting. As provided under the Sarbanes-Oxley Act of 2002 and the applicable rules and regulations of the SEC, we will include the internal controls and procedures of KLH in our annual assessment of the effectiveness of our internal control over financial reporting for our 2024 fiscal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contained in “Item 1A.-Risk Factors” in our Annual Report on Form 10-K for the year ended January 31, 2022 (the “Annual Report”), which could materially affect our business, financial condition and/or future results. As of October 31, 2022, there have been no material changes in our risk factors from those set forth in the Annual Report, except for the risk factor set forth below, which serves as an update to the comparable risk factor contained in our Annual Report. The risks described in the Annual Report and in this Quarterly Report on Form 10-Q are not the only risks facing our company. Additional risks and uncertainties not currently known to us or that we currently deem to be immaterial also may materially adversely affect our business, financial condition and/or future results.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change in our relationship with PVH Corp. and its Calvin Klein or Tommy Hilfiger brands would have a material adverse effect on our results of operations.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license agreements relating to a variety of products sold under the Calvin Klein and Tommy Hilfiger brands, both of which are owned by PVH. Net sales of products under the Calvin Klein and Tommy Hilfiger brands constituted approximately 48.2% of our net sales in the nine months ended October 31, 2022, approximately 50.7% of our net sales in fiscal 2022 and approximately 53.5% of our net sales in fiscal 2021.</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November 30, 2022, we announced the extension of licenses for Calvin Klein and Tommy Hilfiger products. The amendments to the license agreements for Calvin Klein and Tommy Hilfiger products provide for staggered extensions by category that expire beginning December 31, 2024 and continuing through December 31, 2027. See “</w:t>
      </w:r>
      <w:r>
        <w:rPr>
          <w:rFonts w:ascii="Times New Roman" w:cs="Times New Roman" w:eastAsia="Times New Roman" w:hAnsi="Times New Roman"/>
          <w:sz w:val="18"/>
          <w:szCs w:val="18"/>
          <w:i w:val="1"/>
          <w:iCs w:val="1"/>
          <w:color w:val="auto"/>
        </w:rPr>
        <w:t>Calvin Klein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Tommy Hilfiger License Extensions</w:t>
      </w:r>
      <w:r>
        <w:rPr>
          <w:rFonts w:ascii="Times New Roman" w:cs="Times New Roman" w:eastAsia="Times New Roman" w:hAnsi="Times New Roman"/>
          <w:sz w:val="18"/>
          <w:szCs w:val="18"/>
          <w:color w:val="auto"/>
        </w:rPr>
        <w:t>” under “Recent Developments” in Item 2 of this Form 10-Q.</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PVH has indicated that it intends to produce these Calvin Klein and Tommy Hilfiger products itself once these license agreements expire. 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0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Certificate of Incorporation (incorporated by reference to Exhibit 3.1 to the Company’s Form 8-K, dated July 2,</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3.1(a)</w:t>
            </w:r>
          </w:p>
        </w:tc>
        <w:tc>
          <w:tcPr>
            <w:tcW w:w="8100" w:type="dxa"/>
            <w:vAlign w:val="bottom"/>
            <w:gridSpan w:val="8"/>
          </w:tcPr>
          <w:p>
            <w:pPr>
              <w:spacing w:after="0" w:line="194"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Exhibit 3.1 to the Company’s Form 10-Q, dated September 13, 2006).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8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24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3.1(c)</w:t>
            </w:r>
          </w:p>
        </w:tc>
        <w:tc>
          <w:tcPr>
            <w:tcW w:w="8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October 31, 2022.</w:t>
            </w:r>
          </w:p>
        </w:tc>
      </w:tr>
      <w:tr>
        <w:trPr>
          <w:trHeight w:val="20"/>
        </w:trPr>
        <w:tc>
          <w:tcPr>
            <w:tcW w:w="800" w:type="dxa"/>
            <w:vAlign w:val="bottom"/>
          </w:tcPr>
          <w:p>
            <w:pPr>
              <w:spacing w:after="0" w:line="20" w:lineRule="exact"/>
              <w:rPr>
                <w:sz w:val="1"/>
                <w:szCs w:val="1"/>
                <w:color w:val="auto"/>
              </w:rPr>
            </w:pPr>
          </w:p>
        </w:tc>
        <w:tc>
          <w:tcPr>
            <w:tcW w:w="66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Rule 13a -</w:t>
            </w:r>
          </w:p>
        </w:tc>
      </w:tr>
      <w:tr>
        <w:trPr>
          <w:trHeight w:val="20"/>
        </w:trPr>
        <w:tc>
          <w:tcPr>
            <w:tcW w:w="800" w:type="dxa"/>
            <w:vAlign w:val="bottom"/>
          </w:tcPr>
          <w:p>
            <w:pPr>
              <w:spacing w:after="0" w:line="20" w:lineRule="exact"/>
              <w:rPr>
                <w:sz w:val="1"/>
                <w:szCs w:val="1"/>
                <w:color w:val="auto"/>
              </w:rPr>
            </w:pPr>
          </w:p>
        </w:tc>
        <w:tc>
          <w:tcPr>
            <w:tcW w:w="72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October 31, 2022.</w:t>
            </w:r>
          </w:p>
        </w:tc>
      </w:tr>
      <w:tr>
        <w:trPr>
          <w:trHeight w:val="20"/>
        </w:trPr>
        <w:tc>
          <w:tcPr>
            <w:tcW w:w="800" w:type="dxa"/>
            <w:vAlign w:val="bottom"/>
          </w:tcPr>
          <w:p>
            <w:pPr>
              <w:spacing w:after="0" w:line="20" w:lineRule="exact"/>
              <w:rPr>
                <w:sz w:val="1"/>
                <w:szCs w:val="1"/>
                <w:color w:val="auto"/>
              </w:rPr>
            </w:pPr>
          </w:p>
        </w:tc>
        <w:tc>
          <w:tcPr>
            <w:tcW w:w="66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2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Apparel Group, Ltd.’s Quarterly Report on Form 10-Q for the fiscal quarter ended October 31, 2022.</w:t>
            </w:r>
          </w:p>
        </w:tc>
        <w:tc>
          <w:tcPr>
            <w:tcW w:w="8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18 U.S.C.</w:t>
            </w:r>
          </w:p>
        </w:tc>
      </w:tr>
      <w:tr>
        <w:trPr>
          <w:trHeight w:val="20"/>
        </w:trPr>
        <w:tc>
          <w:tcPr>
            <w:tcW w:w="800" w:type="dxa"/>
            <w:vAlign w:val="bottom"/>
          </w:tcPr>
          <w:p>
            <w:pPr>
              <w:spacing w:after="0" w:line="20" w:lineRule="exact"/>
              <w:rPr>
                <w:sz w:val="1"/>
                <w:szCs w:val="1"/>
                <w:color w:val="auto"/>
              </w:rPr>
            </w:pPr>
          </w:p>
        </w:tc>
        <w:tc>
          <w:tcPr>
            <w:tcW w:w="7260" w:type="dxa"/>
            <w:vAlign w:val="bottom"/>
            <w:gridSpan w:val="5"/>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2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Apparel Group, Ltd.’s Quarterly Report on Form 10-Q for the fiscal quarter ended October 31, 2022.</w:t>
            </w:r>
          </w:p>
        </w:tc>
        <w:tc>
          <w:tcPr>
            <w:tcW w:w="840" w:type="dxa"/>
            <w:vAlign w:val="bottom"/>
            <w:gridSpan w:val="3"/>
          </w:tcPr>
          <w:p>
            <w:pPr>
              <w:spacing w:after="0"/>
              <w:rPr>
                <w:sz w:val="17"/>
                <w:szCs w:val="17"/>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iXBRL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iXBRL Label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iXBRL Presentation Linkbase Document.</w:t>
            </w:r>
          </w:p>
        </w:tc>
      </w:tr>
    </w:tbl>
    <w:p>
      <w:pPr>
        <w:ind w:left="6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G-III APPAREL GROUP, LTD.</w:t>
            </w:r>
          </w:p>
        </w:tc>
      </w:tr>
      <w:tr>
        <w:trPr>
          <w:trHeight w:val="234"/>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7, 2022</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Morris Goldfarb</w:t>
            </w:r>
          </w:p>
        </w:tc>
      </w:tr>
      <w:tr>
        <w:trPr>
          <w:trHeight w:val="191"/>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7, 2022</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Neal S. Nackman</w:t>
            </w:r>
          </w:p>
        </w:tc>
      </w:tr>
      <w:tr>
        <w:trPr>
          <w:trHeight w:val="191"/>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0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41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71" w:lineRule="exact"/>
        <w:rPr>
          <w:sz w:val="20"/>
          <w:szCs w:val="20"/>
          <w:color w:val="auto"/>
        </w:rPr>
      </w:pPr>
    </w:p>
    <w:p>
      <w:pPr>
        <w:ind w:left="700" w:hanging="32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171" w:lineRule="exact"/>
        <w:rPr>
          <w:sz w:val="20"/>
          <w:szCs w:val="20"/>
          <w:color w:val="auto"/>
        </w:rPr>
      </w:pPr>
    </w:p>
    <w:p>
      <w:pPr>
        <w:ind w:left="700" w:hanging="326"/>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October 31, 2022,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October 31, 2022,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upperLetter"/>
      <w:start w:val="6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58" Type="http://schemas.openxmlformats.org/officeDocument/2006/relationships/hyperlink" Target="https://www.sec.gov/Archives/edgar/data/821002/000095013606007680/file2.htm" TargetMode="External"/><Relationship Id="rId59" Type="http://schemas.openxmlformats.org/officeDocument/2006/relationships/hyperlink" Target="https://www.sec.gov/Archives/edgar/data/821002/000095012311057737/y04932exv3w1.htm" TargetMode="External"/><Relationship Id="rId60" Type="http://schemas.openxmlformats.org/officeDocument/2006/relationships/hyperlink" Target="https://www.sec.gov/Archives/edgar/data/821002/000157104915005420/t1501536_ex3-1.htm" TargetMode="External"/><Relationship Id="rId61" Type="http://schemas.openxmlformats.org/officeDocument/2006/relationships/hyperlink" Target="https://www.sec.gov/Archives/edgar/data/821002/000119312513107874/d50321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2022-12-07T16:30:29Z</dcterms:created>
  <dcterms:modified xsi:type="dcterms:W3CDTF">2022-12-07T16:30:29Z</dcterms:modified>
</cp:coreProperties>
</file>