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1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-90805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0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July 31, 2020</w:t>
      </w:r>
    </w:p>
    <w:p>
      <w:pPr>
        <w:spacing w:after="0" w:line="1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-90805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01" w:lineRule="exact"/>
        <w:rPr>
          <w:sz w:val="24"/>
          <w:szCs w:val="24"/>
          <w:color w:val="auto"/>
        </w:rPr>
      </w:pPr>
    </w:p>
    <w:p>
      <w:pPr>
        <w:ind w:left="3650"/>
        <w:spacing w:after="0"/>
        <w:tabs>
          <w:tab w:leader="none" w:pos="613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-3175</wp:posOffset>
            </wp:positionV>
            <wp:extent cx="205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-3175</wp:posOffset>
            </wp:positionV>
            <wp:extent cx="154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G-III APPAREL GROUP, LTD.</w:t>
      </w:r>
    </w:p>
    <w:p>
      <w:pPr>
        <w:spacing w:after="0" w:line="53" w:lineRule="exact"/>
        <w:rPr>
          <w:sz w:val="24"/>
          <w:szCs w:val="24"/>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9"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01"/>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512 Seventh Avenue, New York, New York</w:t>
            </w:r>
          </w:p>
        </w:tc>
        <w:tc>
          <w:tcPr>
            <w:tcW w:w="2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10018</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(212) 403-0500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8906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214630"/>
                    </a:xfrm>
                    <a:prstGeom prst="rect">
                      <a:avLst/>
                    </a:prstGeom>
                    <a:noFill/>
                  </pic:spPr>
                </pic:pic>
              </a:graphicData>
            </a:graphic>
          </wp:anchor>
        </w:drawing>
      </w:r>
    </w:p>
    <w:p>
      <w:pPr>
        <w:spacing w:after="0" w:line="44"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1630045</wp:posOffset>
            </wp:positionH>
            <wp:positionV relativeFrom="paragraph">
              <wp:posOffset>-120015</wp:posOffset>
            </wp:positionV>
            <wp:extent cx="78105" cy="79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-120015</wp:posOffset>
            </wp:positionV>
            <wp:extent cx="78105" cy="79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3"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473075</wp:posOffset>
            </wp:positionH>
            <wp:positionV relativeFrom="paragraph">
              <wp:posOffset>-120015</wp:posOffset>
            </wp:positionV>
            <wp:extent cx="78105" cy="79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847090</wp:posOffset>
            </wp:positionH>
            <wp:positionV relativeFrom="paragraph">
              <wp:posOffset>-120015</wp:posOffset>
            </wp:positionV>
            <wp:extent cx="78105" cy="79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3"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1477645</wp:posOffset>
            </wp:positionH>
            <wp:positionV relativeFrom="paragraph">
              <wp:posOffset>-377825</wp:posOffset>
            </wp:positionV>
            <wp:extent cx="78105" cy="79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-377825</wp:posOffset>
            </wp:positionV>
            <wp:extent cx="78105" cy="79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-248920</wp:posOffset>
            </wp:positionV>
            <wp:extent cx="78105" cy="79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-248920</wp:posOffset>
            </wp:positionV>
            <wp:extent cx="78105" cy="79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-120650</wp:posOffset>
            </wp:positionV>
            <wp:extent cx="78105" cy="79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2" w:lineRule="exact"/>
        <w:rPr>
          <w:sz w:val="24"/>
          <w:szCs w:val="24"/>
          <w:color w:val="auto"/>
        </w:rPr>
      </w:pPr>
    </w:p>
    <w:p>
      <w:pPr>
        <w:jc w:val="both"/>
        <w:ind w:left="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3957320</wp:posOffset>
            </wp:positionH>
            <wp:positionV relativeFrom="paragraph">
              <wp:posOffset>-120650</wp:posOffset>
            </wp:positionV>
            <wp:extent cx="78105" cy="79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6" w:lineRule="exact"/>
        <w:rPr>
          <w:sz w:val="24"/>
          <w:szCs w:val="24"/>
          <w:color w:val="auto"/>
        </w:rPr>
      </w:pPr>
    </w:p>
    <w:p>
      <w:pPr>
        <w:ind w:left="10" w:right="18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September 4, 2020, there were 48,358,688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649795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-305435</wp:posOffset>
            </wp:positionV>
            <wp:extent cx="78105" cy="79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-305435</wp:posOffset>
            </wp:positionV>
            <wp:extent cx="78105" cy="79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0" w:type="dxa"/>
            <w:vAlign w:val="bottom"/>
            <w:vMerge w:val="restart"/>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w:t>
              </w:r>
            </w:hyperlink>
          </w:p>
        </w:tc>
        <w:tc>
          <w:tcPr>
            <w:tcW w:w="60" w:type="dxa"/>
            <w:vAlign w:val="bottom"/>
          </w:tcPr>
          <w:p>
            <w:pPr>
              <w:spacing w:after="0"/>
              <w:rPr>
                <w:sz w:val="16"/>
                <w:szCs w:val="16"/>
                <w:color w:val="auto"/>
              </w:rPr>
            </w:pPr>
          </w:p>
        </w:tc>
        <w:tc>
          <w:tcPr>
            <w:tcW w:w="7280" w:type="dxa"/>
            <w:vAlign w:val="bottom"/>
            <w:gridSpan w:val="8"/>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81"/>
        </w:trPr>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280" w:type="dxa"/>
            <w:vAlign w:val="bottom"/>
            <w:gridSpan w:val="8"/>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60" w:type="dxa"/>
            <w:vAlign w:val="bottom"/>
          </w:tcPr>
          <w:p>
            <w:pPr>
              <w:spacing w:after="0"/>
              <w:rPr>
                <w:sz w:val="18"/>
                <w:szCs w:val="18"/>
                <w:color w:val="auto"/>
              </w:rPr>
            </w:pPr>
          </w:p>
        </w:tc>
        <w:tc>
          <w:tcPr>
            <w:tcW w:w="7280" w:type="dxa"/>
            <w:vAlign w:val="bottom"/>
            <w:gridSpan w:val="8"/>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gridSpan w:val="8"/>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 July 31, 2020, July 31, 2019 and January 31, 2020</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90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and Comprehensive Income (Loss) - For the</w:t>
              </w:r>
            </w:hyperlink>
          </w:p>
        </w:tc>
        <w:tc>
          <w:tcPr>
            <w:tcW w:w="38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Three and Six Months Ended July 31, 2020 and 2019 (Unaudited)</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Stockholders’ Equity – July 31, 2020 and July 31, 2019</w:t>
              </w:r>
            </w:hyperlink>
          </w:p>
        </w:tc>
        <w:tc>
          <w:tcPr>
            <w:tcW w:w="4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w:t>
              </w:r>
            </w:hyperlink>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gridSpan w:val="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 For the Six Months Ended July 31, 2020 and</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2019 (Unaudited)</w:t>
              </w:r>
            </w:hyperlink>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tcPr>
          <w:p>
            <w:pPr>
              <w:spacing w:after="0"/>
              <w:rPr>
                <w:sz w:val="18"/>
                <w:szCs w:val="18"/>
                <w:color w:val="auto"/>
              </w:rPr>
            </w:pPr>
          </w:p>
        </w:tc>
        <w:tc>
          <w:tcPr>
            <w:tcW w:w="7340" w:type="dxa"/>
            <w:vAlign w:val="bottom"/>
            <w:gridSpan w:val="9"/>
          </w:tcPr>
          <w:p>
            <w:pPr>
              <w:ind w:left="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180" w:type="dxa"/>
            <w:vAlign w:val="bottom"/>
            <w:gridSpan w:val="10"/>
          </w:tcPr>
          <w:p>
            <w:pPr>
              <w:ind w:left="26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180" w:type="dxa"/>
            <w:vAlign w:val="bottom"/>
            <w:gridSpan w:val="10"/>
          </w:tcPr>
          <w:p>
            <w:pPr>
              <w:ind w:left="2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8180" w:type="dxa"/>
            <w:vAlign w:val="bottom"/>
            <w:gridSpan w:val="10"/>
          </w:tcPr>
          <w:p>
            <w:pPr>
              <w:ind w:left="2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4.  Controls and Procedures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4"/>
        </w:trPr>
        <w:tc>
          <w:tcPr>
            <w:tcW w:w="840" w:type="dxa"/>
            <w:vAlign w:val="bottom"/>
          </w:tcPr>
          <w:p>
            <w:pPr>
              <w:ind w:left="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Part II</w:t>
              </w:r>
            </w:hyperlink>
          </w:p>
        </w:tc>
        <w:tc>
          <w:tcPr>
            <w:tcW w:w="60" w:type="dxa"/>
            <w:vAlign w:val="bottom"/>
          </w:tcPr>
          <w:p>
            <w:pPr>
              <w:spacing w:after="0"/>
              <w:rPr>
                <w:sz w:val="24"/>
                <w:szCs w:val="24"/>
                <w:color w:val="auto"/>
              </w:rPr>
            </w:pPr>
          </w:p>
        </w:tc>
        <w:tc>
          <w:tcPr>
            <w:tcW w:w="7280" w:type="dxa"/>
            <w:vAlign w:val="bottom"/>
            <w:gridSpan w:val="8"/>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gridSpan w:val="10"/>
          </w:tcPr>
          <w:p>
            <w:pPr>
              <w:ind w:left="26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u w:val="single" w:color="auto"/>
                  <w:color w:val="0000EE"/>
                </w:rPr>
                <w:t>Risk Factors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8180" w:type="dxa"/>
            <w:vAlign w:val="bottom"/>
            <w:gridSpan w:val="10"/>
          </w:tcPr>
          <w:p>
            <w:pPr>
              <w:ind w:left="26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840" w:type="dxa"/>
            <w:vAlign w:val="bottom"/>
          </w:tcPr>
          <w:p>
            <w:pPr>
              <w:ind w:left="260"/>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Item 6.</w:t>
              </w:r>
            </w:hyperlink>
          </w:p>
        </w:tc>
        <w:tc>
          <w:tcPr>
            <w:tcW w:w="60" w:type="dxa"/>
            <w:vAlign w:val="bottom"/>
          </w:tcPr>
          <w:p>
            <w:pPr>
              <w:spacing w:after="0"/>
              <w:rPr>
                <w:sz w:val="20"/>
                <w:szCs w:val="20"/>
                <w:color w:val="auto"/>
              </w:rPr>
            </w:pPr>
          </w:p>
        </w:tc>
        <w:tc>
          <w:tcPr>
            <w:tcW w:w="7280" w:type="dxa"/>
            <w:vAlign w:val="bottom"/>
            <w:gridSpan w:val="8"/>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Exhibits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662"/>
        </w:trPr>
        <w:tc>
          <w:tcPr>
            <w:tcW w:w="840" w:type="dxa"/>
            <w:vAlign w:val="bottom"/>
          </w:tcPr>
          <w:p>
            <w:pPr>
              <w:spacing w:after="0"/>
              <w:rPr>
                <w:sz w:val="24"/>
                <w:szCs w:val="24"/>
                <w:color w:val="auto"/>
              </w:rPr>
            </w:pPr>
          </w:p>
        </w:tc>
        <w:tc>
          <w:tcPr>
            <w:tcW w:w="494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0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8"/>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39,568</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$11.2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million, $0.9 million and $0.7 million, respectively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574,767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842,136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income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55,709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1,173,725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1,452,220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63,773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309,421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260,667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260,687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260,622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2,269,814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2,712,436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2,565,137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346,642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tax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472,420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697,228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net of discount and unamortized issuance costs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553,118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1,032,065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1,544,616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1,274,465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Preferred stock; 1,000 shares authorized; no shares issued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 $0.01 par value; 120,000 shares authorized; 49,396,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49,394 and, 49,396 shares issued, respectively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444,384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456,195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838,867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893,138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held in treasury, at cost - 1,037, 1,649 and 1,386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(44,254)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1,237,749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1,167,820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1,290,672</w:t>
            </w: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2,269,814</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2,712,436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2,565,137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6"/>
                <w:szCs w:val="16"/>
                <w:color w:val="auto"/>
              </w:rPr>
            </w:pPr>
          </w:p>
        </w:tc>
        <w:tc>
          <w:tcPr>
            <w:tcW w:w="20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1"/>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9"/>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00" w:type="dxa"/>
            <w:vAlign w:val="bottom"/>
            <w:gridSpan w:val="8"/>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60" w:type="dxa"/>
            <w:vAlign w:val="bottom"/>
          </w:tcPr>
          <w:p>
            <w:pPr>
              <w:spacing w:after="0"/>
              <w:rPr>
                <w:sz w:val="17"/>
                <w:szCs w:val="17"/>
                <w:color w:val="auto"/>
              </w:rPr>
            </w:pPr>
          </w:p>
        </w:tc>
      </w:tr>
      <w:tr>
        <w:trPr>
          <w:trHeight w:val="23"/>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297,212</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1,277,444</w:t>
            </w:r>
          </w:p>
        </w:tc>
      </w:tr>
      <w:tr>
        <w:trPr>
          <w:trHeight w:val="216"/>
        </w:trPr>
        <w:tc>
          <w:tcPr>
            <w:tcW w:w="4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443,249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809,611</w:t>
            </w:r>
          </w:p>
        </w:tc>
      </w:tr>
      <w:tr>
        <w:trPr>
          <w:trHeight w:val="209"/>
        </w:trPr>
        <w:tc>
          <w:tcPr>
            <w:tcW w:w="1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467,833</w:t>
            </w:r>
          </w:p>
        </w:tc>
      </w:tr>
      <w:tr>
        <w:trPr>
          <w:trHeight w:val="216"/>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398,307</w:t>
            </w:r>
          </w:p>
        </w:tc>
      </w:tr>
      <w:tr>
        <w:trPr>
          <w:trHeight w:val="216"/>
        </w:trPr>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w:t>
            </w:r>
          </w:p>
        </w:tc>
      </w:tr>
      <w:tr>
        <w:trPr>
          <w:trHeight w:val="216"/>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 impairments, net of gain on lease modifications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52,486</w:t>
            </w:r>
          </w:p>
        </w:tc>
      </w:tr>
      <w:tr>
        <w:trPr>
          <w:trHeight w:val="216"/>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(10,785)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(19,556)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w:t>
            </w:r>
          </w:p>
        </w:tc>
      </w:tr>
      <w:tr>
        <w:trPr>
          <w:trHeight w:val="209"/>
        </w:trPr>
        <w:tc>
          <w:tcPr>
            <w:tcW w:w="120" w:type="dxa"/>
            <w:vAlign w:val="bottom"/>
          </w:tcPr>
          <w:p>
            <w:pPr>
              <w:spacing w:after="0"/>
              <w:rPr>
                <w:sz w:val="18"/>
                <w:szCs w:val="18"/>
                <w:color w:val="auto"/>
              </w:rPr>
            </w:pPr>
          </w:p>
        </w:tc>
        <w:tc>
          <w:tcPr>
            <w:tcW w:w="4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29,982</w:t>
            </w:r>
          </w:p>
        </w:tc>
      </w:tr>
      <w:tr>
        <w:trPr>
          <w:trHeight w:val="216"/>
        </w:trPr>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(20,073)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r>
      <w:tr>
        <w:trPr>
          <w:trHeight w:val="250"/>
        </w:trPr>
        <w:tc>
          <w:tcPr>
            <w:tcW w:w="4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23,162</w:t>
            </w:r>
          </w:p>
        </w:tc>
      </w:tr>
      <w:tr>
        <w:trPr>
          <w:trHeight w:val="196"/>
        </w:trPr>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75"/>
        </w:trPr>
        <w:tc>
          <w:tcPr>
            <w:tcW w:w="432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Pr>
          <w:p>
            <w:pPr>
              <w:spacing w:after="0"/>
              <w:rPr>
                <w:sz w:val="22"/>
                <w:szCs w:val="22"/>
                <w:color w:val="auto"/>
              </w:rPr>
            </w:pPr>
          </w:p>
        </w:tc>
        <w:tc>
          <w:tcPr>
            <w:tcW w:w="4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22"/>
                <w:szCs w:val="22"/>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196"/>
        </w:trPr>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0" w:type="dxa"/>
            <w:vAlign w:val="bottom"/>
            <w:tcBorders>
              <w:top w:val="single" w:sz="8" w:color="CCEEFF"/>
              <w:bottom w:val="single" w:sz="8" w:color="CCEEFF"/>
            </w:tcBorders>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48,121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48,619</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5"/>
        </w:trPr>
        <w:tc>
          <w:tcPr>
            <w:tcW w:w="432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Pr>
          <w:p>
            <w:pPr>
              <w:spacing w:after="0"/>
              <w:rPr>
                <w:sz w:val="22"/>
                <w:szCs w:val="22"/>
                <w:color w:val="auto"/>
              </w:rPr>
            </w:pPr>
          </w:p>
        </w:tc>
        <w:tc>
          <w:tcPr>
            <w:tcW w:w="4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22"/>
                <w:szCs w:val="22"/>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196"/>
        </w:trPr>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0" w:type="dxa"/>
            <w:vAlign w:val="bottom"/>
            <w:tcBorders>
              <w:top w:val="single" w:sz="8" w:color="CCEEFF"/>
              <w:bottom w:val="single" w:sz="8" w:color="CCEEFF"/>
            </w:tcBorders>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49,116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48,121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49,436</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w:t>
            </w:r>
          </w:p>
        </w:tc>
      </w:tr>
      <w:tr>
        <w:trPr>
          <w:trHeight w:val="216"/>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10"/>
        </w:trPr>
        <w:tc>
          <w:tcPr>
            <w:tcW w:w="4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09"/>
        </w:trPr>
        <w:tc>
          <w:tcPr>
            <w:tcW w:w="43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$ 449,840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$ 853,843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(35,679)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$ 1,246,234</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(7,993)</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(14,976)</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$ 444,384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$ 838,867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(27,506)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$ 1,237,749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$ 456,835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$ 761,344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(13,196)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$ 1,186,826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(1,680)</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$ 456,195</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$ 772,463</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(44,254)</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$ 1,167,820</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$ 452,142</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$ 893,138</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(36,864)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$ 1,290,672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(54,271)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$ 444,384</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$ 838,867</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(27,506)</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$ 1,237,749</w:t>
            </w: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$ 464,112</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$ 758,881</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(19,054)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$ 1,189,009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adoption of ASC 842</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$ 456,195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$ 772,463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(44,254)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$ 1,167,820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4"/>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(loss)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operating lease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 on lease modifications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Asset impairments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Dividend received from unconsolidated affiliate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(gain) loss in unconsolidated affiliates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compensation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financing charges and debt discount amortization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taxes,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assets,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(132,907)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Operating lease assets initial direct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Capital expenditures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Repayment of borrowings - revolving facility</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(676,019)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Proceeds from borrowings - revolving facility</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676,019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Repayment of borrowings - unsecured term loan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Proceeds from borrowings - unsecured term loan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exercise of equity awards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Purchase of treasury shares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Taxes paid for net share settlements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197,372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252,798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payments: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net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payments, net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12,791</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KL North America B.V. (“KLNA”) and Fabco Holding B.V. (“Fabco”) are Dutch joint venture limited liability companies that are 49% owned by the Company. Karl Lagerfeld Holding B.V. (“KLH”) is a Dutch limited liability company that is 19% owned by the Company. These investments are accounted for using the equity method of accounting. All material intercompany balances and transactions have been eliminated.</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six-month period ended July 31, 2020, the results of Vilebrequin, KLH, KLNA and Fabco are included for the six-month period ended June 30, 2020. The Company’s retail operations segment reports on a 52/53-week fiscal year. The Company’s three and six-month periods ended July 31, 2020 and 2019 were each 13-week and 26-week periods, respectively, for the retail operations segment. For fiscal 2021 and 2020, the three and six-month periods for the retail operations segment ended on August 1, 2020 and August 3, 2019, respectively.</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results for the three and six months ended July 31, 2020 are not necessarily indicative of the results expected for the entire fiscal year, given the seasonal nature of the Company’s business and the significant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financial statements and notes included in the Company’s Annual Report on Form 10-K for the fiscal year ended January 31, 2020 filed with the Securities and Exchange Commission (the “SEC”).</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Policies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10, 2020, the Financial Accounting Standards Board (“FASB”) issued a Staff Q&amp;A to respond to frequently asked questions about accounting for lease concessions related to the effects of the COVID-19 outbreak. Consequently, for lease concessions related to the effects of the COVID-19 outbreak, an entity will not have to analyze each lease to determine whether the enforceable rights and obligations for concessions exist in the contract and can elect to apply or not apply the lease modification guidance to those leases. Entities may make the elections for any lessor-provided concessions related to the effects of the outbreak (e.g., deferrals of lease payments, lease payment forgiveness, cash payments made to the lessee or reduced future lease payments) as long as the concession does not result in a substantial increase in the rights of the lessor or the obligations of the lessee. The Company has elected to not apply the lease modification guidance for contracts with COVID-19 related rent concessions. As of July 31, 2020, the Company has $8.0 million of deferred lease payments recorded within accounts payable on its condensed consolidated balance sheets.</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 and Impact of COVID-19</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relies on its cash flows generated from operations and the borrowing capacity under its credit facilities to meet the cash requirements of its business. The primary cash requirements of its business are the seasonal buildup in inventory, compensation paid to employees, payments to suppliers in the normal course of business, capital expenditures, maturities of debt and related interest payments and income tax payments. The rapid expansion of the COVID-19 pandemic resulted in a sharp decline in net sales and earnings in the first and second quarters of fiscal 2021. The Company is focused on preserving its liquidity and managing its cash flow during these unprecedented conditions. The Company has taken preemptive actions to enhance its ability to meet its short-term liquidity needs, including, but not limited to, reducing payroll costs through employee furloughs, job eliminations, salary reductions, reductions in discretionary spending, deferring certain lease payments and deferral of capital projects. In addition, the Company is closely monitoring its inventory needs and is working with its suppliers to curtail, or cancel, production of product that the Company believes will not be able to be sold in season. The Company has also been working with its suppliers and licensors to negotiate extended payment terms in order to preserve capital.</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July 31, 2020, the Company had cash and cash equivalents of $252.8 million. The Company believes it has adequate cash flows to meet the cash requirements of its business. As of July 31, 2020, the Company was in compliance with all covenants under its term loan and revolving credit facility. On August 7, 2020, the Company refinanced its term loan and revolving credit facility. See Note 16 – Subsequent Events.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2 – Retail Restructuring</w:t>
      </w:r>
    </w:p>
    <w:p>
      <w:pPr>
        <w:spacing w:after="0" w:line="15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June 5, 2020, the Company announced the restructuring of its retail operations segment including the closing of all Wilsons Leather and G.H. Bass stores. Additionally, the Company will close its Calvin Klein Performance stores. In connection with the restructuring of the retail operations segment, the Company expects to incur an aggregate charge of approximately $100 million related to store operating costs, landlord termination fees, severance costs, store liquidation and closing costs, write-offs related to right-of-use assets and legal and professional fees. The Company expects the net cash outflow from the retail restructuring to be approximately $65 million.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result of the restructuring of the Company’s retail operations, the Company recorded a charge of $1.2 million during the three months ended July 31, 2020. The charge consisted primarily of severance payments, benefit continuation costs and store closing costs. Restructuring charges are recorded within selling, general and administrative expenses in the Company’s condensed consolidated statements of operations and comprehensive income (loss). The following is a reconciliation of the accrual for the quarter ended July 31, 2020:</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Severance and Benefit</w:t>
            </w:r>
          </w:p>
        </w:tc>
        <w:tc>
          <w:tcPr>
            <w:tcW w:w="12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Store Closing Costs</w:t>
            </w:r>
          </w:p>
        </w:tc>
        <w:tc>
          <w:tcPr>
            <w:tcW w:w="360" w:type="dxa"/>
            <w:vAlign w:val="bottom"/>
          </w:tcPr>
          <w:p>
            <w:pPr>
              <w:spacing w:after="0"/>
              <w:rPr>
                <w:sz w:val="13"/>
                <w:szCs w:val="13"/>
                <w:color w:val="auto"/>
              </w:rPr>
            </w:pPr>
          </w:p>
        </w:tc>
        <w:tc>
          <w:tcPr>
            <w:tcW w:w="11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2020</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July 31, 2020</w:t>
            </w: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remaining rent and termination payments under Accounting Standards Codification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of July 31, 2020, the total operating lease liability related to Wilsons Leather, G.H Bass, and Calvin Klein Performance stores is $54.5 million and will be paid by the end of fiscal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3 – Allowance for Doubtful Accounts</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1, 2020, the Company adopted Accounting Standards Update (“ASU”) 2016-13, “Financial Instruments-Credit Losses (Topic 326): Measurement of Credit Losses on Financial Instruments” which had no material impact on the Company’s financial statements. 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ectPr>
          <w:pgSz w:w="11900" w:h="16838" w:orient="portrait"/>
          <w:cols w:equalWidth="0" w:num="1">
            <w:col w:w="9019"/>
          </w:cols>
          <w:pgMar w:left="1440" w:top="513" w:right="1440"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July 31, 2020 were: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2"/>
                <w:szCs w:val="12"/>
                <w:color w:val="auto"/>
              </w:rPr>
            </w:pPr>
          </w:p>
        </w:tc>
        <w:tc>
          <w:tcPr>
            <w:tcW w:w="156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7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287,710</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(11,178)</w:t>
            </w: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20" w:type="dxa"/>
            <w:vAlign w:val="bottom"/>
          </w:tcPr>
          <w:p>
            <w:pPr>
              <w:spacing w:after="0"/>
              <w:rPr>
                <w:sz w:val="18"/>
                <w:szCs w:val="18"/>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272,853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276,502</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as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July 31, 2020, the Company recorded a $0.8 million and $10.5 million increase in its allowance for doubtful accounts primarily due to allowances recorded against the outstanding receivables of certain department store customers that have publicly announced bankruptcy filings or possible bankruptcy filings. The Company had the following activity in its allowance for credit losses for the six months ended July 31, 2020:</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2"/>
                <w:szCs w:val="12"/>
                <w:color w:val="auto"/>
              </w:rPr>
            </w:pPr>
          </w:p>
        </w:tc>
        <w:tc>
          <w:tcPr>
            <w:tcW w:w="156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(10,557)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20" w:type="dxa"/>
            <w:vAlign w:val="bottom"/>
            <w:tcBorders>
              <w:bottom w:val="single" w:sz="8" w:color="auto"/>
            </w:tcBorders>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4 – Inventories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represented $15.1 million, $24.8 million and $31.0 million as of July 31, 2020, July 31, 2019 and January 31, 2020 respectively. The inventory return asset is recorded within prepaid expenses and other current assets on the condensed consolidated balance sheets.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$6.3 million, $3.9 million and $9.1 million at July 31, 2020, July 31, 2019 and January 31, 2020, respectively. Consignment inventory is stored at the facilities of the Company’s customers. The Company reflects this inventory on its condensed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5 – Fair Value of Financial Instruments</w:t>
      </w:r>
    </w:p>
    <w:p>
      <w:pPr>
        <w:spacing w:after="0" w:line="14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66"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4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6"/>
                <w:szCs w:val="16"/>
                <w:color w:val="auto"/>
              </w:rPr>
            </w:pPr>
          </w:p>
        </w:tc>
      </w:tr>
      <w:tr>
        <w:trPr>
          <w:trHeight w:val="117"/>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r>
      <w:tr>
        <w:trPr>
          <w:trHeight w:val="187"/>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55"/>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3"/>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300,000</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  300,000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300,000</w:t>
            </w: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104,884</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99,266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95,126</w:t>
            </w: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3,243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 On August 7, 2020, the Company refinanced its term loan and revolving credit facility. See Note 16 – Subsequent Events.</w:t>
      </w:r>
    </w:p>
    <w:p>
      <w:pPr>
        <w:spacing w:after="0" w:line="12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The 2% note in the principal amount of $125 million issued to LVMH Moet Hennessy Louis Vuitton Inc. (“LVMH”) in connection with the acquisition of Donna Karan International (“DKI”) was recorded on the balance sheet at a discount of $40.0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116" w:lineRule="exact"/>
        <w:rPr>
          <w:sz w:val="20"/>
          <w:szCs w:val="20"/>
          <w:color w:val="auto"/>
        </w:rPr>
      </w:pPr>
    </w:p>
    <w:p>
      <w:pPr>
        <w:ind w:left="60" w:right="1399"/>
        <w:spacing w:after="0" w:line="422" w:lineRule="auto"/>
        <w:rPr>
          <w:sz w:val="20"/>
          <w:szCs w:val="20"/>
          <w:color w:val="auto"/>
        </w:rPr>
      </w:pPr>
      <w:r>
        <w:rPr>
          <w:rFonts w:ascii="Times New Roman" w:cs="Times New Roman" w:eastAsia="Times New Roman" w:hAnsi="Times New Roman"/>
          <w:sz w:val="18"/>
          <w:szCs w:val="18"/>
          <w:color w:val="auto"/>
        </w:rPr>
        <w:t xml:space="preserve">The fair value of the note issued to LVMH was considered a Level 3 valuation in the fair value hierarchy. </w:t>
      </w:r>
      <w:r>
        <w:rPr>
          <w:rFonts w:ascii="Times New Roman" w:cs="Times New Roman" w:eastAsia="Times New Roman" w:hAnsi="Times New Roman"/>
          <w:sz w:val="18"/>
          <w:szCs w:val="18"/>
          <w:i w:val="1"/>
          <w:iCs w:val="1"/>
          <w:u w:val="single" w:color="auto"/>
          <w:color w:val="auto"/>
        </w:rPr>
        <w:t>Non-Financial Assets and Liabilities</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the second quarter of fiscal 2021, the Company recorded a $20 million impairment charge primarily related to operating lease assets, leasehold improvements and furniture and fixtures at certain Wilsons Leather, G.H. Bass, DKNY and Vilebrequin stores as a result of the performance at these stores. During the first quarter of fiscal 2020, the Company recorded an impairment of $9.6 million, net of tax, in connection with the adoption of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that was recognized through retained earnings.</w:t>
      </w:r>
    </w:p>
    <w:p>
      <w:pPr>
        <w:sectPr>
          <w:pgSz w:w="11900" w:h="16838" w:orient="portrait"/>
          <w:cols w:equalWidth="0" w:num="1">
            <w:col w:w="9019"/>
          </w:cols>
          <w:pgMar w:left="1440" w:top="513"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6 – Leases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Company’s lease assets and liabilities as of July 31, 2020, July 31, 2019 and January 31, 2020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270,032</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309,421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270,032</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63,166</w:t>
            </w:r>
          </w:p>
        </w:tc>
      </w:tr>
      <w:tr>
        <w:trPr>
          <w:trHeight w:val="216"/>
        </w:trPr>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272,632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249,040</w:t>
            </w:r>
          </w:p>
        </w:tc>
      </w:tr>
      <w:tr>
        <w:trPr>
          <w:trHeight w:val="21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231,983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346,929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312,206</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operating lease assets and operating lease liabilities significantly declined during the second quarter of fiscal 2021 due to the restructuring of the retail operations segment. As a result of this restructuring, the Company expects to close all of its Wilsons Leather, G.H. Bass and Calvin Klein Performance stores by the end of fiscal 2021. In addition, primarily due to the restructuring, in the second quarter of fiscal 2021 the Company recorded a $19.4 million impairment charge related to the operating lease assets at certain Wilsons Leather, G.H. Bass, DKNY and Vilebrequin stores as a result of the performance at these stores.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recorded lease costs of $36.0 million and $58.4 million during the three and six months ended July 31, 2020, respectively. The Company recorded lease costs of $24.9 million and $49.9 million during the three and six months ended July 31, 2019, respectively. Lease costs are recorded within selling, general and administrative expenses in the Company’s condensed consolidated statements of operations and comprehensive income (loss). The Company recorded negative variable lease costs and short-term lease costs of ($4.3) million and ($0.9) million for the three and six months ended July 31, 2020, respectively. The negative variable lease costs were primarily due to rent forgiveness received by the Company’s retail operations segment that was recorded as negative variable lease costs in accordance with the Staff Q&amp;A issued by the FASB on April 10, 2020. The Company recorded variable leases costs and short-term lease costs of $2.7 million and $5.0 million for the three and six months ended July 31, 2019, respectively. Short-term lease costs are immaterial.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July 31, 2020, the Company’s maturity of operating lease liabilities in the years ending up to January 31, 2025 and thereafter are as follows: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79,178</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50,509</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43,058</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31,339</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2025</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46,971</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275,294</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43,311</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231,983</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July 31, 2020, there are no material leases that are legally binding but have not yet commenced.</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July 31, 2020, the weighted average remaining lease term related to operating leases is 4.1 years. The weighted average discount rate related to operating leases is 8.1%.</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$51.0 million and $51.9 million during the six months ended July 31, 2020 and July 31, 2019, respectively. Right-of-use assets obtained in exchange for lease obligations were $10.8 million and $15.6 million as of July 31, 2020 and July 31, 2019,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7 – Goodwill and Intangible Assets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July 31, 2020, there is $260.7 million of goodwill and $438.7 million of indefinite-lived trademarks recorded on the Company’s condensed consolidated balance sheet. The Company reviews and tests its goodwill and intangible assets with indefinite lives for impairment annually, or more frequently if events or changes in circumstances indicate that the carrying amount of such assets may be impaired. Due to the impact of the COVID-19 pandemic on the Company’s operations, the Company performed a quantitative test of its goodwill as of April 30, 2020 using an income approach through a discounted cash flow analysis methodology. The discounted cash flow approach requires that certain assumptions and estimates be made regarding industry economic factors and future profitability. The Company also performed quantitative tests of each of its indefinite-lived intangible assets using a relief from royalty method, another form of the income approach. The relief from royalty method requires assumptions regarding industry economic factors and future profitability. There were no impairments identified as of April 30, 2020 as a result of these tests.</w:t>
      </w:r>
    </w:p>
    <w:p>
      <w:pPr>
        <w:spacing w:after="0" w:line="19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While no impairment was identified as of April 30, 2020, $370.0 million of the Company’s indefinite-lived trademarks could be deemed to have a risk of future impairment as there is limited excess fair value over the carrying value of these assets at July 31, 2020.</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the Company conducted a review to assess whether indicators of impairment existed. As a result of this review, the Company concluded that no indicators existed that would make management believe it is more likely than not that the fair value of its goodwill or indefinite-lived trademarks is less than its carrying value. The continued impact of the COVID-19 pandemic could give rise to global and regional macroeconomic factors that could impact the Company’s assumptions relating to future net sales, discount rates, tax rates or royalty rates and may result in future impairment charges for indefinite-lived intangible assets.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the Company’s goodwill and indefinite-lived intangible assets are considered a Level 3 valuation in the fair value hierarchy.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8 – Net Income (Loss) per Common Share</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All unvested restricted stock unit awards and stock options have been excluded from the diluted net income per share calculation for the three and six months ended July 31, 2020 as a result of the Company recording a net loss during each of those periods. Approximately 794,400 and 606,500 shares of common stock have been excluded from the diluted net income per share calculation for the three and six months ended July 31, 2019, respectively. All share-based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(loss) per share: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74"/>
              </w:rPr>
              <w:t>per</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160" w:type="dxa"/>
            <w:vAlign w:val="bottom"/>
            <w:vMerge w:val="continue"/>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 amounts)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48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(54,271)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common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48,619</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common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common shares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Note 9 – Notes Payable</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300" w:type="dxa"/>
            <w:vAlign w:val="bottom"/>
          </w:tcPr>
          <w:p>
            <w:pPr>
              <w:spacing w:after="0"/>
              <w:rPr>
                <w:sz w:val="23"/>
                <w:szCs w:val="23"/>
                <w:color w:val="auto"/>
              </w:rPr>
            </w:pPr>
          </w:p>
        </w:tc>
        <w:tc>
          <w:tcPr>
            <w:tcW w:w="144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4"/>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issued to LVMH</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loans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3,243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facilities</w:t>
            </w: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588,243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Debt discount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553,118</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80" w:right="79" w:hanging="330"/>
        <w:spacing w:after="0" w:line="238"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Does not include debt issuance costs, net of amortization, totaling $3.3 million, $5.8 million and $4.6 million as of July 31, 2020, July 31, 2019 and January 31, 2020, respectively, related to the revolving credit facility. These debt issuance costs have been deferred and are classified in prepaid expenses and other current assets in the accompanying condensed consolidated balance sheets in accordance with ASU 2015-15.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August 7, 2020, the Company refinanced its term loan and revolving credit facility. See Note 16 – Subsequent Events.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borrowed $350.0 million under a senior secured term loan facility (the “Term Loan”) that matures in December 2022. The Company prepaid $50.0 million in principal amount of the Term Loan, reducing the principal balance of the Term Loan to $300.0 million. The Term Loan is guaranteed by certain of the Company’s subsidiaries.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80" w:hanging="23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published by the Wall Street Journal from time to time, (ii) the federal funds rate plus 0.5% or</w:t>
      </w:r>
    </w:p>
    <w:p>
      <w:pPr>
        <w:spacing w:after="0" w:line="9" w:lineRule="exact"/>
        <w:rPr>
          <w:rFonts w:ascii="Times New Roman" w:cs="Times New Roman" w:eastAsia="Times New Roman" w:hAnsi="Times New Roman"/>
          <w:sz w:val="18"/>
          <w:szCs w:val="18"/>
          <w:color w:val="auto"/>
        </w:rPr>
      </w:pPr>
    </w:p>
    <w:p>
      <w:pPr>
        <w:ind w:left="60" w:right="59" w:hanging="10"/>
        <w:spacing w:after="0" w:line="260" w:lineRule="auto"/>
        <w:tabs>
          <w:tab w:leader="none" w:pos="3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for a borrowing with an interest period of one month) plus 4.25%, per annum, payable in cash. As of July 31, 2020, interest under the Term Loan was being paid at a weighted average rate of 6.45% per annum.</w:t>
      </w:r>
    </w:p>
    <w:p>
      <w:pPr>
        <w:spacing w:after="0" w:line="1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Term Loan is secured by certain assets of the Company and certain of its subsidiaries. The Term Loan is required to be prepaid with the proceeds of certain asset sales if such proceeds are not applied as required by the Term Loan within specified deadlines. The Term Loan contains covenants that, among other things, restrict the Company’s ability, subject to certain exceptions, to incur additional debt; incur liens; sell or dispose of certain assets; merge with other companies; liquidate or dissolve the Company; acquire other companies; make loans, advances, or guarantees; and make certain investments. This loan also includes a mandatory prepayment provision based on excess cash flow as defined in the term loan agreement. A first lien leverage covenant requires the Company to maintain a level of debt to EBITDA at a ratio as defined in the term loan agreement. As of July 31, 2020, the Company was in compliance with these covenants.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a $650 million credit agreement (the “revolving credit facility”) under which amounts available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3" w:lineRule="exact"/>
        <w:rPr>
          <w:sz w:val="20"/>
          <w:szCs w:val="20"/>
          <w:color w:val="auto"/>
        </w:rPr>
      </w:pPr>
    </w:p>
    <w:p>
      <w:pPr>
        <w:jc w:val="both"/>
        <w:ind w:left="60" w:right="59" w:hanging="10"/>
        <w:spacing w:after="0" w:line="252" w:lineRule="auto"/>
        <w:tabs>
          <w:tab w:leader="none" w:pos="3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for a borrowing with an interest period of one month) plus a margin of 0.25% to 0.75%, with the applicable margin determined based on the availability under the revolving credit facility agreement.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revolving credit facility is secured by specified assets of the Company and certain of its subsidiaries.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2020, the Company was in compliance with these covenants.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July 31, 2020, the Company had no borrowings outstanding under the revolving credit facility. As of July 31, 2020, interest under the revolving credit agreement was being paid at an average rate of 2.06% per annum. The revolving credit facility also includes amounts available for letters of credit. As of July 31, 2020, there were outstanding trade and standby letters of credit amounting to $7.0 million and $3.4 million,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April 15, 2019, T.R.B. International SA (“TRB”), a subsidiary of Vilebrequin, borrowed €3.0 million under an unsecured loan (the “2019 Unsecured Loan”). During the term of the 2019 Unsecured Loan, TRB is required to make quarterly installment payments of €0.2 million. Interest on the outstanding principal amount of the 2019 Unsecured Loan accrues at a fixed rate equal to 1.50% per annum, payable quarterly. The 2019 Unsecured Loan originally matured on April 15, 2024. Due to the COVID-19 outbreak, the bank agreed to amend the 2019 Unsecured Loan to suspend the March and June 2020 quarterly installment payments and add these payments to the balance due at the end of the loan term. The 2019 Unsecured Loan now matures on September 15, 2024.</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3, 2020, TRB borrowed €1.7 million under another unsecured loan (the “February 2020 Unsecured Loan”). During the term of the February 2020 Unsecured Loan, TRB is required to make quarterly installment payments of €0.1 million. Interest on the outstanding principal amount of the February 2020 Unsecured Loan accrues at a fixed rate equal to 1.50% per annum, payable quarterly. The February 2020 Unsecured Loan originally matured on March 31, 2025. Due to the COVID-19 outbreak, the bank agreed to amend the 2020 Unsecured Loan to suspend the June 2020 quarterly installment payment and add this payment to the balance due at the end of the loan term. The February 2020 Unsecured Loan now matures on June 30, 2025.</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June 12, 2020, a subsidiary of TRB borrowed €1.5 million under a French state backed loan provided by UBS Bank (the “June 2020 Unsecured Loan”) as part of a COVID-19 relief program. The June 2020 Unsecured Loan provides for an initial one year term with the option to extend the term by an additional one to five years at the end of the initial term. The June 2020 Unsecured Loan requires no interest or principal payments during the initial term of the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July 31, 2020, TRB had an aggregate €3.1 million drawn across these various facilities.</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10 – Revenue Recognition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15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1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G.H. Bass, Andrew Marc and Vilebrequin trademarks owned by the Company. As of July 31, 2020, revenues from license agreements represented an insignificant portion of wholesale revenues.</w:t>
      </w:r>
    </w:p>
    <w:p>
      <w:pPr>
        <w:sectPr>
          <w:pgSz w:w="11900" w:h="16838" w:orient="portrait"/>
          <w:cols w:equalWidth="0" w:num="1">
            <w:col w:w="9019"/>
          </w:cols>
          <w:pgMar w:left="1440" w:top="513" w:right="1440" w:bottom="1440"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Retail operations segment revenues are recognized at the point of sale when the customer takes possession of the goods and tenders payment. Digital-based revenues primarily consist of sales to consumers through the Company’s digital platforms. Digital-based revenue is recognized when a customer takes possession of the goods. Retail sales are recorded net of applicable sales tax. As a result of the restructuring of the Company’s retail operations, the Company is in the process of closing all of its Wilsons Leather and G.H. Bass retail stores. After completion of the restructuring, the Company’s retail operations segment will consist of DKNY and Karl Lagerfeld Paris stores, as well as the digital channels for DKNY, Donna Karan, Karl Lagerfeld Paris, Andrew Marc, Wilsons Leather and G.H. Bass.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$5.1 million, $6.6 million and $5.9 million at July 31, 2020, July 31, 2019 and January 31, 2020, respectively. The Company recognized $1.3 million in revenue for the three months ended July 31, 2020 related to contract liabilities that existed at April 30, 2020. The Company recognized $4.0 million in revenue for the six months ended July 31, 2020 related to contract liabilities that existed at January 31, 2020. There were no contract assets recorded as of July 31, 2020, July 31, 2019 and January 31, 2020. Substantially all of the advance payments from licensees as of July 31, 2020 are expected to be recognized as revenue within the next twelve months.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11 – Segments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consisting primarily of Wilsons Leather, G.H. Bass and DKNY stores, substantially all of which are operated as outlet stores. Sales through Company-owned channels, with the exception of Vilebrequin, are also included in the retail operations segment. As a result of the restructuring of the Company’s retail operations, the Company is in the process of closing all of its Wilsons Leather and G.H. Bass retail stores. After completion of the restructuring, the Company’s retail operations segment will consist of DKNY and Karl Lagerfeld Paris stores, as well as the digital channels for DKNY, Donna Karan, Karl Lagerfeld Paris, Andrew Marc, Wilsons Leather and G.H. Bass.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is presented for the three and six-month periods indicated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 2020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297,212</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162,519</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134,693</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122,102</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 net of gain on lease modifications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00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 2019</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588,601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83,706</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34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643,892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395,728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412,123</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231,769</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lease modifications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(16,645)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July 31, 2020</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645,681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68,415</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(11,753)</w:t>
            </w:r>
          </w:p>
        </w:tc>
        <w:tc>
          <w:tcPr>
            <w:tcW w:w="34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702,343</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(11,753)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443,249</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259,094</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276,722</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impairments, net of 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July 31, 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1,159,240</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165,610</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(47,406)</w:t>
            </w:r>
          </w:p>
        </w:tc>
        <w:tc>
          <w:tcPr>
            <w:tcW w:w="34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1,277,444</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(47,406)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809,611</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391,932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467,833</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398,307</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8" w:lineRule="exact"/>
        <w:rPr>
          <w:sz w:val="20"/>
          <w:szCs w:val="20"/>
          <w:color w:val="auto"/>
        </w:rPr>
      </w:pPr>
    </w:p>
    <w:p>
      <w:pPr>
        <w:ind w:left="320" w:hanging="270"/>
        <w:spacing w:after="0"/>
        <w:tabs>
          <w:tab w:leader="none" w:pos="3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as well as assets not allocated to a segment,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42"/>
        </w:trPr>
        <w:tc>
          <w:tcPr>
            <w:tcW w:w="4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1,912,175</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272,832</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444,911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380,130</w:t>
            </w: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2,269,814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2,712,436</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2,565,137</w:t>
            </w: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12 – Stockholders’ Equity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three months ended July 31, 2020, the Company issued no shares of common stock and utilized 307,147 shares of treasury stock in connection with the vesting of equity awards. For the three months ended July 31, 2019, the Company issued 1,651 shares of common stock and utilized 148,025 shares of treasury stock in connection with the vesting of equity awards. For the six months ended July 31, 2020, the Company issued no shares of common stock and utilized 349,342 shares of treasury stock in connection with the vesting of equity awards. For the six months ended July 31, 2019, the Company issued 7,651 shares of common stock and utilized 356,550 shares of treasury stock in connection with the vesting of equity awards.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13 – Income Taxes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benefit of $3.7 million and $20.1 million for the three and six months ended July 31, 2020, respectively. The Company recorded income tax expense of $4.3 million and $6.8 million for the three and six months ended July 31, 2019, respectively. Historically, the Company has calculated its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the Company used a discrete effective tax rate method to calculate taxes for the three- and six-month periods ended July 31, 2020. The Company will continue to evaluate income tax estimates under the historical method in subsequent quarters and employ a discrete effective tax rate method if warranted.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14 – Canadian Customs Duty Examination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3" w:lineRule="exact"/>
        <w:rPr>
          <w:sz w:val="20"/>
          <w:szCs w:val="20"/>
          <w:color w:val="auto"/>
        </w:rPr>
      </w:pPr>
    </w:p>
    <w:p>
      <w:pPr>
        <w:ind w:left="60" w:right="79" w:hanging="10"/>
        <w:spacing w:after="0" w:line="260" w:lineRule="auto"/>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to the vendor. The CBSA has also requested that G-III Canada change the valuation method used to pay duties with respect to goods imported in the future.</w:t>
      </w:r>
    </w:p>
    <w:p>
      <w:pPr>
        <w:spacing w:after="0" w:line="1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and six months ended July 31, 2020, related to the higher dutiable values. Cumulative amounts paid and deferred through July 31, 2020, related to the higher dutiable values, were CAD$13.0 million ($9.7 million).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15 – Recent Adopted and Issued Accounting Pronouncements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This pronouncement changed how entities account for credit impairment for trade and other receivables, as well as for certain financial assets and other instruments. ASU 2016-13 replaced the “incurred loss” model with an “expected loss” model. Under the “incurred loss” model, a loss (or allowance) was recognized only when an event had occurred (such as a payment delinquency) that caused the entity to believe that a loss was probable (i.e., that it had been “incurred”). Under the “expected loss” model, an entity recognizes a loss (or allowance) upon initial recognition of the asset that reflects all future events that may lead to a loss being realized, regardless of whether it is probable that the future event will occur. The “incurred loss” model considered past events and current conditions, while the “expected loss” model includes expectations for the future which have yet to occur. The Company adopted ASU 2016-16 as of February 1, 2020. The adoption of this standard did not result in a material change to the Company’s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which made a number of changes meant to add, modify or remove certain disclosure requirements associated with the movement among or hierarchy associated with Level 1, Level 2 and Level 3 fair value measurements. The amendments in ASU 2018-13 modified the disclosure requirements with respect to fair value measurements based on the concepts in FASB Concepts Statement, Conceptual Framework for Financial Reporting—Chapter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have been applied prospectively in the initial fiscal year of adoption. All other amendments have been applied retrospectively to all periods presented in the initial year of adoption. The Company adopted the standard effective February 1, 2020. The adoption of this standard did not result in a material change to the Company’s condensed consolidated financial statements.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2018-15, Customers Accounting for Implementation Costs Incurred in a Cloud Computing Arrangement That Is A Service Contract, which addresses the accounting for implementation costs incurred in a cloud computing arrangement (“CCA”) that is a service contract. ASU 2018-15 aligned the accounting for costs incurred to implement a CCA that is a service arrangement with the guidance on capitalizing costs associated with developing or obtaining internal-use software. Specifically, ASU 2018-15 amended ASC 350 to include in its scope implementation costs of a CCA that is a service contract and clarifies that a customer should apply ASC 350-40 to determine which implementation costs should be capitalized in a CCA that is considered a service contract. The Company adopted the standard effective February 1, 2020. The adoption of this standard did not result in a material change to the Company’s condensed consolidated financial statements.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(“ASC 848”): Facilitation of the Effects of Reference Rate Reform on Financial Reporting. The standard is intended to provide optional expedients and exceptions for applying GAAP to contract modifications and hedging relationships, subject to meeting certain criteria, that reference LIBOR or another rate that is expected to be discontinued. The guidance was effective upon issuance, and may be applied prospectively through December 31, 2022. The adoption of this standard did not result in a material change to the Company’s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Issued Accounting Guidance Being Evaluated for Adoption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reviewed all recently issued accounting pronouncements and concluded that they were either not applicable or not expected to have a significant impact to the condensed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16 – Subsequent Events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Secured Notes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7,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Company’s existing term loan facility due 2022, (ii) to pay related fees and expenses and (iii) for general corporate purposes.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 commencing on February 15, 2021.</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7,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certain material indebtedness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2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subject to a springing maturity date if, subject to certain conditions, certain material indebtedness is not refinanced or repaid prior to the date that is 91 days prior to the date of any relevant payment thereunder.</w:t>
      </w:r>
    </w:p>
    <w:p>
      <w:pPr>
        <w:sectPr>
          <w:pgSz w:w="11900" w:h="16838" w:orient="portrait"/>
          <w:cols w:equalWidth="0" w:num="1">
            <w:col w:w="9019"/>
          </w:cols>
          <w:pgMar w:left="1440" w:top="513" w:right="1440" w:bottom="1440" w:gutter="0" w:footer="0" w:header="0"/>
        </w:sectPr>
      </w:pP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Fabco Holding B.V.</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31, 2020, the Company and Amlon Capital B.V. (“Amlon”) amended, effective October 1, 2020, their joint venture agreement for Fabco Holding B.V. Fabco operates the DKNY/Donna Karan business in China. Pursuant to this amended agreement, the Company, through a wholly-owned subsidiary, will own 75% of the joint venture and Amlon will own 25%. Prior to the effectiveness of this amended agreement, the Company owns 49% of the joint venture with Amlon owning the remaining 51% interest. Beginning on October 1, 2020, the Company will consolidate Fabco’s results of operations into its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 References to fiscal years refer to the year ended or ending on January 31 of that year. For example, our fiscal year ending January 31, 2021 is referred to as “fiscal 2021.”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six-month period ended July 31, 2020, the results of Vilebrequin, KLH, KLNA and Fabco are included for the six-month period ended June 30, 2020. We account for our investment in each of KLH, KLNA and Fabco using the equity method of accounting. The Company’s retail operations segment uses a 52/53-week fiscal year. The Company’s three and six-month periods ended July 31, 2020 and 2019 were each 13-week and 26-week periods, respectively, for the retail operations segment. For fiscal 2021 and 2020, the three and six month periods for the retail operations segment ended on August 1, 2020 and August 3, 2019 respectively.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8" w:lineRule="exact"/>
        <w:rPr>
          <w:sz w:val="20"/>
          <w:szCs w:val="20"/>
          <w:color w:val="auto"/>
        </w:rPr>
      </w:pPr>
    </w:p>
    <w:p>
      <w:pPr>
        <w:jc w:val="both"/>
        <w:ind w:left="720" w:right="7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COVID-19 and its numerous adverse effects, including the closing of stores and shopping malls, the reduction of consumer purchases of the types of products we sell, the impact on our supply chain, restrictions on travel and group gatherings and the general material adverse effect on the economy in the U.S. and around the world, all of which negatively impact our business, sales and results of operations;</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licensed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uncertainties with respect to expansion of our product offerings;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products at retail and customer acceptance of new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customer concentration;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abroad;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recent adoption of a national security law in Hong Kong;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the restructuring of our retail operations, as well as the impact on our business and financial statements resulting from any related costs and charges which may be dilutive to our earnings;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and financial statements related to the early closure of stores or the termination of long-term leases;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in the markets in which we operate, including from online retailers;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redefinition of the retail store landscape in light of widespread retail store closings, the bankruptcy of a number of prominent retailers and the impact of online apparel purchases and innovations by online retailers;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retail customers;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legislation and/or regulation in the United States or around the world;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import products in a timely and cost effective manner;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maintain our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common stock if actual results are worse than financial forecasts;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12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II—Other Information below in this Quarterly Report under the heading “Item 1A. Risk Factors.” We undertake no obligation to publicly update or revise any forward-looking statements, whether as a result of new information, future events or otherwise, except as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Secured Notes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7,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our existing term loan facility due 2022, (ii) to pay related fees and expenses and (iii) for general corporate purposes.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 commencing on February 15, 2021.</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7,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certain material indebtedness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subject to a springing maturity date if, subject to certain conditions, certain material indebtedness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of Our Retail Operations Segment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June 5, 2020, we announced a restructuring of our retail operations segment, including the closing of all Wilsons Leather and G.H. Bass stores. Additionally, we will close our Calvin Klein Performance stores. We have hired Hilco Global to assist in the liquidation of these stores. We anticipate that the restructuring will be completed by the end of fiscal 2021.</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After completion of the restructuring, our retail operations segment will consist of DKNY and Karl Lagerfeld Paris stores, as well as the digital channels for DKNY, Donna Karan, Karl Lagerfeld Paris, Andrew Marc, Wilsons Leather and G.H. Bass. Part of our restructuring plan includes making significant changes to our DKNY and Karl Lagerfeld store operations. In addition to the stores operated as part of our retail operations segment, as of July 31, 2020, Vilebrequin products were distributed through 104 company-operated stores and owned digital channels in Europe and the United States, as well as through 63 franchised locations.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restructuring of our retail operations, we expect to incur an aggregate charge of approximately $100 million related to store operating costs, landlord termination fees, severance costs, store liquidation and closing costs, write-offs related to right-of-use assets and legal and professional fees. We recorded $1.2 million of this charge during the three months ended July 31, 2020, consisting primarily of severance payments, benefit continuation costs and store closing costs. We expect the net cash outflow of the retail restructuring to be approximately $65 million. We believe that this restructuring plan will enable us to greatly reduce our retail losses and to ultimately have this segment become profitable.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Outbreaks of COVID-19 were detected beginning in December 2019 and, in March 2020, the World Health Organization declared COVID-19 a pandemic. The President of the United States has declared a national emergency as a result of the COVID-19 pandemic.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COVID-19 pandemic has had multiple impacts on our business, including, but not limited to, the temporary closure of our customers’ stores and closures of our own stores in North America, a mandate to require our employees who work in our headquarters to work remotely and temporary disruption of our global supply chain. The COVID-19 pandemic has impacted our business operations and results of operations for the first and second quarters of fiscal 2021 resulting in lower sales, lower liquidity and an adverse impact on free cash flow. COVID-19 could continue to have an adverse impact on our results of operations and liquidity, the operations of our suppliers, vendors and customers, and on our employees as a result of quarantines, facility closures, and travel and logistics restrictions. Even as businesses slowly begin to reopen as governmental restrictions are loosened with respect to stay at home orders and previously closed businesses, the ultimate economic impact of the COVID-19 pandemic is highly uncertain. We expect that our business operations and results of operations, including our net sales, earnings and cash flows, will be materially adversely impacted for at least the balance of fiscal 2021.</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During this crisis we are focused on protecting the health and safety of our employees, our customers, and our communities. We have taken precautionary measures intended to help minimize the risk of COVID-19 to our employees, including temporarily requiring employees to work remotely and temporarily closing all of our retail stores. Requiring our employees to work remotely may disrupt our operations or increase the risk of a cybersecurity incident. Only recently, we have begun re-opening stores and our personnel have started working again in our offices.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Most of our retail partners closed their stores in North America, including our largest customer, Macy’s, while some of our customers, such as Costco and Sam’s Club, remained open for business. Our retail partners that have closed stores have asked to extend their payment terms with us. We continue to negotiate resolutions with our retail partners that are equitable and fiscally responsible for each of us. Certain of our retail partners have publicized actual or potential bankruptcy filings or other liquidity issues that could impact our anticipated income and cash flows, as well as require us to record additional accounts receivable reserves. In addition, we could be required to record increased excess and obsolete inventory reserves due to decreased sales or noncash impairment charges related to our intangible assets or goodwill due to reduced market values and cash flows. Further, a more promotional retail environment may cause us to lower our prices or sell existing inventory at larger discounts than in the past, negatively impacting our margins.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around the breadth and duration of store closures and other business disruptions related to the COVID-19 pandemic, as well as its impact on the U.S. and global economies and on consumer willingness to visit stores once they re-open. Recently, consumer businesses have begun to re-open in many areas of the United States under governmental social distancing and other restrictions that are expected to limit the scope of operations compared to pre-COVID-19 business operations for an unknown period of time. These restrictions are expected to adversely impact sales even as retail stores continue to reopen. The extent to which COVID-19 impacts our results will depend on continued developments in the public and private responses to the pandemic. The continued impact of COVID-19 remains highly uncertain and cannot be predicted. New information may emerge concerning the severity of the outbreak and the actions taken to contain COVID-19 or treat its impact may change or become more restrictive if a second wave of infections occurs, or continues to occur, as a result of the loosening of governmental restrictions.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response to these challenges, we have taken measures to contain costs that include, but are not limited to, employee furloughs, job eliminations, temporary salary reductions, reduced advertising and other promotional spending and deferral of capital projects. We are also reviewing our inventory needs and working with suppliers to curtail, or cancel, production of product which we believe will not be able to be sold in season. We have also been working with our suppliers, landlords and licensors to renegotiate related agreements and extend payment terms in order to preserve capital.</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Due to the impact of the COVID-19 pandemic on our operations, we performed a quantitative test of our goodwill as of April 30, 2020 using an income approach through a discounted cash flow analysis methodology. The discounted cash flow approach requires that certain assumptions and estimates be made regarding industry economic factors and future profitability. We also performed quantitative tests of each of our indefinite-lived intangible assets using a relief from royalty method, another form of the income approach. The relief from royalty method requires assumptions regarding industry economic factors and future profitability. While no impairment was identified as of April 30, 2020 as a result of these tests, $370.0 million of our indefinite-lived trademarks could be deemed to have a risk of future impairment as there is limited excess fair value over the carrying value of the assets at April 30, 2020. During the second quarter of 2020, we conducted a review to assess whether indicators of impairment existed. As a result of this review, we concluded that no indicators existed that would make management believe it is more likely than not that the fair value of its goodwill or indefinite-lived trademarks is less than its carrying value. The continued impact of the COVID-19 pandemic could give rise to global and regional macroeconomic factors that could impact our assumptions relating to net sales growth rates, discount rates, tax rates or royalty rates and may result in future impairment charges for indefinite-lived intangible assets.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cash and available capacity under our revolving credit facility to meet our liquidity needs. As of July 31, 2020, we had cash of approximately $252.8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Renewal</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August 2020, we renewed our license agreements with Levi Strauss &amp; Co. for the Levi’s and Dockers brands. These licenses have been renewed through November 30, 2024 and cover men’s and women’s outerwear under the Levi’s brand and men’s outerwear under the Dockers brand.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own proprietary brands include DKNY, Donna Karan, Vilebrequin, G.H. Bass, Eliza J, Jessica Howard, Andrew Marc and Marc New York.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the international sales and profit opportunity is quite significant for our DKNY and Donna Karan businesses. We are also expanding our DKNY business globally through our distribution partners in key regions. The key markets in which our DKNY merchandise is currently distributed include the Middle East, Russia, Indonesia, the Philippines, South East Asia and South Korea, as well as in China where we operate through a joint venture. Continued growth, brand development and marketing in these key markets is critical to driving global brand recognition.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retail operations segment historically consisted primarily of direct sales to consumers through our company-operated stores. Prior to our restructuring of this segment, it was composed primarily of Wilsons Leather, G.H. Bass and DKNY stores, substantially all of which are operated as outlet stores, as well as a smaller number of Karl Lagerfeld Paris and Calvin Klein Performance stores. After completion of the restructuring, our retail operations segment will initially consist of DKNY and Karl Lagerfeld Paris stores, as well as the digital channels for DKNY, Donna Karan, Karl Lagerfeld Paris, Andrew Marc, Wilsons Leather and G.H. Bass. Our ongoing plan for our retail business focuses on the operations and growth of our DKNY and Karl Lagerfeld Paris stores, as well as our digital business. Our plan is based on the assumed continued strength of the DKNY and Karl Lagerfeld brands, improved store productivity, changes in planning and allocation and improvements in gross margin and payroll leverage.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 The effects of the COVID-19 pandemic have accelerated these trends.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sell our products over the web through retail partners such as macys.com and nordstrom.com, each of which has a substantial online business. As digital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digital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89" w:lineRule="exact"/>
        <w:rPr>
          <w:sz w:val="20"/>
          <w:szCs w:val="20"/>
          <w:color w:val="auto"/>
        </w:rPr>
      </w:pPr>
    </w:p>
    <w:p>
      <w:pPr>
        <w:jc w:val="center"/>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are experiencing financial difficulties, which in some cases have resulted in bankruptcies, liquidations and/or store closings, such as the announced store closing plans for Macy’s, the bankruptcy and announced liquidation of Lord &amp; Taylor, the announced bankruptcy filings of JC Penney, Neiman Marcus and other retailers and the potential bankruptcy of other retailers. The financial difficulties of a retail customer of ours could result in reduced business with that customer. We may also assume higher credit risk relating to receivables of a retail customer experiencing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Tariffs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followed an earlier proposal by the United States government that would have imposed 25% tariffs on the balance of inbound trade from China, but that were suspended pending trade negotiations with China. In January 2020, the U.S. and China signed their Phase One Deal that rolled back certain tariffs and postponed certain tariffs that had been scheduled to go into effect on December 15, 2020.</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It is difficult to accurately estimate the impact on our business from these tariff actions or similar actions or when additional tariffs may become effective. For fiscal 2019, approximately 61% of the products that we sold were manufactured in China. For fiscal 2020, approximately 50% of the products that we sold were manufactured in China.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Notwithstanding the Phase One Deal, the United States government continues to negotiate with China with respect to a trade deal, which could lead to the removal or postponement of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2020 compared to three months ended July 31, 2019</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July 31, 2020 decreased to $297.2 million from $643.9 million in the same period last year. Net sales of our segments are reported before intercompany eliminations.</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of our wholesale operations segment decreased to $266.8 million for the three months ended July 31, 2020 from $588.6 million in the comparable period last year. We experienced a significant decrease in net sales across substantially all of our brands due to the effects of restrictions on business and personal activities imposed by governments in connection with the COVID-19 pandemic. Most of our retail partners began to reopen a majority of their stores in North America beginning in June 2020, including our largest customer, Macy’s. However, a majority of these stores continue to operate under government mandated social distancing restrictions as the COVID-19 pandemic continues to spread across large portions of North America. The governmental restrictions imposed in connection with the COVID-19 pandemic have resulted in significant increases in unemployment, a reduction in business activity and a reduction in consumer spending on apparel and accessories, all of which contributed to the reduction of our net sales which occurred throughout the three month period.</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of our retail operations segment were $34.5 million for the three months ended July 31, 2020 compared to $83.7 million in the same period last year. This decrease primarily reflected the closure of our retail stores in March 2020. Our stores did not begin to reopen until June 2020. In addition, there was reduced demand as a result of disruptions related to COVID-19. Same store sales decreased across all store brands due to the COVID-19 related store closures. In addition, the decrease in domestic and international tourism resulting from COVID-19 travel restrictions also had a negative impact on net sales of our retail operations segment. As we began the restructuring of our retail operations segment during the current period, net sales were also negatively impacted by significant promotional activity from liquidation sales. Net sales of our retail operations segment were also negatively affected by the decrease in the number of stores operated by us from 292 at July 31, 2019 to 247 at July 31, 2020. The number of retail stores operated by us and, as a result, the net sales of our retail operations segment will be reduced significantly as a result of the restructuring of our retail operations segment.</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profit was $134.7 million, or 45.3% of net sales, for the three months ended July 31, 2020, compared to $231.8 million, or 36.0% of net sales, in the same period last year. The gross profit percentage in our wholesale operations segment was 46.3% in the three months ended July 31, 2020 compared to 32.8% in the same period last year. The gross profit percentage for our wholesale segment was positively impacted by the reversal of previously anticipated markdown accruals that are no longer necessary due to the reduction in sales to our retail customers. In addition, there was a reversal of a portion of previously accrued royalty expense associated with royalty reductions provided by licensors. The gross profit percentage in our retail operations segment was 32.5% for the three months ended July 31, 2020 compared to 46.5% for the same period last year. The gross profit percentage for our retail segment was negatively impacted by the reduction of our net sales caused by COVID-19 related closures of our retail stores, increased promotional activity due to the COVID-19 pandemic and the restructuring of our retail operations segment.</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decreased to $122.1 million in the three months ended July 31, 2020 from $196.4 million in the same period last year. The decrease in expenses was primarily due to a decrease of $55.9 million in personnel costs including salaries, bonus, share-based compensation and other incentives and benefits as a result of employee furloughs and job eliminations, as well as salary reductions implemented by us in response to the impact of the COVID-19 pandemic on our operations. In addition, there were decreases of $9.6 million in advertising and $6.6 million in third-party warehouse expenses. Selling, general and administrative expenses will be further reduced as a result of the restructuring of our retail operations segment. This reduction is expected to be offset, in part, as we bring back furloughed employees in our wholesale operations segment as we respond to the re-opening of the U.S. economy.</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was $9.7 million for the three months ended July 31, 2020 compared to $9.8 million in the same period last year.</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income was $1.9 million in the three months ended July 31, 2020 compared to an other loss of $0.8 million for the same period last year. This change is primarily the result of recording $1.5 million of foreign currency income during the three months ended July 31, 2020 compared to foreign currency losses of $0.4 million during the three months ended July 31, 2019. In addition, we recorded $0.4 million in income from unconsolidated affiliates during the three months ended July 31, 2020 compared to $0.4 million of losses from unconsolidated affiliates in the same period last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and financing charges, net, for the three months ended July 31, 2020 were $9.2 million compared to $10.8 million for the same period last year. Borrowings were lower in the three months ended July 31, 2020 compared to the second quarter of fiscal 2020 due to reduced inventory purchases this year. Further, interest rates were lower during the three months ended July 31, 2020 as compared to the same period last year.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benefit was $3.7 million for the three months ended July 31, 2020 compared to income tax expense of $4.3 million for the same period last year primarily due to our net loss position resulting from the significant decrease in net sales due to the effects of the COVID-19 pandemic. Our effective tax rate decreased to 19.6% in the current year’s quarter from 27.7% in last year’s comparable quarter primarily due to a U.S. federal net operating loss carryback to a tax year with a 35% federal tax rate compared to the current federal tax rate of 21% as well as a decrease in excess tax benefits in connection with the vesting of equity awards.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July 31, 2020 compared to six months ended July 31, 2019</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sales for the six months ended July 31, 2020 decreased to $702.3 million from $1.28 billion in the same period last year. Net sales of our segments are reported before intercompany eliminations.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of our wholesale operations segment decreased to $645.7 million for the six months ended July 31, 2020 from $1.16 billion in the comparable period last year.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including our largest customer, Macy’s. Most of our retail partners began to reopen a majority of their stores in North America beginning in June 2020. However, a majority of these stores continue to operate under governmental mandated social distancing restrictions as the COVID-19 pandemic continues to spread across large portions of North America. The governmental restrictions imposed in connection with the COVID-19 pandemic have resulted in significant increases in unemployment, a reduction in business activity and a reduction in consumer spending on apparel and accessories, all of which contributed to the reduction of our net sales which occurred during the majority of the six month period.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of our retail operations segment were $68.4 million for the six months ended July 31, 2020 compared to $165.6 million in the same period last year. This decrease primarily reflected the closure of our retail stores in March 2020. Our stores did not begin to reopen until June 2020. In addition, there was reduced demand as a result of disruptions related to COVID-19. Same store sales decreased across all store brands due to the COVID-19 related store closures and reduced store traffic. In addition, the decrease in domestic and international tourism resulting from COVID-19 travel restrictions also had a negative impact on net sales of our retail operations segment. As we began the restructuring of our retail operations segment during the second quarter of the current year, net sales were also negatively impacted by significant promotional activity from liquidation sales. Net sales of our retail operations segment were also negatively affected by the decrease in the number of stores operated by us from 292 at July 31, 2019 to 247 at July 31, 2020. The number of retail stores operated by us and, as a result, the net sales of our retail operations segment will be reduced significantly as a result of the restructuring of our retail operations segment.</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profit was $259.1 million, or 36.9% of net sales, for the six months ended July 31, 2020, compared to $467.8 million, or 36.6% of net sales, in the same period last year. The gross profit percentage in our wholesale operations segment was 36.5% in the six months ended July 31, 2020 compared to 33.8% in the same period last year. The gross profit percentage for our wholesale segment was positively impacted by the reversal of previously anticipated markdown accruals that are no longer necessary due to the reduction in sales to our retail customers. This positive impact was partially offset by the impact of the COVID-19 pandemic resulting in the recognition of certain fixed costs, primarily higher effective royalty rates, over a reduced sales base. The gross profit percentage in our retail operations segment was 34.2% for the six months ended July 31, 2020 compared to 45.8% for the same period last year. The gross profit percentage for our retail segment was negatively impacted by the reduction of our net sales caused by COVID-19 related closures of our retail stores, increased promotional activity due to the COVID-19 pandemic and the restructuring of our retail operations segment.</w:t>
      </w:r>
    </w:p>
    <w:p>
      <w:pPr>
        <w:spacing w:after="0" w:line="192" w:lineRule="exact"/>
        <w:rPr>
          <w:sz w:val="20"/>
          <w:szCs w:val="20"/>
          <w:color w:val="auto"/>
        </w:rPr>
      </w:pPr>
    </w:p>
    <w:p>
      <w:pPr>
        <w:jc w:val="center"/>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to $276.7 million in the six months ended July 31, 2020 from $398.3 million in the same period last year. The decrease in expenses was primarily due to a decrease of $92.5 million in personnel costs including salaries, bonus, share-based compensation and other incentives and benefits as a result of employee furloughs and job eliminations, as well as salary reductions implemented by us in response to the impact of the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COVID-19 pandemic on our operations. In addition, there were decreases of $19.7 million in advertising, $3.0 million in rent and facility costs and $9.4 million in third-party warehouse expenses. These decreases were offset, in part, by a $10.4 million increase in bad debt expense primarily related to allowances recorded against the outstanding receivables of certain department store customers that have publicly announced bankruptcy filings or potential bankruptcy filings. Selling, general and administrative expenses will be further reduced as a result of the restructuring of our retail operations segment. This reduction is expected to be offset, in part, as we bring back furloughed employees in our wholesale operations segment as we respond to the re-opening of the U.S. economy.</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was $19.6 million for the six months ended July 31, 2020 compared to $19.3 million in the same period last year. The increase in expense is due to capital expenditures during the last twelve months.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loss was $0.1 million in the six months ended July 31, 2020 compared to $1.4 million for the same period last year. This decrease is primarily the result of recording $0.1 million of foreign currency income during the six months ended July 31, 2020 compared to $1.0 million of foreign currency losses during the six months ended July 31, 2019. In addition, we recorded $0.2 million in losses from unconsolidated affiliates during the six months ended July 31, 2020 compared to $0.4 million of losses from unconsolidated affiliates in the same period last year.</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and financing charges, net, for the six months ended July 31, 2020 were $19.6 million compared to $21.1 million for the same period last year. Average borrowings were higher in the six months ended July 31, 2020 than in the same period last year due to our $500 million in borrowings under our revolving credit facility during March 2020 as a precautionary measure to maintain our financial liquidity during the COVID-19 pandemic. Interest rates were lower during the six month ended July 31, 2020 as compared to the same period last year.</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benefit was $20.1 million for the six months ended July 31, 2020 compared to income tax expense of $6.8 million for the same period last year primarily due to our net loss position resulting from the significant decrease in net sales due to the effects of the COVID-19 pandemic. Our effective tax rate increased to 27.0% in the current year’s quarter from 22.7% in last year’s comparable quarter primarily due to a U.S. federal net operating loss carryback to a tax year with a 35% federal tax rate compared to the current federal tax rate of 21% as well as a decrease in excess tax benefits in connection with the vesting of equity awards.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Historically, we calculated our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we have used a discrete effective tax rate method to calculate taxes for the three-month period ended July 31, 2020. We will continue to evaluate income tax estimates under the historical method in subsequent quarters and employ a discrete effective tax rate method if warranted.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Requirements and Trends and Uncertainties Affecting Liquidity</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rely on our cash flows generated from operations and the borrowing capacity under our revolving credit facility to meet the cash requirements of our business. The primary cash requirements of our business usually are the seasonal buildup in inventories, compensation paid to employees, payments to vendors in the normal course of business, capital expenditures, maturities of debt and related interest payments and income tax payments. The rapid expansion of the COVID-19 pandemic resulted in a sharp decline in net sales and earnings in the six months of fiscal 2021, which has a corresponding impact on our liquidity. We are focused on preserving our liquidity and managing our cash flow during these unprecedented conditions. We have taken preemptive actions to enhance our ability to meet our short-term liquidity needs including, but not limited to, reducing payroll costs through employee furloughs, job eliminations, salary reductions, reductions in discretionary expenses, deferring certain lease payments and deferral of capital projects. In addition, we are closely monitoring our inventory needs and we are working with our suppliers to curtail, or cancel, production of product that we believe will not be able to be sold in season. We have also been working with our suppliers, landlords and licensors to renegotiate related agreements and extend payment terms in order to preserve capital.</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July 31, 2020, we had cash and cash equivalents of $252.8 million. As of July 31, 2020, we were in compliance with all covenants under our term loan and revolving credit facility.</w:t>
      </w:r>
    </w:p>
    <w:p>
      <w:pPr>
        <w:sectPr>
          <w:pgSz w:w="11900" w:h="16838" w:orient="portrait"/>
          <w:cols w:equalWidth="0" w:num="1">
            <w:col w:w="9019"/>
          </w:cols>
          <w:pgMar w:left="1440" w:top="513"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be sure that our assumptions used to estimate our liquidity requirements will remain accurate due to the unprecedented nature of the disruption to our operations and the unpredictability of the COVID-19 outbreak. As a result, the impact of COVID-19 on our future earnings and cash flows could continue to have a material impact on our results of operations and financial condition depending on the duration and scope of the COVID-19 pandemic. We believe we have sufficient cash and available borrowings for our foreseeable liquidity needs.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August 7, 2020, we refinanced our term loan and revolving credit facility. See “Recent Developments.”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are party to a five-year senior secured credit facility providing for borrowings in the aggregate principal amount of up to $650 million (the “revolving credit facility”).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Amounts available under the revolving credit facility are subject to borrowing base formulas and over advances as specified in the revolving credit facility.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Borrowers’ availability under the revolving credit facility . As of July 31, 2020, interest under the revolving credit facility was being paid at the weighted average rate of 2.06% per annum. The revolving credit facility is secured by specified assets of us and certain of our subsidiaries.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any outstanding borrowings under the revolving credit facility, we are required to pay a commitment fee to the lenders under the revolving credit facility with respect to the unutilized commitments. The commitment fee shall accrue at a rate equal to 0.25% per annum on the average daily amount of the available commitment.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our ability, subject to specified exceptions, to incur additional debt; incur liens; sell or dispose of certain assets; merge with other companies; liquidate or dissolve G-III; acquire other companies; make loans, advances, or guarantees; and make certain investments. In certain circumstances, the revolving credit facility also requires us to maintain a fixed charge coverage ratio, as defined in the agreement, which may not be less than 1.00 to 1.00 for each period of twelve consecutive fiscal months. As of July 31, 2020, we were in compliance with these covenants.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1, 2016, we borrowed $350 million under a senior secured term loan facility (the “Term Loan”). Additionally, on December 1, 2016, we prepaid $50 million in principal amount of the Term Loan, reducing the principal balance of the Term Loan to $300 million. The Term Loan will mature in December 2022.</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80" w:hanging="230"/>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published by the Wall Street Journal from time to time, (ii) the federal funds rate plus 0.5% and</w:t>
      </w:r>
    </w:p>
    <w:p>
      <w:pPr>
        <w:spacing w:after="0" w:line="9" w:lineRule="exact"/>
        <w:rPr>
          <w:rFonts w:ascii="Times New Roman" w:cs="Times New Roman" w:eastAsia="Times New Roman" w:hAnsi="Times New Roman"/>
          <w:sz w:val="18"/>
          <w:szCs w:val="18"/>
          <w:color w:val="auto"/>
        </w:rPr>
      </w:pPr>
    </w:p>
    <w:p>
      <w:pPr>
        <w:ind w:left="60" w:right="59" w:hanging="10"/>
        <w:spacing w:after="0" w:line="260"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for a borrowing with an interest period of one month) plus 4.25%, per annum, payable in cash. As of July 31, 2020, interest under the Term Loan was being paid at the average rate of 6.45% per annum.</w:t>
      </w:r>
    </w:p>
    <w:p>
      <w:pPr>
        <w:spacing w:after="0" w:line="1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 Loan is secured (i) on a first-priority basis by a lien on, among other things, our real estate assets, equipment and fixtures, equity interests and intellectual property and certain related rights owned by us and by certain of our subsidiaries and (ii) by a second-priority security interest in our and certain of our subsidiaries other assets, which will secure on a first-priority basis our revolving credit facility.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Term Loan is required to be prepaid with the proceeds of certain asset sales if such proceeds are not applied as required by the agreement within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ectPr>
          <w:pgSz w:w="11900" w:h="16838" w:orient="portrait"/>
          <w:cols w:equalWidth="0" w:num="1">
            <w:col w:w="9019"/>
          </w:cols>
          <w:pgMar w:left="1440" w:top="513"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Term Loan contains covenants that, among other things, restrict our ability, subject to certain exceptions, to incur additional debt; incur liens; sell or dispose of certain assets; merge with other companies; liquidate or dissolve G-III; acquire other companies; make loans, advances, or guarantees; and make certain investments. As described above, the Term Loan also includes a mandatory prepayment provision with respect to Excess Cash Flow. A first lien leverage covenant requires the Company to maintain a level of debt to EBITDA at a ratio as defined in the term loan agreement. As of July 31, 2020, we were in compliance with these covenants.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1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is being amortized as interest expense using the effective interest method over the term of the LVMH Note.</w:t>
      </w:r>
    </w:p>
    <w:p>
      <w:pPr>
        <w:spacing w:after="0" w:line="1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16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April 15, 2019, T.R.B. International SA (“TRB”), a subsidiary of Vilebrequin, borrowed €3.0 million under an unsecured loan (the “2019 Unsecured Loan”). During the term of the 2019 Unsecured Loan, TRB is required to make quarterly installment payments of €0.2 million. Interest on the outstanding principal amount of the 2019 Unsecured Loan accrues at a fixed rate equal to 1.50% per annum, payable quarterly. The 2019 Unsecured Loan originally matured on April 15, 2024. Due to the COVID-19 pandemic, the bank agreed to amend the 2019 Unsecured Loan to suspend the March and June 2020 quarterly installment payments and add these payments to the balance due at the end of the loan term. The 2019 Unsecured Loan now matures on September 15, 2024.</w:t>
      </w:r>
    </w:p>
    <w:p>
      <w:pPr>
        <w:spacing w:after="0" w:line="12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3, 2020, TRB borrowed €1.7 million under another unsecured loan (the “February 2020 Unsecured Loan”). During the term of the February 2020 Unsecured Loan, TRB is required to make quarterly installment payments of €0.1 million. Interest on the outstanding principal amount of the February 2020 Unsecured Loan accrues at a fixed rate equal to 1.50% per annum, payable quarterly. The February 2020 Unsecured Loan originally matured on March 31, 2025. Due to the COVID-19 pandemic, the bank agreed to amend the February 2020 Unsecured Loan to suspend the June 2020 quarterly installment payment and add this payment to the balance due at the end of the loan term. The February 2020 Unsecured Loan now matures on June 30, 2025.</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June 12, 2020, a subsidiary of TRB borrowed €1.5 million under a French state backed loan provided by UBS Bank (the “June 2020 Unsecured Loan”) as part of a COVID-19 relief program. The June 2020 Unsecured Loan provides for an initial one year term with the option to extend the term by an additional one to five years at the end of the initial term. The June 2020 Unsecured Loan requires no interest or principal payments during the initial term of the agreement.</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July 31, 2020, TRB had an aggregate €3.1 million drawn across these various facilities.</w:t>
      </w:r>
    </w:p>
    <w:p>
      <w:pPr>
        <w:sectPr>
          <w:pgSz w:w="11900" w:h="16838" w:orient="portrait"/>
          <w:cols w:equalWidth="0" w:num="1">
            <w:col w:w="9019"/>
          </w:cols>
          <w:pgMar w:left="1440" w:top="513"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usually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no borrowings outstanding under our revolving credit facility at July 31, 2020 and had $160 million of borrowings outstanding at July 31, 2019. We borrowed $500 million in March 2020 as a precautionary measure in connection with disruptions caused by the COVID-19 pandemic and repaid an aggregate of $500 million of those borrowings in May and June 2020. In addition, we had $300 million in borrowings outstanding under the Term Loan at both July 31, 2020 and 2019. Our contingent liability under open letters of credit was approximately $10.4 million and $13.4 million at July 31, 2020 and 2019, respectively. In addition to the amounts outstanding under these two loan agreements, at July 31, 2020 and 2019, we had $125.0 million of face value principal amount outstanding under the LVMH Note. As of July 31, 2020, we also had €5.7 million ($6.4 million) outstanding under the 2019, February 2020 and June 2020 Unsecured Loans and €3.1 million ($3.5 million) outstanding under the Overdraft Facilities.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had cash and cash equivalents of $252.8 million on July 31, 2020 and $39.6 million on July 31, 2019.</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July 31, 2020. We have 2,949,362 authorized shares remaining under this program. As of September 4, 2020, we had 48,358,688 shares of common stock outstanding.</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generated $59.8 million of cash from operating activities during six months ended July 31, 2020, primarily due to decreases of $253.6 million in accounts receivable, $25.1 million in prepaid expenses and other current assets and non-cash charges relating primarily to operating lease costs of $44.7 million, asset impairment charges of $20 million and depreciation and amortization of $19.6 million. These items were offset, in part, by our net loss of $54.3 million, and decreases of $118 million in customer refund liabilities, $55.9 million in accounts payable, accrued expenses and other liabilities, and $37.8 million in operating lease liabilities. In addition, we had a non-cash charge of $16.4 million in deferred income taxes.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Inventory normally increases for the build-up of inventory for the fall shipping season. Due to the COVID-19 pandemic, inventory purchasing was at a lower volume than in prior years. As a result, accounts payable decreased due to the lower volume of inventory purchases resulting from the COVID-19 pandemic. Our accounts receivable and customer refund liabilities decreased because we experience lower sales levels in our first and second quarters than in our third and fourth quarters. The COVID-19 pandemic exacerbated these trends in the second quarter.</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used $13.1 million of cash in investing activities during six months ended July 31, 2020 for capital expenditures and initial direct costs of operating lease assets. Capital expenditures in the period primarily related to infrastructure and information technology expenditures and additional fixturing costs at department stores prior to the onset of the COVID-19 pandemic. Operating lease assets initial direct costs in the period primarily related to payments of key money and broker fees.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$6.9 million during six months ended July 31, 2020 primarily as a result of the proceeds of $7.1 million in borrowings under our unsecured loans and overdraft facilities during the first and second quarters of fiscal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accounting policies and related estimates described in our Annual Report on Form 10-K for the year ended January 31, 2020 are those that depend most heavily on these judgments and estimates. As of July 31, 2020, there have been no material changes to our critical accounting policies, other than the adoption ASU 2016-13 as discussed in Note 3 to the condensed consolidated financial statements included in this Quarterly Report on Form 10-Q.</w:t>
      </w:r>
    </w:p>
    <w:p>
      <w:pPr>
        <w:spacing w:after="0" w:line="176"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disclosure made with respect to these matters in our Annual Report on Form 10-K for the year ended January 31, 2020.</w:t>
      </w:r>
    </w:p>
    <w:p>
      <w:pPr>
        <w:spacing w:after="0" w:line="158"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the following risk factors should be carefully considered in evaluating our business. The following risk factors serve as an update to and supersede the risk factors contained in “Item 1A. Risk Factors” in our Annual Report on Form 10-K for the year ended January 31, 2020 and in “Item 1A.-Risk Factors” in our Quarterly Report on Form 10-Q for the quarter ended April 30, 2020, and also include additional risk factors related to the refinancing of our term loan and revolving credit facility that occurred in early August 2020. These risk factors could materially affect our business, financial condition and/or future results. The risks described in this Quarterly Report on Form 10-Q are not the only risks facing our company. Additional risks and uncertainties not currently known to us or that we currently deem to be immaterial also may materially adversely affect our business, financial condition and/or future results.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global health crisis caused by the COVID-19 pandemic has had, and the current and uncertain future outlook of the outbreak will likely continue to have, a significant adverse effect on our business, financial condition and results of operations.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Outbreaks of COVID-19 were detected beginning in December 2019 and, in March 2020, the World Health Organization declared COVID-19 a pandemic. The President of the United States has declared a national emergency as a result of the COVID-19 pandemic.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COVID-19 pandemic has had, and will likely continue to have, a significant adverse effect on our business, financial condition, and results of operations. The effects of COVID-19 could affect our ability to successfully operate in many ways, including, but not limited to, the following factors:</w:t>
      </w:r>
    </w:p>
    <w:p>
      <w:pPr>
        <w:spacing w:after="0" w:line="176" w:lineRule="exact"/>
        <w:rPr>
          <w:sz w:val="20"/>
          <w:szCs w:val="20"/>
          <w:color w:val="auto"/>
        </w:rPr>
      </w:pPr>
    </w:p>
    <w:p>
      <w:pPr>
        <w:jc w:val="both"/>
        <w:ind w:left="380" w:right="79" w:hanging="330"/>
        <w:spacing w:after="0" w:line="255"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the economies and financial markets of the countries and regions in which we operate, including a potential global recession, a decline in consumer confidence and spending, or a further increase in unemployment levels, has resulted, and could continue to result, in consumers having less disposable income and, in turn, decreased sales of our products;</w:t>
      </w:r>
    </w:p>
    <w:p>
      <w:pPr>
        <w:spacing w:after="0" w:line="2"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 in place” and other similar mandated or suggested isolation protocols, which have disrupted, and could continue to disrupt, brick-and-mortar retailers, including stores operated by us, as a result of store closures or reduced operating hours and decreased retail traffic;</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debt and equity on attractive terms, or at all, and a severe disruption and instability in the global financial markets or deteriorations in credit and financing conditions may affect our ability to access capital necessary to operate our business</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disruption of our business may impact our ability to satisfy the terms of our Amended ABL Facility, including the covenants contained in that agreement, which could constitute an event of default under the terms we expect under the Amended ABL Facility, which may result in an acceleration of payment under that agreement;</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attempting to reduce operating costs and conserve cash;</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rent and other relief from our landlords with respect to closed retail stores, which may involve litigation or other disruptions;</w:t>
      </w:r>
    </w:p>
    <w:p>
      <w:pPr>
        <w:ind w:left="380" w:right="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wholesale customers to whom we extend credit to pay amounts owed to us on time, or at all, particularly if such customers are significantly impacted by COVID-19;</w:t>
      </w:r>
    </w:p>
    <w:p>
      <w:pPr>
        <w:jc w:val="both"/>
        <w:ind w:left="380" w:right="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promotional retail environment or our ability to move existing inventory, which may cause us to lower our prices, sell existing inventory at larger discounts than in the past, or write-down the value of inventory, and increase the costs and expenses of updating and replacing inventory, negatively impacting our margins;</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65"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even after the pandemic has initially subsided, social distancing measures and general consumer behaviors due to the COVID-19 pandemic may continue to impact mall and store traffic and the fear of COVID-19 re-occurrence</w:t>
      </w: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spacing w:after="0" w:line="261" w:lineRule="auto"/>
        <w:rPr>
          <w:sz w:val="20"/>
          <w:szCs w:val="20"/>
          <w:color w:val="auto"/>
        </w:rPr>
      </w:pPr>
      <w:r>
        <w:rPr>
          <w:rFonts w:ascii="Times New Roman" w:cs="Times New Roman" w:eastAsia="Times New Roman" w:hAnsi="Times New Roman"/>
          <w:sz w:val="18"/>
          <w:szCs w:val="18"/>
          <w:color w:val="auto"/>
        </w:rPr>
        <w:t>could cause customers to avoid public places, such as malls and outlets, where the retail stores of our wholesale customers and our stores are located;</w:t>
      </w:r>
    </w:p>
    <w:p>
      <w:pPr>
        <w:jc w:val="both"/>
        <w:ind w:left="380" w:right="7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number of personnel working offsite may make our business more vulnerable to cybersecurity breach attempts, and, this period of uncertainty could result in an increase in phishing and other scams, fraud, money laundering, theft and other criminal activity; and</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revise certain accounting estimates and judgments such as, but not limited to, those related to the valuation of goodwill, indefinite-lived intangible assets, long-lived assets and deferred tax assets, which could have a material adverse effect on our financial position and results of operations.</w:t>
      </w:r>
    </w:p>
    <w:p>
      <w:pPr>
        <w:spacing w:after="0" w:line="18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COVID-19 has had and is continuing to have a material adverse impact on our business, operating results and financial condition. The COVID-19 outbreak has impacted our worldwide sourcing operations in China and elsewhere. There is hardly anywhere in the world that is not being impacted by the effects of COVID-19. Travel within and between many countries has been restricted. The length of these travel restrictions is not certain at this time. Travel restrictions may impact our suppliers’ ability to obtain necessary materials and inhibit travel by our employees and our suppliers’ employees. As a result of any travel restrictions, potential factory closures, inability to obtain materials, disruptions in the supply chain and potential disruption of transportation of goods produced for us in China and other countries adversely impacted by the COVID-19 outbreak, or threat or perceived threat of such outbreak, we may be unable to obtain adequate inventory from these regions, which could adversely affect our business, results of operations and financial condition. Potential financial impacts associated with the outbreak include, but are not limited to, lower net sales in markets affected by the outbreak, the delay of inventory production and fulfillment, potentially impacting net sales, and potential incremental costs associated with mitigating the effects of the outbreak. In addition, we could be required to record increased excess and obsolete inventory reserves due to decreased sales or noncash impairment charges related to our intangible assets or goodwill due to reduced market values and cash flow. As our suppliers open their factories for production, we will need to balance the production orders given to these factories against the demand for our products in the United States.</w:t>
      </w:r>
    </w:p>
    <w:p>
      <w:pPr>
        <w:spacing w:after="0" w:line="19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Restrictions on travel and group gatherings, the closing of restaurants, sports leagues and all forms of communal entertainment and the fear of contracting COVID-19 has materially adversely affected store traffic and retail sales. Many retail store chains and shopping malls closed their store operations beginning in March 2020 and have only recently begun to reopen on a limited basis. Certain states and cities reacted to the COVID-19 pandemic by instituting quarantines, restrictions on travel, “shelter in place” rules and phased reopenings. While some of these restrictions have since expired, others have recently been reinstated in certain states or cities which saw a new spike in COVID-19 cases. Such restrictions could continue to be reinstated in the same or other areas as COVID-19 cases increase which could result in additional retail store restrictions or closures. The restrictions imposed as a result of the COVID-19 outbreak and the closing of retail stores in connection with the outbreak are causing a significant adverse effect on the economy in the United States and around the world. If the retail economy continues to weaken and/or consumers continue to reduce purchases in the near or long-term as a result of the negative effects of on the U.S. and worldwide economies caused by COVID-19, retailers may need to further reduce or limit store operations, close additional stores and be more cautious with orders. A slowing or changing economy as a result of the COVID-19 outbreak and the governmental restrictions imposed in the United States and around the world as a result thereof would adversely affect the financial health of our retail, distributor and joint venture partners, which in turn could have an adverse effect on our business, results of operations and financial condition. If economic conditions caused by the COVID-19 outbreak worsen and our earnings and operating cash flows do not begin to recover, this could impact our ability to maintain compliance with our debt covenants and Amended ABL Facility. If we are not able to obtain such modifications on acceptable terms, this would lead to an event of default and, if not cured timely, our lenders could require us to repay our outstanding debt. In that situation, we may not be able to raise sufficient debt or equity capital, or divest assets, to refinance or repay lenders.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COVID-19 pandemic is ongoing, and its dynamic nature, including uncertainties relating to the geographic spread of the virus, the severity of the disease, the duration of the outbreak, and the restrictive actions that are being taken by governmental authorities in the United States and around the world to contain the outbreak or to treat its impact makes it difficult to forecast its effects on our fiscal 2021 results. Our results of operations for the first and second quarters of fiscal 2021 reflected some of the impacts of the COVID-19 pandemic and we expect that the balance of fiscal 2021 will likely reflect further impacts. It is difficult, if not impossible, at this time to predict the magnitude of the effect of the COVID-19 outbreak on our business and results of operations. However, we expect our results for fiscal 2021 to be materially adversely affected compared to fiscal 2020 as a result of the impact of COVID-19.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Our Wholesale Operations</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our material license agreements could cause us to lose significant revenues and have a material adverse effect on our results of operations.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dependent on sales of licensed products for a substantial portion of our revenues. In fiscal 2020, net sales of licensed product accounted for 59.4% of our net sales compared to 57.4% of our net sales in fiscal 2019 and 58.6% of our net sales in fiscal 2018.</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generally required to achieve specified minimum net sales, make specified royalty and advertising payments and receive prior approval from the licensor as to all design and other elements of each product prior to production. License agreements also may restrict our ability to enter into other license agreements for competing products or acquire businesses that produce competing products without the consent of the licensor. If we do not satisfy any of the material requirements of a license agreement or receive approval with respect to a restricted transaction, a licensor will usually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option, there are usually minimum net sales and other conditions that must be met in order to be able to renew. If a license does not contain a renewal option, and we desire to renew the license, we must negotiate renewal terms with the licensor. However, even if we comply with all of the terms of a license agreement, we cannot guarantee that we will be able to renew an agreement when it expires even if we desire to do so. The failure to maintain or renew our material license agreements could cause us to lose significant revenue and have a material adverse effect on our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the strategies and reputation of our licensors.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In addition to granting us a license to produce and sell products, our licensors typically produce and sell their own products and may also grant licenses to third parties to produce and sell products.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Further, we are unable to control the quality of the products produced by our licensors and their other licensees. If they do not maintain the quality of their goods, the brand image may be adversely affected, which could also affect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change in our relationship with PVH and its Calvin Klein or Tommy Hilfiger brands would have a material adverse effect on our results of operations.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January 31, 2020, we have ten different license agreements relating to a variety of products sold under the Calvin Klein brand that is owned by PVH. We have three different license agreements for products sold under the Tommy Hilfiger brand, which is also owned by PVH. Net sales of these two brands owned by PVH constituted approximately 50% of our net sales in fiscal 2020 and approximately 46% of our net sales in fiscal 2019. Any adverse change in our relationship with PVH, or in the reputation of Calvin Klein or Tommy Hilfiger, would have a material adverse effect on our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success of our products could be harmed if we are unable to maintain or enhance the images of our proprietary brands.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growth of our proprietary brands, their favorable images and our customers’ connection to our brands has contributed to our success. The ownership of the DKNY and Donna Karan brands expanded our portfolio of proprietary brands that also includes G.H. Bass, Vilebrequin and Andrew Marc, among others. In addition, brand value is based in part on consumer perceptions of a variety of qualities, including merchandise quality and corporate integrity. Negative claims or publicity regarding G-III, our brands, our products or the failure, on the part of the Company or our employees, to maintain the safety, integrity and ethics standards that we set for our operations, as well as those expected of members of our industry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Any harm to our brands or reputation could adversely affect our business, results of operations or financial condition.</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customer concentration, and the loss of one of our large customers could adversely affect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ten largest customers, all of which are department or discount store groups, accounted for approximately 72.4% of our net sales in fiscal 2020, 69.7% of our net sales in fiscal 2019 and 63.2% of our net sales in fiscal 2018, with the Macy’s Inc. group accounting for approximately 26.3% of our net sales in fiscal 2020, 24.8% of our net sales in fiscal 2019 and 22.2% of our net sales in fiscal 2018. In addition, TJX Companies accounted for approximately 13.2% of our net sales in fiscal 2020 and 12.4% of our net sales in fiscal 2019. We expect that these customers will continue to provide a significant percentage of our sales as they are important customers of our products. Macy’s has announced that it intends to close approximately 125 stores over the next three years. According to Macy’s these closures represent approximately 25% of its locations and approximately 6% of its annual revenues. Reductions in store count by Macy’s or other large retailers could adversely affect our sales.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miscalculate the market for our products, we may end up with significant excess inventories for some products and missed opportunities for others.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often produce products to hold in inventory in order to meet our customers’ delivery requirements and to be able to quickly fulfill reorders. If we misjudge the market for our products, we may be faced with significant excess inventories for some products and missed opportunities for others. In addition, weak sales and resulting markdown requests from customers could have a material adverse effect on our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Retail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restructuring of our retail operations segment.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2020, we announced a restructuring of our retail operations segment, including the closing of all Wilsons Leather and G.H. Bass stores. Additionally, we will close our Calvin Klein Performance stores. We have hired Hilco Global to assist in the liquidation of these stores. After completion of the restructuring, our retail operations segment will initially consist of DKNY and Karl Lagerfeld Paris stores, as well as the digital channels for DKNY, Donna Karan, Karl Lagerfeld Paris, Andrew Marc, Wilsons Leather and G.H. Bass. Part of our restructuring plan includes making significant changes to our DKNY and Karl Lagerfeld store operations.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this restructuring of our retail operations segment, we anticipate incurring an aggregate charge of approximately $100 million relating primarily to landlord termination fees, severance costs, store liquidation and closing costs, write-offs relating to right-of-use assets and professional fees. We expect the cash portion of this charge to be approximately $65 million. We may incur additional costs during fiscal 2021 until the restructuring is completed which may include, among other costs, additional severance, lease termination, inventory liquidation or non-cash asset impairment costs. Additional costs and impairment charges could materially exceed our estimates. In connection with the restructuring of our retail business, we negotiated the termination of leases for a majority of our retail stores in return for certain cash payments made to lessors. There can be no assurance that we would be able to negotiate termination of any other leases if we should desire to do so.</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indicated, part of our restructuring plan includes the liquidation of our retail inventory. The ability to liquidate our retail inventory is currently limited by COVID-19 restrictions on retail businesses. Even as these restrictions continue to be loosened, our ability to liquidate retail inventory will still be adversely affected by the reduction in the disposable income of consumers, the reduced desire and ability of consumers to spend on apparel and accessories and the general turbulent environment caused by the COVID-19 pandemic and its after effects. In addition, we will face significant competition in the marketplace as retailers are opening their stores and are expected to reduce prices significantly in order to sell their excess inventory resulting from store closures and other COVID-19 related restrictions that were put in place in mid-March and have only recently begun to be modified. All of these factors may result in the reduction in the net proceeds we receive from the liquidation of our inventory and in the increase in the time period we need to close our stores, both of which would have an adverse effect on our financial condition and results of operation.</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not be able to complete the restructuring of our retail operations segment, including the closing of the substantial majority of the stores we currently operate, in the timeframe, on the terms or in the manner we expect. Any of the foregoing could also result in the cost of the restructuring exceeding our estimates. If the actual restructuring costs or impairment charges exceed our estimates, this could adversely impact our business, operating results, financial position and cash flows.</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the announced restructuring involves numerous risks including, but not limited to:</w:t>
      </w:r>
    </w:p>
    <w:p>
      <w:pPr>
        <w:spacing w:after="0" w:line="207" w:lineRule="exact"/>
        <w:rPr>
          <w:sz w:val="20"/>
          <w:szCs w:val="20"/>
          <w:color w:val="auto"/>
        </w:rPr>
      </w:pPr>
    </w:p>
    <w:p>
      <w:pPr>
        <w:ind w:left="380" w:right="79" w:hanging="330"/>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bring back from furlough, hire or retain qualified personnel necessary for the orderly liquidation of inventory and closing of retail stores;</w:t>
      </w: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attrition beyond any planned reduction in workforce and/or a decrease in employee morale;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write-offs of assets or lease termination, store closing and severance costs;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the operations of the rest of our businesses and diversion of management’s attention away from our other businesses and operations;</w:t>
      </w: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contingent or other liabilities, including litigation arising in connection with the restructuring;</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impact on our business relationships or reputation including, but not limited to, potential relationships with customers, suppliers, vendors, lessors, licensors, licensees and employees; and</w:t>
      </w: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unintended negative consequences from changes to our business.</w:t>
      </w:r>
    </w:p>
    <w:p>
      <w:pPr>
        <w:sectPr>
          <w:pgSz w:w="11900" w:h="16838" w:orient="portrait"/>
          <w:cols w:equalWidth="0" w:num="1">
            <w:col w:w="9019"/>
          </w:cols>
          <w:pgMar w:left="1440" w:top="513" w:right="1440" w:bottom="1440" w:gutter="0" w:footer="0" w:header="0"/>
        </w:sectPr>
      </w:pP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any of these or other factors impair our ability to successfully implement the restructuring, we may not be able to realize other business opportunities as we may be required to spend additional time and incur additional expenses relating to the restructuring that otherwise would be used on the development and expansion of our other businesses, which could adversely impact our business, operating results, financial position and cash flows.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retail operations after completion of the restructuring may continue to incur losses if the significant revisions to our retail operations that we plan to implement do not significantly improve our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retail operations segment reported an operating loss of $83.8 million in the six months ended July 31, 2020, $74.6 million in fiscal 2020 and $49.0 million in fiscal 2019. After completion of the restructuring, this segment may continue to report operating losses for at least the next two to three years. Our ongoing plan focuses on the operations and growth of our DKNY and Karl Lagerfeld Paris stores, as well as operating our digital business. Our plan is based on the assumed continued strength of the DKNY and Karl Lagerfeld brands, improved store productivity, changes in planning and allocation and improvements in gross margin and payroll leverage. We expect to reduce corporate headcount, reduce administrative costs by leveraging functions such as IT, human resources and finance through the use of parent company personnel and reduce the impact of the cost of the warehouse used to support retail operations by also using that warehouse to support our wholesale businesses. We need to successfully implement this strategy in order to significantly reduce the losses in our retail operations with the goal of attaining profitability in our retail operations segment. If we are not successful in implementing and managing our plans with respect to operating our retail business after completion of the restructuring, we may not be able to achieve operating enhancements, sales growth and/or cost reductions, which could adversely impact our business, results of operations and financial condition.</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Restructuring of our retail operations resulted in our incurring charges for impairment of retail assets. We have recorded asset impairments in the past and may be required in the future to record impairments of fixed assets or right-of-use assets or incur other charges relating to our company-operated retail stores.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Impairment testing of our assets related to the operation of our retail stores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operating lease assets, right-of-use assets or other long-lived assets, write-downs of inventory, severance costs, lease termination costs or the loss of working capital, which could adversely impact our business and financial results. We recorded impairments related to our retail operations of $16.9 million, net of gain on lease modifications, in the six months ended July 31, 2020, $19.8 million, net of gain on lease modifications, in fiscal 2020, $2.8 million in fiscal 2019 and $6.5 million in fiscal 2018. We may be required to record additional impairments or other charges relating to restructuring our retail operations. The recording of additional impairments or other charges in the future may have a material adverse impact on our business, financial condition and/or future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of significant amounts of real estate exposes us to possible liabilities and losses.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183"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the outlet mall or the location of a particular store within the mall;</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tenants occupying space at the outlet mall;</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areas where the outlet malls are located;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generally or in a particular area where an outlet mall is located;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to online shopping;</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foreign shoppers in the United States;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advertising and promotional dollars spent on attracting consumers to outlet malls.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at our outlet stores are derived, in part, from the volume of traffic at the malls where our stores are located. In fiscal 2020, our outlet stores continued to experience a reduction in consumer traffic, which adversely affected the results of our retail operations segment. Beginning in fiscal 2021, traffic at all retail stores has been significantly adversely affected by the COVID-19 outbreak. Although stores have begun to re-open, we cannot predict if stores will be forced to close again, how long store closures would be as a result of additional outbreaks, whether additional outbreaks will affect purchases by consumers at retail stores or how large an effect the outbreak will have on retail sales volume.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retail stores depends on many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ability to successfully operate our retail stores depends on many factors, including, among others, our ability to:</w:t>
      </w:r>
    </w:p>
    <w:p>
      <w:pPr>
        <w:spacing w:after="0" w:line="225"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rent and tenant improvement allowances;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brand awareness, affinity and purchase intent in our markets;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increased sales and gross margins at our stores;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associates and field management;</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store associates and field management into our corporate culture;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supply sufficient inventory levels.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The retail business is intensely competitive and increased or new competition could have a material adverse effect on us.</w:t>
      </w:r>
    </w:p>
    <w:p>
      <w:pPr>
        <w:spacing w:after="0" w:line="24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retail industry is intensely competitive. We compete against a diverse group of retailers, including, among others, other outlet stores, department stores, specialty stores, warehouse clubs and online retailers. We also compete in particular markets with a number of retailers that specialize in the products that we sell. A number of different competitive factors could have a material adverse effect on our retail business, results of operations and financial condition including:</w:t>
      </w:r>
    </w:p>
    <w:p>
      <w:pPr>
        <w:spacing w:after="0" w:line="180"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27"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 including deep discount pricing by a broad range of retailers during periods of poor consumer confidence or economic instability;</w:t>
      </w: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product offerings by existing competitors;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new competitors into markets in which we operate retail stores;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competitors of innovative retail sales methods; and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consumer preference for online apparel purchases and innovations by online retailers such as Amazon.</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not be able to continue to compete successfully with our existing or new competitors, or be assured that prolonged periods of deep discount pricing by our competitors will not have a material adverse effect on our business.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business faces distinct risks, and our failure to successfully manage this business could have a negative impact on our profitability.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investing in our digital business and seeking to increase the amount of business derived from our digital operations. The successful operation and expansion of our digital business, as well as our ability to provide a positive shopping experience that will generate orders and drive subsequent visits, depends on operating an appealing digital platform and providing an efficient and uninterrupted operation of our order-taking and fulfillment operations. Risks associated with our digital business include:</w:t>
      </w:r>
    </w:p>
    <w:p>
      <w:pPr>
        <w:spacing w:after="0" w:line="183" w:lineRule="exact"/>
        <w:rPr>
          <w:sz w:val="20"/>
          <w:szCs w:val="20"/>
          <w:color w:val="auto"/>
        </w:rPr>
      </w:pPr>
    </w:p>
    <w:p>
      <w:pPr>
        <w:jc w:val="both"/>
        <w:ind w:left="380" w:right="79" w:hanging="330"/>
        <w:spacing w:after="0" w:line="257"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computer systems, including those of third-party vendors, that operate our digital sites including, among others, inadequate system capacity, computer viruses, human error, changes in programming, security breaches, system upgrades or migration of these services to new systems;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Internet or telecom service or power outages;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as well as delivery of merchandise to our customers on-time and without damage;</w:t>
      </w: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to customers on-time or to satisfy customers’ expectations;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issues;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adverse weather conditions;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federal, state and international regulations;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consumer privacy concerns and regulations.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Problems in any of these areas could result in a reduction in sales, increased costs and damage to our reputation and brands, which could adversely affect our business and results of operations.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on privacy continue to evolve, and place further limits on how we collect or use customer information could adversely affect our business.</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collect, store and process customer information primarily for marketing purposes and to improve the services we provide. There are numerous laws and regulations regarding privacy and the storage, sharing, use, processing, transfer, disclosure and protection of personal data, the scope of which is changing, subject to differing interpretations, and may be inconsistent between states within a country or between countries. For example, the European Union General Data Protection Regulation (“GDPR”) became effective on May 25, 2018, and has resulted and will continue to result in significantly greater compliance burdens and costs for companies with users and operations in the European Union (“EU”) and European Economic Area (“EEA”). Under GDPR, fines of up to 20 million Euros or 4% of a company’s annual global revenues, whichever is greater, can be imposed for violations. In addition, the California Consumer Privacy Act (“CCPA”) went into effect on January 1, 2020, and limits how we may collect, use, and process personal data of California residents. To comply with the CCPA, we made certain changes to our data processing practices and policies but it may require that we further modify our data processing practices and policies and incur substantial compliance-related costs and expenses. Non-compliance with these laws could result in penalties or significant legal liability. Although we make reasonable efforts to comply with all applicable laws and regulations, there can be no assurance that we will not be subject to regulatory action, including fines, in the event of non-compliance. If we fail to comply with these laws and regulations, we may additionally be subject to claims, or other obligations, as well as financial and reputational damage, which could impact our business, financial condition and results of operations. Any limitations imposed on the use of such customer information by federal, state, local or foreign governments, could have an adverse effect on our future marketing activities. Governmental focus on data security and/or privacy may lead to additional legislation or regulations. As a result, we may have to modify our business with the goal of further improving data security, which would result in increased expenses and operating complexity, or in ways that negatively affect our or our third-party service providers’ business, results of operations or financial condition. To the extent our, or our business partners’, security procedures and protection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 information prove to be insufficient or inadequate, we may become subject to litigation or other claims, fines, penalties or other obligations, which could expose us to liability and cause damage to our reputation, brand and results of operations.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rules relating to the processing of credit card payments. Failure to comply with these rules could result in an ability to process payments which would adversely affect our retail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 certain circumstances specified in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disruptive, costly and time-consuming remediation efforts. In addition, even if we comply with the Standard, there is no assurance that we will be protected from a security breach, which may materially affect our reputation and our ability to conduct our business.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Operation of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our key personnel, or are unable to attract key personnel, our business will be harmed.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183" w:lineRule="exact"/>
        <w:rPr>
          <w:sz w:val="20"/>
          <w:szCs w:val="20"/>
          <w:color w:val="auto"/>
        </w:rPr>
      </w:pPr>
    </w:p>
    <w:p>
      <w:pPr>
        <w:jc w:val="both"/>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expanded our business through acquisitions that could result in diversion of resources, an inability to integrate acquired operations and extra expenses. This could disrupt our business and adversely affect our financial condition.</w:t>
      </w:r>
    </w:p>
    <w:p>
      <w:pPr>
        <w:spacing w:after="0" w:line="13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 of our growth strategy is to pursue acquisitions. The negotiation of potential acquisitions as well as the integration of acquired businesses could divert our management’s time and resources. Acquired businesses may not be successfully integrated with our operations. We may not realize the intended benefits of an acquisition. We also might not be successful in identifying or negotiating suitable acquisitions, which could negatively impact our growth strategy. If acquisitions disrupt our operations, our business may suffer.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Acquisitions could also result in:</w:t>
      </w:r>
    </w:p>
    <w:p>
      <w:pPr>
        <w:spacing w:after="0" w:line="225"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cash expenditures;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issuances of equity securities;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and contingent liabilities;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profit margins;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intangibles and potential impairment of goodwill;</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management attention to other parts of our business;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expected financial results or reach business goals;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on human resources and related costs.</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of our operations through joint ventures. Joint ventures could fail to meet our expectations or cease to deliver anticipated benefits. There could also be disagreements with our joint venture partners that could adversely affect our interest a joint venture.</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own 49% in each of two joint ventures, one that licenses to G-III the right to produce and sell Karl Lagerfeld Paris products in the United States, Mexico and Canada and one that licenses the right to produce and sell DKNY and Donna Karan products in China. Effective October 1, 2020, we will own 75% of the joint venture that licenses DKNY and Donna Karan products in China. We may enter into additional joint ventures in the future. Joint ventures involve numerous risks, and could fail to meet our initial or ongoing expectations.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continue to grow.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continued growth of our business, including as a result of acquisitions, depends on our access to sufficient funds to support our growth. Our primary source of working capital to support the growth of our operations is our ABL Credit Agreement which extends to August 2025 and replaced our revolving credit facility. Our growth is dependent on our ability to continue to be able to extend and, if necessary, increase our line of credit. We also recently issued Senior Secured Notes that replaced our term loan. While we were recently able to refinance our debt, we cannot be sure we will be able to continue to secure alternative financing on satisfactory terms or at all. The loss of the use of our credit facility or the inability to replace this facility or the Senior Secured Notes when each expires would materially impair our ability to operate our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seasonal.</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the third and fourth quarters. Net sales during the third and fourth quarters accounted for approximately 60% of our net sales in fiscal 2020, 61% of our net sales in fiscal 2019 and 62% of our net sales in fiscal 2018. We are highly dependent on our results of operations during the second half of our fiscal year. Any difficulties we may encounter during this period as a result of weather or disruption of manufacturing or transportation of our products will have a magnified effect on our results of operations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have a disproportionate effect on our annual results of operations for the foreseeable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translate market trends into attractive product offerings, our sales and profitability could suffer.</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retail and apparel industries are subject to sudden shifts in consumer trends and consumer spending. Our ability to successfully compete depends on a number of factors, including our ability to effectively anticipate, gauge and respond to changing consumer demands and tastes across multiple product lines and tiers of distribution. We are required to translate market trends into attractive product offerings and operate within substantial production and delivery constraints. We cannot be sure we will continue to be successful in this regard. We need to anticipate and respond to changing trends quickly, efficiently and effectively in order to be successful. Our failure to anticipate, identify or react appropriately to changes in customer tastes, preferences, shopping and spending patterns could lead to, among other things, excess inventories or a shortage of products and could have a material adverse effect on our financial condition and results of operations.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our products to the market could be disrupted if we encounter problems affecting our logistics and distribution systems.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 xml:space="preserve">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w:t>
      </w:r>
      <w:r>
        <w:rPr>
          <w:rFonts w:ascii="Times New Roman" w:cs="Times New Roman" w:eastAsia="Times New Roman" w:hAnsi="Times New Roman"/>
          <w:sz w:val="18"/>
          <w:szCs w:val="18"/>
          <w:color w:val="000000"/>
        </w:rPr>
        <w:t>floods</w:t>
      </w:r>
      <w:r>
        <w:rPr>
          <w:rFonts w:ascii="Times New Roman" w:cs="Times New Roman" w:eastAsia="Times New Roman" w:hAnsi="Times New Roman"/>
          <w:sz w:val="18"/>
          <w:szCs w:val="18"/>
          <w:color w:val="212529"/>
        </w:rPr>
        <w:t>, fires or other natural disasters near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inventory loss and theft.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Efficient inventory management is a key component of our business success and profitability. To be successful, we must maintain sufficient inventory levels and an appropriate product mix to meet the demands of our wholesale and retail customers without allowing those levels to increase to such an extent that the costs to store and hold the goods unduly impacts our financial results. If our buying decisions do not accurately predict customer trends or purchasing actions, we may have to take unanticipated markdowns to dispose of the excess inventory, which also can adversely impact our financial results. We continue to focus on ways to reduce these risks, but we cannot be certain that we will continue to be successful in our inventory management. If we are not successful in managing our inventory balances, our cash flows from operations and net income may be negatively affected.</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experienced inventory shrinkage in the past, and we cannot be certain that incidences of inventory loss and theft will decrease in the future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our results of operations could be adversely affected.</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raw materials used in our products could have a material adverse effect on our cost of sales or our ability to meet our customers’ demands.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raw material price increase or increase in costs related to the transport of our products (primarily petroleum costs) could increase our cost of sales and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inadequately protect, maintain and enforce our trademark and other intellectual property rights, or infringe the intellectual property rights of third parties, our business could be harmed.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protect our rights, or that any of our intellectual property will not be challenged or held invalid or unenforceable, and we may not be able to prevent imitation of our products by others or to prevent others from seeking to block sales of our products as a violation of the trademarks and proprietary rights of others. Our failure to protect our trademarks could diminish the value of our brands, and could cause customer or consumer confusion, which could, in turn, adversely affect the validity of our trademarks and our business, results of operations and financial condition.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Vilebrequin, Andrew Marc, G.H. Bass and Wilsons Leather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Counterfeit products may reduce our net sales and may also damage our brands due to their lower quality. If we are unable to protect, maintain or enforce our intellectual property rights against third parties, our business, financial condition and results of operations may be materially adversely affected.</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we cannot be certain that the conduct of our business does not and will not infringe, misappropriate or otherwise conflict with the intellectual property rights of others, and our efforts to enforce our trademark and other intellectual property rights may be met with defenses, counterclaims and countersuits attacking the validity and enforceability of our trademark and other intellectual property rights. Any action to prosecute, enforce or defend any intellectual property claim, regardless of merit or resolution, could be costly and may divert the efforts and attention of our management and technical personnel. We may not prevail in such proceedings given the complex technical issues and inherent uncertainties in intellectual property litigation. If we are found to have infringed, misappropriated or otherwise violated rights of third parties, we could be required to pay substantial damages, obtain licenses, cease the manufacture, use or sale of certain intellectual property, or cease making or selling certain products. There can be no assurance that licenses will be available on commercially reasonable terms, if at all. If we are unsuccessful in protecting and enforcing our intellectual property rights, our brands, business, financial condition and results of operations may be materially adversely affected.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that our licensees may not generate expected sales or maintain the value of our brands.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it could adversely affect our revenues, both directly from reduced royalties received and indirectly from reduced sales of our other products.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rely on our licensees to help preserve the value of our brand.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assure you that these efforts will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foreign manufacturers.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we source our products from many different manufacturers, we rely on a few manufacturers for a significant amount of our products. We sourced 11.4% of our purchases in fiscal 2020, 14.4% of our purchases in fiscal 2019 and 14.7% of our purchases in fiscal 2018 from one vendor in China. The loss of key vendors or a disruption in receipt of products from key vendors could adversely affect our ability to deliver goods to our customers on time and in the requested quantities.</w:t>
      </w:r>
    </w:p>
    <w:p>
      <w:pPr>
        <w:spacing w:after="0" w:line="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use of foreign manufacturers subjects us to additional risks.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arrangements with foreign manufacturers are subject to the usual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China, political or economic instability in China or elsewhere could cause substantial disruption in the business of our foreign manufacturers. Products sourced from China represented approximately 49.5% of our inventory purchased in fiscal 2020, 61.5% of our inventory purchased in fiscal 2019 and 65.1% of our inventory purchased in fiscal 2018.</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the European market exposes us to uncertain economic conditions in the Euro zone.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Demand for our products depends in part on the general economic conditions affecting the countries in which we do business. We are attempting to expand our presence in the European markets, including for our DKNY, Donna Karan and Vilebrequin businesses. The strength of the economy in Europe is uncertain and has been significantly affected by the impacts of the COVID-19 outbreak. There is some concern that certain European countries may default in payments due on their national debt obligations and from related European financial restructuring efforts. If such defaults were to occur, or if European financial restructuring efforts create their own instability, current instability in the global credit markets may increase. Continued financial instability in Europe could adversely affect our European operations and, in turn, could have a material adverse effect on us.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foreign currency exposures relating to buying and selling in currencies other than the U.S. dollar, our functional currency.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or exposure to additional tax liabilities could impact our business.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Our domestic and international tax liabilities are dependent on the allocation of revenue and expenses in various jurisdictions. Significant judgment is required in determining our global provision for income taxes. Changes in the U.S. federal, state, and international tax legislations can have an adverse impact on our income tax liabilities and effective tax rate. Although we believe our income tax estimates are reasonable, the ultimate outcomes may have a negative impact on our results of operations.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 reserves.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international operations.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capitalize on the potential of our international operations, including to realize the benefits of our DKNY, Donna Karan and Vilebrequin businesses and successfully expand into international markets, is subject to risks associated with international operations. These include:</w:t>
      </w:r>
    </w:p>
    <w:p>
      <w:pPr>
        <w:spacing w:after="0" w:line="176"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protection, including with respect to the collection, use and processing of personal information, particularly in Europe;</w:t>
      </w:r>
    </w:p>
    <w:p>
      <w:pPr>
        <w:ind w:left="380" w:right="79" w:hanging="330"/>
        <w:spacing w:after="0" w:line="250"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access to, or use of, commercial or personal information, particularly in Europe;</w:t>
      </w: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protection of intellectual property;</w:t>
      </w:r>
    </w:p>
    <w:p>
      <w:pPr>
        <w:spacing w:after="0" w:line="9"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or other barriers in international markets.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also subject to general political and economic risks in connection with our international operations, including:</w:t>
      </w:r>
    </w:p>
    <w:p>
      <w:pPr>
        <w:spacing w:after="0" w:line="225"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terrorist attacks;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economic fluctuations in specific countries or markets.</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recently adopted national security law in Hong Kong may result in disruptions to our business operations in Hong Kong and additional tariffs and trade restrictions.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June 30, 2020, a new security law was put into effect that would change the way Hong Kong has been governed since the territory was handed over by England to China in 1997. This law increases the power of the central government in Beijing over Hong Kong, limits the civil liberties of residents of Hong Kong and could restrict their ability to conduct business in the same way as in the past on a go forward basis.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to the United States. Further, the U.S. may impose the same tariffs and other trade restrictions on exports from Hong Kong that it places on goods from mainland China. The potential disruption to our business operations in Hong Kong and additional tariffs and trade restrictions could have an adverse impact on our results of operations.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that have been, and might be, imposed by the United States government or a resulting trade war could have a material adverse effect on our results of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followed an earlier proposal by the United States government that would have imposed 25% tariffs on the balance of inbound trade from China, but that were suspended pending trade negotiations with China. The additional tariffs have not yet gone into effect as the United States and China entered into a “phase one” trade agreement in January 2020.</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It is difficult to accurately estimate the impact on our business from these tariff actions or similar actions or when additional tariffs may become effective. For fiscal 2019, approximately 61.5% of the products that we sold were manufactured in China. For fiscal 2020, approximately 49.5% of the products that we sold were manufactured in China.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United States government continues to negotiate with China with respect to a “phase two” trade agreement, which could lead to the removal, lowering or postponement of the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accelerating the receipt of inventory,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 These efforts may not enable us to offset the adverse effects of any increases in tariffs.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audited by the Canadian Border Services Agency (“CBSA”) and are in the process of appealing the CBSA ruling. Loss of this appeal could have an adverse effect on our results of operations.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October 2017, the CBSA issued a final audit report to G-III’s Canadian subsidiary that challenged the valuation used by the Canadian subsidiary for certain goods imported into Canada. The period covered by the examination is February 1, 2014 through October 27, 2017, the date of the final report. The CBSA has requested us to reassess our customs entries for that period using the price paid or payable by the Canadian retail customers for certain imported goods rather than the price paid by us to the vendor. The CBSA has also requested that we change the valuation method used to pay duties with respect to goods imported in the future.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secured a bond to guarantee payment in the amount of CAD $26.9 million ($20.9 million) in March 2018, representing customs duty and interest that is claimed to be owed by us through December 31, 2017. In March 2018, we amended the duties filed for the month of January 2018 in accordance with the new valuation method. This amount was paid to the CBSA. Beginning February 1, 2018, we began paying duties in Canada on imported goods based on the price paid or payable by the Canadian retail customers. Duties paid on the higher dutiable value through May 31, 2019 were not charged as an expense in our statement of operations, but were recorded as a deferred expense until the appeal process is concluded. Effective June 1, 2019, we commenced paying based on the dutiable value of our imports in Canada based on pre-audit levels.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our appeal of the audit findings is not successful, we will have to pay the duties and interest that have been secured by the bond. This will result in a charge to our statement of operations for past duties, as well as for the additional duties we deferred or have not paid beginning on February 1, 2018 through the conclusion of the appeal process. In addition, our loss of the appeal would result in increased duties paid in Canada on products imported into Canada and will increase our cost of sales and decrease our profitability unless we are able to pass higher prices on to our customers. This could have an adverse effect on our results of operations.</w:t>
      </w:r>
    </w:p>
    <w:p>
      <w:pPr>
        <w:spacing w:after="0" w:line="11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upgrade, maintain and secure our information systems to support the needs of our organization, this could have an adverse impact on the operation of our business.</w:t>
      </w:r>
    </w:p>
    <w:p>
      <w:pPr>
        <w:spacing w:after="0" w:line="9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The failure of our information technology systems to perform as we anticipate could disrupt our business and could result in transaction errors, processing inefficiencies and the loss of sales and customers, which may have a material adverse effect on our business, financial condition and results of operations to suffer. Despite our preventative efforts, our systems are vulnerable from time to time to damage or interruption from, among other things, security breaches, cyber-attacks, computer viruses, ransomware, power outages, fire, natural disasters, systems failures and other technical malfunctions. Increased cyber-security threats pose a potential risk to the security and viability of our information technology systems, as well as the confidentiality, integrity and availability of the data stored on those systems. If our information technology systems suffer severe damage, disruption or shutdown, by unintentional or malicious actions of employees and contractors or by cyber-attacks, and our business continuity plans do not effectively resolve the issues in a timely manner, we could experience business disruptions, reputational damage, transaction errors, processing inefficiencies, increased overhead costs, excess inventory, product shortages and a loss of important information, causing our business, financial condition and results of operations to be adversely affected. Any disruptions affecting our information systems, or any delays or difficulties in transitioning to new systems or in integrating them with current systems, could have a material adverse impact on the operation of our business. We could also be required to spend significant financial and other resources to remedy the damage caused by a security breach or to repair or replace networks and information systems.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12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we devote significant resources to network security, backup and disaster recovery, enhanced training and other security measures to protect our systems and data,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If any of these risks materialize, our reputation and our ability to conduct our business may be materially adversely affected.</w:t>
      </w:r>
    </w:p>
    <w:p>
      <w:pPr>
        <w:sectPr>
          <w:pgSz w:w="11900" w:h="16838" w:orient="portrait"/>
          <w:cols w:equalWidth="0" w:num="1">
            <w:col w:w="9019"/>
          </w:cols>
          <w:pgMar w:left="1440" w:top="513" w:right="1440" w:bottom="1440"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collection, use and processing of personally identifiable data is regulated at the international, federal and state levels. We must comply with increasingly complex and rigorous regulatory standards enacted to protect business and personal data in the United States, Europe and elsewhere. For example, the European Union adopted regulations that became effective in May 2018, called the General Data Protection Regulation (“GDPR”), which requires companies to meet additional requirements regarding the handling of personal data, including its use, protection and the ability of persons whose data is stored to exercise certain additional rights with respect to their personal data. The GDPR calls for privacy and process enhancements, accompanied by a commitment of resources and other expenditures in support of compliance. Violations of GDPR could result in significant penalties. The regulatory environment surrounding information security and privacy is increasingly demanding. California adopted a new regulation called the California Consumer Privacy Act (“CCPA”) that went into effect January 1, 2020, with enforcement beginning on July 1, 2020. CCPA provides broad rights to California consumers with respect to the collection and use of their information by businesses. It also creates a new and potentially severe statutory framework for violations. The California law could lead to similar laws in other U.S. states or at a national level.</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Privacy and information security laws and regulations change from time to time, and compliance with them may result in cost increases due to necessary systems changes and the development of new processes. The interplay of federal and state laws may be subject to varying interpretations by courts and governmental agencies, creating complex compliance issues for us, consumers and our wholesale partners. If we fail to comply with these laws and regulations, we could be subjected to legal risk. We are also contractually obligated to comply with certain industry standards regarding payment card information. Increasing costs associated with information security, such as increased investment in technology, the cost of compliance and costs resulting from consumer fraud could cause our business and results of operations to suffer materially.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Economy and the Apparel Industry</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future economic conditions, including volatility in the financial and credit markets, may adversely affect our business.</w:t>
      </w:r>
    </w:p>
    <w:p>
      <w:pPr>
        <w:spacing w:after="0" w:line="9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w:t>
      </w:r>
    </w:p>
    <w:p>
      <w:pPr>
        <w:sectPr>
          <w:pgSz w:w="11900" w:h="16838" w:orient="portrait"/>
          <w:cols w:equalWidth="0" w:num="1">
            <w:col w:w="9019"/>
          </w:cols>
          <w:pgMar w:left="1440" w:top="513" w:right="1440" w:bottom="1440" w:gutter="0" w:footer="0" w:header="0"/>
        </w:sectPr>
      </w:pP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Uncertainties regarding future economic prospects may affect consumer-spending habits and could have an adverse effect on our results of operations. Uncertainty with respect to consumer spending as a result of weak economic conditions has, at times, caused our customers to delay the placing of initial orders and to slow the pace of reorders during the seasonal peak of our business. Weak economic conditions have had a material adverse effect on our results of operations at times in the past and could have a material adverse effect on our results of operations in the future as well.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competitive nature of our industry may result in lower prices for our products and decreased gross profit margins.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apparel business is highly competitive. We have numerous competitors with respect to the sale of apparel, footwear and accessories, including digital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sell our products to major department, mass merchant and specialty store chains. Continued consolidation in the retail industry, as well as store closing or retailers ceasing to do business, could negatively impact our business. Our largest customer, Macy’s, has announced that it intends to close approximately 125 stores over the next three years. In addition, Lord &amp; Taylor, which had filed for bankruptcy, has announced that it is liquidating its business and closing all stores, JC Penney has filed for bankruptcy and Kohl’s, as well as other store chains, have announced their intention to close stores. Bon-Ton Stores, a customer of ours for many years, filed for bankruptcy in 2018 and closed all of its stores.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pacing w:after="0" w:line="12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legislation restricting the importation or increasing the cost of textiles and apparel produced abroad is enacted, our business could be adversely affected.</w:t>
      </w:r>
    </w:p>
    <w:p>
      <w:pPr>
        <w:spacing w:after="0" w:line="9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predict whether quotas, duties, taxes, or other similar restrictions will be imposed by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previously discussed, the U.S. presidential administration has imposed retaliatory duties against China, and threatened to impose additional duties, in order to reverse what it perceives as unfair trade practices that have negatively impacted manufacturing in the U.S. The administration has also discussed the implementation of other duties that would impose an additional tax on imported goods regardless of origin. It is possible that the United States may impose new trade or other initiatives that adversely affect the trading status of countries where our apparel is manufactured and such initiatives could include retaliatory duties, higher tariffs or other trade sanctions. The administration has indicated it may make modifications to international trade policy or agreements or engage in other restrictive trade practices that may have the effect of reducing the amount or increasing the cost of imported goods. Changes in existing trade agreements or imposition of tariffs on our products imported from China or other countries could have a material adverse effect on our operations and financial results.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China’s accession agreement for membership in the World Trade Organization provides that member countries, including the United States, may impose safeguard quotas on specific products. We are unable to assess the potential for future action by the United States government with respect to any product category in the event that the quantity of imported apparel significantly disrupts the apparel market in the United States. Future action by the United States in response to a disruption in its apparel markets could limit our ability to import apparel and increase our costs.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war, acts of terrorism, natural disasters or public health crises could adversely affect our business and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continued threat of terrorism, heightened security measures and military action in response to acts of terrorism or civil unrest has, at times, disrupted commerce and intensified concerns regarding the United States and world economies. Any further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or public health crises, such as the COVID-19 pandemic, could result in the closure of one or more of our distribution centers, our corporate headquarters or a significant number of stores or impact one or more of our key suppliers. In addition, these types of events could result in increases in energy prices or a fuel shortage,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Related to the Ownership of Our Common Stock or Other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Chairman and Chief Executive Officer may be in a position to control matters requiring a stockholder vote.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23, 2020, Morris Goldfarb, our Chairman and Chief Executive Officer, beneficially owned approximately 8.1% of our common stock. His significant role in our management and his reputation in the apparel industry could make his support crucial to the approval of any major transaction involving us. He may have the ability to control our management and affairs.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could continue to fluctuate significantly.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Between February 1, 2017 and September 4, 2020, the market price of our common stock has ranged from a low of $2.96 to a high of $51.20 per share. The market price of our common stock may change significantly in response to various factors and events beyond our control, including:</w:t>
      </w:r>
    </w:p>
    <w:p>
      <w:pPr>
        <w:spacing w:after="0" w:line="54" w:lineRule="exact"/>
        <w:rPr>
          <w:sz w:val="20"/>
          <w:szCs w:val="20"/>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revenues or those of our competitors as a result of seasonality or other factors;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revenues or net income from that expected by securities analysts and investors;</w:t>
      </w:r>
    </w:p>
    <w:p>
      <w:pPr>
        <w:spacing w:after="0" w:line="9"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 generally;</w:t>
      </w: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 by our competitors or our customers;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and trade policies;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adverse effects from the coronavirus outbreak;</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industry;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securities markets.</w:t>
      </w:r>
    </w:p>
    <w:p>
      <w:pPr>
        <w:sectPr>
          <w:pgSz w:w="11900" w:h="16838" w:orient="portrait"/>
          <w:cols w:equalWidth="0" w:num="1">
            <w:col w:w="9019"/>
          </w:cols>
          <w:pgMar w:left="1440" w:top="513"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actual financial results might vary from our publicly disclosed financial forecasts.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have publicly disclosed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Quarterly Report or in our Annual Report on Form 10-K. If our actual financial results are worse than our financial forecasts or forecasts provided by outside investment analysts, or others, the price of our common stock may decline. </w:t>
      </w:r>
      <w:r>
        <w:rPr>
          <w:rFonts w:ascii="Times New Roman" w:cs="Times New Roman" w:eastAsia="Times New Roman" w:hAnsi="Times New Roman"/>
          <w:sz w:val="18"/>
          <w:szCs w:val="18"/>
          <w:color w:val="212529"/>
        </w:rPr>
        <w:t>Investors who rely on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predictions when making investment decisions with respect to our securities do so at their own risk. We take no responsibility for any losses suffered as a result of such changes in our stock price. Similar to many other companies in our industry, we have not provided financial forecasts for the full fiscal 2021 year or for the first three quarters of fiscal 2021 due to uncertainty surrounding the financial impact of COVID-19 on our business. We have decided to continue not providing financial forecasts at this time and we do not have any responsibility to do so going forward or to update any of our forward-looking statements at such times or otherwise. We cannot predict if or when we will resume providing financial forecasts.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trademarks and other intangibles become impaired, we may be required to record charges to earnings.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January 31, 2020, we had goodwill, trademarks and other intangibles in an aggregate amount of $737.6 million, or approximately 29% of our total assets and approximately 57% of our stockholders’ equity. Approximately $621.7 million of our goodwill, trademarks and other intangibles was recorded in connection with our acquisition of DKI. Under GAAP, we review our goodwill and other indefinite life intangibles for impairment annually as of January 31 of each fiscal year and when events or changes in circumstances indicate the carrying value may not be recoverable due to factors such as reduced estimates of future cash flows and profitability, increased cost of debt, slower growth rates in our industry or a decline in our stock price and market capitalization. Estimates of future cash flows and profitability are based on an updated long-term financial outlook of our operations. However, actual performance in the near-term or long-term could be materially different from these forecasts, which could impact future estimates. A significant decline in our market capitalization or deterioration in our projected results could result in an impairment of our goodwill, trademarks and/or other intangibles. We may be required to record a significant charge to earnings in our financial statements during a period in which an impairment of our goodwill is determined to exist which would negatively impact our results of operations and could negatively the market price of our securities.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Similar to many companies in our industry, our market capitalization has been negatively impacted recently as stock prices have dropped dramatically. The uncertainty caused by the COVID-19 outbreak has made it impracticable to forecast our business with any certainty for the balance of the fiscal year. As a result, we will likely have to evaluate the value of our intangibles with indefinite lives, including trademarks, goodwill and other long-lived assets, which could result in impairments to such assets in fiscal 2021.</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corporate regulation as a public company and failure to comply with applicable regulations could subject us to liability or negatively affect the market price of our securities, including the notes offered hereby.</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2020 Annual Report or state that we have maintained effective internal control over financial reporting as of the end of our fiscal year. Discovery and disclosure of a material weakness in our internal control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over financial reporting could have a material impact on our financial statements and could cause the market price of our securities, including the notes, to decline.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There are significant corporate governance and executive compensation-related provisions in the Dodd-Frank Act that have required, and continue to require, the SEC to adopt additional rules and regulations in these areas. Our efforts to comply with Dodd-Frank requirements have resulted in, and are likely to continue to result in, an increase in expenses and a diversion of management’s time from other business activities. For example, we are subject to SEC disclosure obligations relating to our use of minerals that have a risk of being so-called “conflict minerals” such as columbite-tantalite, cassiterite (tin), wolframite (tungsten) and gold. These minerals are present in a number of our products.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incurred and will continue to incur costs associated with complying with the supply chain due diligence procedures required by the SEC. The preparation of our conflict minerals report is dependent upon the implementation and operation of our systems and processes and information supplied by our suppliers of products that contain, or potentially contain, conflict minerals. To the extent that the information that we receive from our suppliers is inaccurate or inadequate or our processes in obtaining that information do not fulfill the SEC’s requirements, we could face both reputational and SEC enforcement risks.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Given the uncertainty associated with the manner in which additional corporate governance and executive compensation-related provisions of the Dodd-Frank Act will be implemented, the full extent of the impact such requirements will have on our operations is unclear. The changes resulting from the Dodd-Frank Act may require changes to certain business practices, or otherwise adversely affect our business.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increased focus by stakeholders on corporate responsibility issues, including those associated with environmental, social and governance issues, could negatively affect our business and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Our business is susceptible to risks associated with climate change, including through disruption to our supply chain, potentially impacting the production and distribution of our products and availability and pricing of raw materials. There is also increased focus from our stakeholders, including consumers, employees and investors, on corporate responsibility matters associated with environmental, social and governance issues. Although we have announced our corporate responsibility strategy and increased focus on these issues, there can be no assurance that our stakeholders will agree with our strategy or that we will be successful in achieving our goals. Failure to implement our strategy or achieve our goals could damage our reputation, causing our investors or consumers to lose confidence in our Company and brands, and negatively impact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which could have a material adverse effect on our financial condition and our ability to obtain financing in the future and to react to changes in our business.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issued $400 million of Senior Secured Notes and are party to the ABL Credit Agreement that provides for borrowings of up to $650 million, subject to borrowing base availability. In addition, we also incurred $125.0 million of debt pursuant to the LVMH Note that constituted a portion of the purchase price for the acquisition of DKI.</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significant amount of debt and our debt service obligations could limit our ability to satisfy our obligations, limit our ability to operate our business and impair our competitive position.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example, it could:</w:t>
      </w:r>
    </w:p>
    <w:p>
      <w:pPr>
        <w:spacing w:after="0" w:line="225"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the Senior Secured Notes and the ABL Credit Agreement;</w:t>
      </w:r>
    </w:p>
    <w:p>
      <w:pPr>
        <w:spacing w:after="0" w:line="27"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general industry conditions, including interest rate fluctuations, because a portion of our borrowings are and will continue to be at variable rates of interest;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57"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which would reduce the availability of our cash flow from operations to fund working capital, capital expenditures or other general corporate purposes;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may have proportionately less debt;</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debt or equity financing due to applicable financial and restrictive covenants in our debt agreements; and</w:t>
      </w: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still be able to incur significantly more debt. This could intensify the risks described above.</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indebtedness in the future. Although the ABL Credit Agreement and the indenture that governs the Senior Secured Notes contain restrictions on our and our subsidiaries’ ability to incur additional indebtedness, these restrictions are subject to a number of important qualifications and exceptions, and the indebtedness incurred in compliance with these restrictions could be substantial.</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covenants under any future debt instruments could also allow us to incur a significant amount of additional indebtedness. In addition to any amounts that might be available to us for borrowing under the ABL Credit Agreement, subject to certain conditions, we will have the right to request an increase of aggregate commitments under the ABL Credit Agreement by an aggregate amount of up to $100.0 million by obtaining additional commitments either from one or more of the lenders under the ABL Credit Agreement or other lending institutions. The more leveraged we become, the more we will be exposed to certain risks described above under “—We have a substantial amount of indebtedness, which could have a material adverse effect on our financial condition and our ability to obtain financing in the future and to react to changes in our business.”</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ABL Credit Agreement and the indenture that governs the Senior Secured Notes impose significant operating and financial restrictions that may limit our current and future operating flexibility, particularly our ability to respond to changes in the economy or our industry or to take certain actions, which could harm our long term interests and may limit our ability to make payments under the Notes or the ABL Credit Agreement or satisfy our other obligations.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ABL Credit Agreement and the indenture that governs the Senior Secured Notes impose significant operating and financial restrictions on us. These restrictions limit our ability, among other things, to:</w:t>
      </w:r>
    </w:p>
    <w:p>
      <w:pPr>
        <w:spacing w:after="0" w:line="162" w:lineRule="exact"/>
        <w:rPr>
          <w:sz w:val="20"/>
          <w:szCs w:val="20"/>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(including guarantees thereof);</w:t>
      </w:r>
    </w:p>
    <w:p>
      <w:pPr>
        <w:spacing w:after="0" w:line="27"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certain other distributions on our capital stock or repurchase our capital stock or prepay subordinated indebtedness;</w:t>
      </w: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assets;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investments or other restricted payments;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the ability of our restricted subsidiaries to pay dividends or make other payments to us;</w:t>
      </w: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 or merge or consolidate with or into other companies.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158"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139" w:lineRule="exact"/>
        <w:rPr>
          <w:sz w:val="20"/>
          <w:szCs w:val="20"/>
          <w:color w:val="auto"/>
        </w:rPr>
      </w:pPr>
    </w:p>
    <w:p>
      <w:pPr>
        <w:jc w:val="center"/>
        <w:ind w:left="1500"/>
        <w:spacing w:after="0" w:line="261" w:lineRule="auto"/>
        <w:rPr>
          <w:sz w:val="20"/>
          <w:szCs w:val="20"/>
          <w:color w:val="auto"/>
        </w:rPr>
      </w:pPr>
      <w:r>
        <w:rPr>
          <w:rFonts w:ascii="Times New Roman" w:cs="Times New Roman" w:eastAsia="Times New Roman" w:hAnsi="Times New Roman"/>
          <w:sz w:val="18"/>
          <w:szCs w:val="18"/>
          <w:color w:val="auto"/>
        </w:rPr>
        <w:t>A breach of the covenants under the indenture or the ABL Credit Agreement could result in an event of default under the applicable indebtedness. Such a default, if not cured or waived, may allow creditors to accelerate the related debt and may result in the acceleration of any other debt that is subject to an applicable cross-acceleration or cross-default provision. In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 an event of default under the ABL Credit Agreement would permit the lenders thereunder to terminate all commitments to extend further credit under that Agreement. Furthermore, if we were unable to repay the amounts due and payable under the ABL Credit Agreement, those lenders could proceed against the collateral securing such indebtedness. In the event our lenders or holders of the Senior Secured Notes accelerate the repayment of our borrowings, we and our subsidiaries may not have sufficient assets to repay that indebtedness.</w:t>
      </w:r>
    </w:p>
    <w:p>
      <w:pPr>
        <w:spacing w:after="0" w:line="17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our existing credit facility.</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historical sources of liquidity to fund ongoing cash requirements include cash flows from operations, cash and cash equivalents, borrowings through our revolving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ABL Credit Agreement, interest rate fluctuations and the adverse impact of the COVID-19 outbreak on the U.S. and world-wide economies and on our business. Interest rates increased in fiscal 2018 and 2019, but decreased in fiscal 2020. We cannot predict the future level of interest rates or the effect of any increase in interest rates on the availability or aggregate cost of our borrowings. Even if the general level of interest rates does not increase, we expect to incur more interest and other charges as a result of the higher interest rates and fees to be paid in connection with the Senior Secured Notes and ABL Credit Agreement compared to the interest rates and fees that were paid in connection with the term loan and revolving credit facility. We cannot be certain that any additional required financing, whether debt or equity, will be available in amounts needed or on terms acceptable to us, if at all.</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July 31, 2020, we were in compliance with the financial covenants in our revolving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including as a result of the COVID-19 outbreak,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8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under the Senior Secured Notes or the ABL Credit Agreement, and may be forced to take other actions to satisfy our obligations under our indebtedness, which may not be successful.</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under the Senior Secured Notes or the ABL Credit Agreement.</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Any future refinancing of our indebtedness could be at higher interest rates and may require us to comply with more onerous covenants which could further restrict our business operations. Additionally, the ABL Credit Agreement and the indenture that will govern the Senior Secured Notes will limit the use of the proceeds from any disposition of our assets. As a result, the ABL Credit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Agreement and the indenture may prevent us from using the proceeds from such dispositions to satisfy our debt service obligations.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borrowings under the ABL Credit Agreement will be at variable rates of interest and expose us to interest rate risk. If interest rates increase, our debt service obligations on the variable rate indebtedness would increase even though the amount borrowed remained the same, and our net income and cash flows, including cash available for servicing our indebtedness, would correspondingly decrease. Assuming all revolving loans were fully drawn under the ABL Credit Agreement, each one percentage point change in interest rates would result in a $6.5 million change in annual cash interest expense under the ABL Credit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Financing extended to us under the ABL Credit Agreement is made at variable rates that use LIBOR or an alternate base rate (as determined by that Agreement) as a benchmark for establishing the interest rate. LIBOR is the subject of recent proposals for reform. The financial authority that regulates LIBOR has announced that it intends to stop persuading or compelling banks to submit rates for the calculation of LIBOR after 2021. These reforms may cause LIBOR to cease to exist, new methods of calculating LIBOR to be established or the establishment of an alternative reference rate(s). These consequences cannot be entirely predicted and could have an adverse impact on the market value for or value of LIBOR-linked securities, loans, and other financial obligations or extensions of credit to us. Changes in market interest rates may influence our financing costs and could reduce our earnings and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Senior Secured Notes upon a change of control or pursuant to an asset sale offer.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that governs the Senior Secured Notes, the holders of the Notes will have the right to require us to offer to purchase all of the Notes then outstanding at a price equal to 101% of their principal amount plus accrued and unpaid interest. In addition, our future indebtedness may require that such indebtedness be similarly repurchased upon a change of control. In order to obtain sufficient funds to pay the purchase price of the outstanding Notes, we expect that we would have to refinance the Notes. We may not be able to refinance the Notes on reasonable terms, if at all. Our failure to offer to purchase all outstanding Notes or to purchase all validly tendered Notes would be an event of default under the indenture. Such an event of default may cause the acceleration of our other debt. Our other debt also may contain restrictions on repayment requirements with respect to specified events or transactions that constitute a change of control under the indenture.</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in certain circumstances specified in the indenture, we will be required to commence an asset sale offer, as defined in the indenture, pursuant to which we will be obligated to purchase certain Notes at a price equal to 100% of their principal amount plus accrued and unpaid interest with the proceeds we receive from certain asset sales. Our other debt may contain restrictions that would limit or prohibit us from completing any such asset sale offer. In particular, the ABL Credit Agreement contains provisions that require us, upon the sale of certain assets, to apply all of the proceeds from such asset sale to the prepayment of amounts due under that Agreement. The mandatory prepayment obligations under the ABL Credit Agreement will be effectively senior to our obligations to make an asset sale offer with respect to the Notes under the terms of the indenture.</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rating and ability to access well-functioning capital markets are important to our ability to secure future debt financing on acceptable terms. Our credit ratings may not reflect all risks associated with the Senior Secured Notes or our other indebtedness.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access to the debt markets and the terms of such access depend on multiple factors including the condition of the debt capital markets, our operating performance and our credit ratings.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 In addition,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downgrading the credit rating of our debt securities or placing us on a watch list for possible future downgrading would likely have an adverse effect on the market price of our Common Stock and Senior Secured Notes.</w:t>
      </w:r>
    </w:p>
    <w:p>
      <w:pPr>
        <w:spacing w:after="0" w:line="15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Company’s common stock that the Company repurchased during the three months ended July 31, 2020. Included in this table are shares withheld during July 2020 in connection with the settlement of vested restricted stock units to satisfy tax withholding requirements.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w:t>
            </w:r>
          </w:p>
        </w:tc>
        <w:tc>
          <w:tcPr>
            <w:tcW w:w="20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Purchased</w:t>
            </w:r>
          </w:p>
        </w:tc>
        <w:tc>
          <w:tcPr>
            <w:tcW w:w="162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00" w:type="dxa"/>
            <w:vAlign w:val="bottom"/>
          </w:tcPr>
          <w:p>
            <w:pPr>
              <w:spacing w:after="0"/>
              <w:rPr>
                <w:sz w:val="12"/>
                <w:szCs w:val="12"/>
                <w:color w:val="auto"/>
              </w:rPr>
            </w:pPr>
          </w:p>
        </w:tc>
        <w:tc>
          <w:tcPr>
            <w:tcW w:w="15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2380" w:type="dxa"/>
            <w:vAlign w:val="bottom"/>
            <w:gridSpan w:val="2"/>
            <w:vMerge w:val="continue"/>
          </w:tcPr>
          <w:p>
            <w:pPr>
              <w:spacing w:after="0"/>
              <w:rPr>
                <w:sz w:val="15"/>
                <w:szCs w:val="15"/>
                <w:color w:val="auto"/>
              </w:rPr>
            </w:pPr>
          </w:p>
        </w:tc>
        <w:tc>
          <w:tcPr>
            <w:tcW w:w="16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Shares Purchased </w:t>
            </w:r>
            <w:r>
              <w:rPr>
                <w:rFonts w:ascii="Times New Roman" w:cs="Times New Roman" w:eastAsia="Times New Roman" w:hAnsi="Times New Roman"/>
                <w:sz w:val="20"/>
                <w:szCs w:val="20"/>
                <w:b w:val="1"/>
                <w:bCs w:val="1"/>
                <w:color w:val="auto"/>
                <w:w w:val="99"/>
                <w:vertAlign w:val="superscript"/>
              </w:rPr>
              <w:t>(1)</w:t>
            </w:r>
          </w:p>
        </w:tc>
        <w:tc>
          <w:tcPr>
            <w:tcW w:w="300" w:type="dxa"/>
            <w:vAlign w:val="bottom"/>
          </w:tcPr>
          <w:p>
            <w:pPr>
              <w:spacing w:after="0"/>
              <w:rPr>
                <w:sz w:val="15"/>
                <w:szCs w:val="15"/>
                <w:color w:val="auto"/>
              </w:rPr>
            </w:pPr>
          </w:p>
        </w:tc>
        <w:tc>
          <w:tcPr>
            <w:tcW w:w="144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Share </w:t>
            </w:r>
            <w:r>
              <w:rPr>
                <w:rFonts w:ascii="Times New Roman" w:cs="Times New Roman" w:eastAsia="Times New Roman" w:hAnsi="Times New Roman"/>
                <w:sz w:val="20"/>
                <w:szCs w:val="20"/>
                <w:b w:val="1"/>
                <w:bCs w:val="1"/>
                <w:color w:val="auto"/>
                <w:w w:val="96"/>
                <w:vertAlign w:val="superscript"/>
              </w:rPr>
              <w:t>(1)</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Program </w:t>
            </w:r>
            <w:r>
              <w:rPr>
                <w:rFonts w:ascii="Times New Roman" w:cs="Times New Roman" w:eastAsia="Times New Roman" w:hAnsi="Times New Roman"/>
                <w:sz w:val="20"/>
                <w:szCs w:val="20"/>
                <w:b w:val="1"/>
                <w:bCs w:val="1"/>
                <w:color w:val="auto"/>
                <w:w w:val="98"/>
                <w:vertAlign w:val="superscript"/>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21"/>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Program </w:t>
            </w:r>
            <w:r>
              <w:rPr>
                <w:rFonts w:ascii="Times New Roman" w:cs="Times New Roman" w:eastAsia="Times New Roman" w:hAnsi="Times New Roman"/>
                <w:sz w:val="20"/>
                <w:szCs w:val="20"/>
                <w:b w:val="1"/>
                <w:bCs w:val="1"/>
                <w:color w:val="auto"/>
                <w:w w:val="98"/>
                <w:vertAlign w:val="superscript"/>
              </w:rPr>
              <w:t>(2)</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 May 31, 2020</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2,949,362</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 June 30, 2020</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2,949,362</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2,949,362</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2,949,362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480" w:right="179" w:hanging="328"/>
        <w:spacing w:after="0" w:line="192" w:lineRule="auto"/>
        <w:tabs>
          <w:tab w:leader="none" w:pos="4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Included in this table are 1,041 shares withheld during July 2020 in connection with the settlement of vested restricted stock units to satisfy tax withholding requirements. Our 2015 Long-Term Incentive Plan provides that shares withheld are valued at the closing price per share on the date withheld.</w:t>
      </w:r>
    </w:p>
    <w:p>
      <w:pPr>
        <w:spacing w:after="0" w:line="1" w:lineRule="exact"/>
        <w:rPr>
          <w:rFonts w:ascii="Times New Roman" w:cs="Times New Roman" w:eastAsia="Times New Roman" w:hAnsi="Times New Roman"/>
          <w:sz w:val="22"/>
          <w:szCs w:val="22"/>
          <w:color w:val="auto"/>
          <w:vertAlign w:val="superscript"/>
        </w:rPr>
      </w:pPr>
    </w:p>
    <w:p>
      <w:pPr>
        <w:jc w:val="both"/>
        <w:ind w:left="480" w:right="179" w:hanging="328"/>
        <w:spacing w:after="0" w:line="201" w:lineRule="auto"/>
        <w:tabs>
          <w:tab w:leader="none" w:pos="4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1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Certification by Morris Goldfarb, Chief Executive Officer of G-III Apparel Group, Ltd., pursuant to Rule 13a -</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3"/>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Group, Ltd.’s Quarterly Report on Form 10-Q for the fiscal quarter ended July 31, 2020.</w:t>
              </w:r>
            </w:hyperlink>
          </w:p>
        </w:tc>
      </w:tr>
      <w:tr>
        <w:trPr>
          <w:trHeight w:val="20"/>
        </w:trPr>
        <w:tc>
          <w:tcPr>
            <w:tcW w:w="800" w:type="dxa"/>
            <w:vAlign w:val="bottom"/>
          </w:tcPr>
          <w:p>
            <w:pPr>
              <w:spacing w:after="0" w:line="20" w:lineRule="exact"/>
              <w:rPr>
                <w:sz w:val="1"/>
                <w:szCs w:val="1"/>
                <w:color w:val="auto"/>
              </w:rPr>
            </w:pPr>
          </w:p>
        </w:tc>
        <w:tc>
          <w:tcPr>
            <w:tcW w:w="63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100" w:type="dxa"/>
            <w:vAlign w:val="bottom"/>
            <w:gridSpan w:val="3"/>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Certification by Neal S. Nackman, Chief Financial Officer of G-III Apparel Group, Ltd., pursuant to Rule 13a -</w:t>
              </w:r>
            </w:hyperlink>
          </w:p>
        </w:tc>
      </w:tr>
      <w:tr>
        <w:trPr>
          <w:trHeight w:val="20"/>
        </w:trPr>
        <w:tc>
          <w:tcPr>
            <w:tcW w:w="800" w:type="dxa"/>
            <w:vAlign w:val="bottom"/>
          </w:tcPr>
          <w:p>
            <w:pPr>
              <w:spacing w:after="0" w:line="20" w:lineRule="exact"/>
              <w:rPr>
                <w:sz w:val="1"/>
                <w:szCs w:val="1"/>
                <w:color w:val="auto"/>
              </w:rPr>
            </w:pPr>
          </w:p>
        </w:tc>
        <w:tc>
          <w:tcPr>
            <w:tcW w:w="80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3"/>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Group, Ltd.’s Quarterly Report on Form 10-Q for the fiscal quarter ended July 31, 2020.</w:t>
              </w:r>
            </w:hyperlink>
          </w:p>
        </w:tc>
      </w:tr>
      <w:tr>
        <w:trPr>
          <w:trHeight w:val="20"/>
        </w:trPr>
        <w:tc>
          <w:tcPr>
            <w:tcW w:w="800" w:type="dxa"/>
            <w:vAlign w:val="bottom"/>
          </w:tcPr>
          <w:p>
            <w:pPr>
              <w:spacing w:after="0" w:line="20" w:lineRule="exact"/>
              <w:rPr>
                <w:sz w:val="1"/>
                <w:szCs w:val="1"/>
                <w:color w:val="auto"/>
              </w:rPr>
            </w:pPr>
          </w:p>
        </w:tc>
        <w:tc>
          <w:tcPr>
            <w:tcW w:w="63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Certification by Morris Goldfarb, Chief Executive Officer of G-III Apparel Group, Ltd., pursuant to 18 U.S.C.</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Section 1350, as adopted pursuant to Section 906 of the Sarbanes-Oxley Act of 2002, in connection with G-III</w:t>
              </w:r>
            </w:hyperlink>
          </w:p>
        </w:tc>
      </w:tr>
      <w:tr>
        <w:trPr>
          <w:trHeight w:val="218"/>
        </w:trPr>
        <w:tc>
          <w:tcPr>
            <w:tcW w:w="800" w:type="dxa"/>
            <w:vAlign w:val="bottom"/>
          </w:tcPr>
          <w:p>
            <w:pPr>
              <w:spacing w:after="0"/>
              <w:rPr>
                <w:sz w:val="18"/>
                <w:szCs w:val="18"/>
                <w:color w:val="auto"/>
              </w:rPr>
            </w:pPr>
          </w:p>
        </w:tc>
        <w:tc>
          <w:tcPr>
            <w:tcW w:w="8100" w:type="dxa"/>
            <w:vAlign w:val="bottom"/>
            <w:gridSpan w:val="3"/>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Apparel Group, Ltd.’s Quarterly Report on Form 10-Q for the fiscal quarter ended July 31, 2020.</w:t>
              </w:r>
            </w:hyperlink>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w:t>
            </w:r>
          </w:p>
        </w:tc>
        <w:tc>
          <w:tcPr>
            <w:tcW w:w="8100" w:type="dxa"/>
            <w:vAlign w:val="bottom"/>
            <w:gridSpan w:val="3"/>
          </w:tcPr>
          <w:p>
            <w:pPr>
              <w:spacing w:after="0" w:line="194"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Certification by Neal S. Nackman, Chief Financial Officer of G-III Apparel Group, Ltd., pursuant to 18 U.S.C.</w:t>
              </w:r>
            </w:hyperlink>
          </w:p>
        </w:tc>
      </w:tr>
      <w:tr>
        <w:trPr>
          <w:trHeight w:val="20"/>
        </w:trPr>
        <w:tc>
          <w:tcPr>
            <w:tcW w:w="800" w:type="dxa"/>
            <w:vAlign w:val="bottom"/>
          </w:tcPr>
          <w:p>
            <w:pPr>
              <w:spacing w:after="0" w:line="20" w:lineRule="exact"/>
              <w:rPr>
                <w:sz w:val="1"/>
                <w:szCs w:val="1"/>
                <w:color w:val="auto"/>
              </w:rPr>
            </w:pPr>
          </w:p>
        </w:tc>
        <w:tc>
          <w:tcPr>
            <w:tcW w:w="80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Section 1350, as adopted pursuant to Section 906 of the Sarbanes-Oxley Act of 2002, in connection with G-III</w:t>
              </w:r>
            </w:hyperlink>
          </w:p>
        </w:tc>
      </w:tr>
      <w:tr>
        <w:trPr>
          <w:trHeight w:val="218"/>
        </w:trPr>
        <w:tc>
          <w:tcPr>
            <w:tcW w:w="800" w:type="dxa"/>
            <w:vAlign w:val="bottom"/>
          </w:tcPr>
          <w:p>
            <w:pPr>
              <w:spacing w:after="0"/>
              <w:rPr>
                <w:sz w:val="18"/>
                <w:szCs w:val="18"/>
                <w:color w:val="auto"/>
              </w:rPr>
            </w:pPr>
          </w:p>
        </w:tc>
        <w:tc>
          <w:tcPr>
            <w:tcW w:w="8100" w:type="dxa"/>
            <w:vAlign w:val="bottom"/>
            <w:gridSpan w:val="3"/>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Apparel Group, Ltd.’s Quarterly Report on Form 10-Q for the fiscal quarter ended July 31, 2020.</w:t>
              </w:r>
            </w:hyperlink>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iXBRL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iXBRL Label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iXBRL Presentation Linkbase Document.</w:t>
            </w:r>
          </w:p>
        </w:tc>
      </w:tr>
    </w:tbl>
    <w:p>
      <w:pPr>
        <w:ind w:left="4420" w:right="2399" w:hanging="4364"/>
        <w:spacing w:after="0" w:line="761" w:lineRule="auto"/>
        <w:tabs>
          <w:tab w:leader="none" w:pos="8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G-III APPAREL GROUP, LTD.</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9, 2020</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Morris Goldfarb</w:t>
            </w:r>
          </w:p>
        </w:tc>
      </w:tr>
      <w:tr>
        <w:trPr>
          <w:trHeight w:val="191"/>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9, 2020</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Neal S. Nackman</w:t>
            </w:r>
          </w:p>
        </w:tc>
      </w:tr>
      <w:tr>
        <w:trPr>
          <w:trHeight w:val="191"/>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0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4120" w:type="dxa"/>
            <w:vAlign w:val="bottom"/>
          </w:tcPr>
          <w:p>
            <w:pPr>
              <w:spacing w:after="0"/>
              <w:rPr>
                <w:sz w:val="24"/>
                <w:szCs w:val="24"/>
                <w:color w:val="auto"/>
              </w:rPr>
            </w:pPr>
          </w:p>
        </w:tc>
      </w:tr>
      <w:tr>
        <w:trPr>
          <w:trHeight w:val="561"/>
        </w:trPr>
        <w:tc>
          <w:tcPr>
            <w:tcW w:w="3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2" w:name="page63"/>
    <w:bookmarkEnd w:id="6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58" w:lineRule="exact"/>
        <w:rPr>
          <w:sz w:val="20"/>
          <w:szCs w:val="20"/>
          <w:color w:val="auto"/>
        </w:rPr>
      </w:pPr>
    </w:p>
    <w:p>
      <w:pPr>
        <w:ind w:left="700" w:hanging="32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57"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line="23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1020" w:right="79" w:hanging="322"/>
        <w:spacing w:after="0" w:line="250"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3" w:name="page64"/>
    <w:bookmarkEnd w:id="6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158" w:lineRule="exact"/>
        <w:rPr>
          <w:sz w:val="20"/>
          <w:szCs w:val="20"/>
          <w:color w:val="auto"/>
        </w:rPr>
      </w:pPr>
    </w:p>
    <w:p>
      <w:pPr>
        <w:ind w:left="700" w:hanging="32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57"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line="23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3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jc w:val="both"/>
        <w:ind w:left="1020" w:right="79" w:hanging="322"/>
        <w:spacing w:after="0" w:line="23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1020" w:right="79" w:hanging="322"/>
        <w:spacing w:after="0" w:line="250"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4" w:name="page65"/>
    <w:bookmarkEnd w:id="6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July 31, 2020,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731520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5" w:name="page66"/>
    <w:bookmarkEnd w:id="6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July 31, 2020,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731520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1)"/>
      <w:numFmt w:val="lowerRoman"/>
      <w:start w:val="3"/>
    </w:lvl>
  </w:abstractNum>
  <w:abstractNum w:abstractNumId="6">
    <w:nsid w:val="62BBD95A"/>
    <w:multiLevelType w:val="hybridMultilevel"/>
    <w:lvl w:ilvl="0">
      <w:lvlJc w:val="left"/>
      <w:lvlText w:val="(%1)"/>
      <w:numFmt w:val="lowerRoman"/>
      <w:start w:val="3"/>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upperLetter"/>
      <w:start w:val="6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lowerRoman"/>
      <w:start w:val="3"/>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04"/>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2020-09-09T15:55:47Z</dcterms:created>
  <dcterms:modified xsi:type="dcterms:W3CDTF">2020-09-09T15:55:47Z</dcterms:modified>
</cp:coreProperties>
</file>