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 the quarterly period ended October 31, 2024</w:t>
      </w:r>
    </w:p>
    <w:p>
      <w:pPr>
        <w:spacing w:after="0" w:line="1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-3175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-3175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G-III APPAREL GROUP, LTD.</w:t>
      </w:r>
    </w:p>
    <w:p>
      <w:pPr>
        <w:spacing w:after="0" w:line="53" w:lineRule="exact"/>
        <w:rPr>
          <w:sz w:val="24"/>
          <w:szCs w:val="24"/>
          <w:color w:val="auto"/>
        </w:rPr>
      </w:pPr>
    </w:p>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9"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01"/>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9"/>
              </w:rPr>
              <w:t>512 Seventh Avenue, New York, New York</w:t>
            </w:r>
          </w:p>
        </w:tc>
        <w:tc>
          <w:tcPr>
            <w:tcW w:w="2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10018</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9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(212) 403-0500</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9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6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GIII</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6497955"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13995"/>
                    </a:xfrm>
                    <a:prstGeom prst="rect">
                      <a:avLst/>
                    </a:prstGeom>
                    <a:noFill/>
                  </pic:spPr>
                </pic:pic>
              </a:graphicData>
            </a:graphic>
          </wp:anchor>
        </w:drawing>
      </w:r>
    </w:p>
    <w:p>
      <w:pPr>
        <w:spacing w:after="0" w:line="57" w:lineRule="exact"/>
        <w:rPr>
          <w:sz w:val="24"/>
          <w:szCs w:val="24"/>
          <w:color w:val="auto"/>
        </w:r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76" w:lineRule="exact"/>
        <w:rPr>
          <w:sz w:val="24"/>
          <w:szCs w:val="24"/>
          <w:color w:val="auto"/>
        </w:r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76"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74" w:lineRule="exact"/>
        <w:rPr>
          <w:sz w:val="24"/>
          <w:szCs w:val="24"/>
          <w:color w:val="auto"/>
        </w:rPr>
      </w:pPr>
    </w:p>
    <w:p>
      <w:pPr>
        <w:jc w:val="both"/>
        <w:ind w:left="1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39" w:lineRule="exact"/>
        <w:rPr>
          <w:sz w:val="24"/>
          <w:szCs w:val="24"/>
          <w:color w:val="auto"/>
        </w:rPr>
      </w:pPr>
    </w:p>
    <w:p>
      <w:pPr>
        <w:ind w:left="10" w:right="182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As of December 5, 2024, there were 43,886,707 shares of issuer’s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552450</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72390</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2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0000EE"/>
              </w:rPr>
              <w:t>Part I</w:t>
            </w:r>
          </w:p>
        </w:tc>
        <w:tc>
          <w:tcPr>
            <w:tcW w:w="71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8"/>
        </w:trPr>
        <w:tc>
          <w:tcPr>
            <w:tcW w:w="920" w:type="dxa"/>
            <w:vAlign w:val="bottom"/>
            <w:gridSpan w:val="8"/>
            <w:vMerge w:val="continue"/>
          </w:tcPr>
          <w:p>
            <w:pPr>
              <w:spacing w:after="0"/>
              <w:rPr>
                <w:sz w:val="13"/>
                <w:szCs w:val="13"/>
                <w:color w:val="auto"/>
              </w:rPr>
            </w:pPr>
          </w:p>
        </w:tc>
        <w:tc>
          <w:tcPr>
            <w:tcW w:w="7120" w:type="dxa"/>
            <w:vAlign w:val="bottom"/>
            <w:gridSpan w:val="21"/>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 October 31, 2024 (Unaudited), October 31, 2023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and January 31, 2024</w:t>
            </w:r>
          </w:p>
        </w:tc>
        <w:tc>
          <w:tcPr>
            <w:tcW w:w="4000" w:type="dxa"/>
            <w:vAlign w:val="bottom"/>
            <w:tcBorders>
              <w:top w:val="single" w:sz="8" w:color="0000EE"/>
            </w:tcBorders>
            <w:gridSpan w:val="5"/>
          </w:tcPr>
          <w:p>
            <w:pPr>
              <w:spacing w:after="0"/>
              <w:rPr>
                <w:sz w:val="17"/>
                <w:szCs w:val="17"/>
                <w:color w:val="auto"/>
              </w:rPr>
            </w:pPr>
          </w:p>
        </w:tc>
        <w:tc>
          <w:tcPr>
            <w:tcW w:w="50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Income and Comprehensive Income – For the Three and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Nine Months Ended October 31, 2024 and 2023 (Unaudited)</w:t>
            </w:r>
          </w:p>
        </w:tc>
        <w:tc>
          <w:tcPr>
            <w:tcW w:w="2620" w:type="dxa"/>
            <w:vAlign w:val="bottom"/>
            <w:gridSpan w:val="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 October 31, 2024 and October</w:t>
            </w:r>
          </w:p>
        </w:tc>
        <w:tc>
          <w:tcPr>
            <w:tcW w:w="3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31, 2023 (Unaudited)</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 For the Nine Months Ended October 31,</w:t>
            </w:r>
          </w:p>
        </w:tc>
        <w:tc>
          <w:tcPr>
            <w:tcW w:w="3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2024 and 2023 (Unaudited)</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4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Part II</w:t>
            </w:r>
          </w:p>
        </w:tc>
        <w:tc>
          <w:tcPr>
            <w:tcW w:w="7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24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8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2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140" w:type="dxa"/>
            <w:vAlign w:val="bottom"/>
            <w:gridSpan w:val="2"/>
          </w:tcPr>
          <w:p>
            <w:pPr>
              <w:spacing w:after="0"/>
              <w:rPr>
                <w:sz w:val="17"/>
                <w:szCs w:val="17"/>
                <w:color w:val="auto"/>
              </w:rPr>
            </w:pPr>
          </w:p>
        </w:tc>
        <w:tc>
          <w:tcPr>
            <w:tcW w:w="13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820" w:type="dxa"/>
            <w:vAlign w:val="bottom"/>
            <w:gridSpan w:val="16"/>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sz w:val="24"/>
                <w:szCs w:val="24"/>
                <w:color w:val="auto"/>
              </w:rPr>
            </w:pPr>
          </w:p>
        </w:tc>
        <w:tc>
          <w:tcPr>
            <w:tcW w:w="3380" w:type="dxa"/>
            <w:vAlign w:val="bottom"/>
            <w:gridSpan w:val="10"/>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6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gridSpan w:val="7"/>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197,391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507,829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$1,355,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$18,412 and $1,471, respectively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879,681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863,221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562,363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532,463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591,530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income taxes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58,779</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1,581,220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1,713,137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affiliates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109,911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70,298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assets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286,232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221,474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intangibles, net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633,508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625,530</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630,333</w:t>
            </w:r>
          </w:p>
        </w:tc>
        <w:tc>
          <w:tcPr>
            <w:tcW w:w="0" w:type="dxa"/>
            <w:vAlign w:val="bottom"/>
          </w:tcPr>
          <w:p>
            <w:pPr>
              <w:spacing w:after="0"/>
              <w:rPr>
                <w:sz w:val="1"/>
                <w:szCs w:val="1"/>
                <w:color w:val="auto"/>
              </w:rPr>
            </w:pPr>
          </w:p>
        </w:tc>
      </w:tr>
      <w:tr>
        <w:trPr>
          <w:trHeight w:val="236"/>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2,783,611</w:t>
            </w: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2,749,333</w:t>
            </w: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2,681,164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Current portion of notes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239,882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179,396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160,059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Customer refund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108,042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Income tax payable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600,321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602,344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 net of discount and unamortized issuance costs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213,898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402,846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246,834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22,390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14,543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1,134,885</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1,247,520</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1,133,182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Preferred stock; 1,000 shares authorized; no shares issued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 $0.01 par value; 120,000 shares authorized; 49,396, 49,396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and 49,396 shares issued, respectively</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456,839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453,504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1,304,894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1,131,258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1,160,112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held in treasury, at cost - 5,511, 3,670 and 3,668 shares,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respectively</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(116,691)</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(65,811)</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1,648,726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1,503,220</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1,550,260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redeemable noncontrolling interests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2,783,611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2,749,333</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r>
        <w:rPr>
          <w:rFonts w:ascii="Times New Roman" w:cs="Times New Roman" w:eastAsia="Times New Roman" w:hAnsi="Times New Roman"/>
          <w:sz w:val="17"/>
          <w:szCs w:val="17"/>
          <w:i w:val="1"/>
          <w:iCs w:val="1"/>
          <w:color w:val="auto"/>
        </w:rPr>
        <w:t>.</w:t>
      </w:r>
    </w:p>
    <w:p>
      <w:pPr>
        <w:sectPr>
          <w:pgSz w:w="11900" w:h="16838" w:orient="portrait"/>
          <w:cols w:equalWidth="0" w:num="1">
            <w:col w:w="9019"/>
          </w:cols>
          <w:pgMar w:left="1440" w:top="513"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1,086,759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1,067,110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2,341,261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2,333,460</w:t>
            </w:r>
          </w:p>
        </w:tc>
        <w:tc>
          <w:tcPr>
            <w:tcW w:w="0" w:type="dxa"/>
            <w:vAlign w:val="bottom"/>
          </w:tcPr>
          <w:p>
            <w:pPr>
              <w:spacing w:after="0"/>
              <w:rPr>
                <w:sz w:val="1"/>
                <w:szCs w:val="1"/>
                <w:color w:val="auto"/>
              </w:rPr>
            </w:pPr>
          </w:p>
        </w:tc>
      </w:tr>
      <w:tr>
        <w:trPr>
          <w:trHeight w:val="203"/>
        </w:trPr>
        <w:tc>
          <w:tcPr>
            <w:tcW w:w="49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654,628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633,697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1,374,363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1,373,594</w:t>
            </w: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47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432,131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433,413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966,898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959,866</w:t>
            </w:r>
          </w:p>
        </w:tc>
        <w:tc>
          <w:tcPr>
            <w:tcW w:w="0" w:type="dxa"/>
            <w:vAlign w:val="bottom"/>
          </w:tcPr>
          <w:p>
            <w:pPr>
              <w:spacing w:after="0"/>
              <w:rPr>
                <w:sz w:val="1"/>
                <w:szCs w:val="1"/>
                <w:color w:val="auto"/>
              </w:rPr>
            </w:pPr>
          </w:p>
        </w:tc>
      </w:tr>
      <w:tr>
        <w:trPr>
          <w:trHeight w:val="203"/>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259,240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236,308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724,891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703,476</w:t>
            </w:r>
          </w:p>
        </w:tc>
        <w:tc>
          <w:tcPr>
            <w:tcW w:w="0" w:type="dxa"/>
            <w:vAlign w:val="bottom"/>
          </w:tcPr>
          <w:p>
            <w:pPr>
              <w:spacing w:after="0"/>
              <w:rPr>
                <w:sz w:val="1"/>
                <w:szCs w:val="1"/>
                <w:color w:val="auto"/>
              </w:rPr>
            </w:pPr>
          </w:p>
        </w:tc>
      </w:tr>
      <w:tr>
        <w:trPr>
          <w:trHeight w:val="203"/>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19,130</w:t>
            </w:r>
          </w:p>
        </w:tc>
        <w:tc>
          <w:tcPr>
            <w:tcW w:w="0" w:type="dxa"/>
            <w:vAlign w:val="bottom"/>
          </w:tcPr>
          <w:p>
            <w:pPr>
              <w:spacing w:after="0"/>
              <w:rPr>
                <w:sz w:val="1"/>
                <w:szCs w:val="1"/>
                <w:color w:val="auto"/>
              </w:rPr>
            </w:pPr>
          </w:p>
        </w:tc>
      </w:tr>
      <w:tr>
        <w:trPr>
          <w:trHeight w:val="203"/>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Asset impairments</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profit</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166,335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190,288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221,303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237,038</w:t>
            </w:r>
          </w:p>
        </w:tc>
        <w:tc>
          <w:tcPr>
            <w:tcW w:w="0" w:type="dxa"/>
            <w:vAlign w:val="bottom"/>
          </w:tcPr>
          <w:p>
            <w:pPr>
              <w:spacing w:after="0"/>
              <w:rPr>
                <w:sz w:val="1"/>
                <w:szCs w:val="1"/>
                <w:color w:val="auto"/>
              </w:rPr>
            </w:pPr>
          </w:p>
        </w:tc>
      </w:tr>
      <w:tr>
        <w:trPr>
          <w:trHeight w:val="203"/>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income (loss)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(3,129)</w:t>
            </w:r>
          </w:p>
        </w:tc>
        <w:tc>
          <w:tcPr>
            <w:tcW w:w="14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(2,233)</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(1,964)</w:t>
            </w:r>
          </w:p>
        </w:tc>
        <w:tc>
          <w:tcPr>
            <w:tcW w:w="0" w:type="dxa"/>
            <w:vAlign w:val="bottom"/>
          </w:tcPr>
          <w:p>
            <w:pPr>
              <w:spacing w:after="0"/>
              <w:rPr>
                <w:sz w:val="1"/>
                <w:szCs w:val="1"/>
                <w:color w:val="auto"/>
              </w:rPr>
            </w:pPr>
          </w:p>
        </w:tc>
      </w:tr>
      <w:tr>
        <w:trPr>
          <w:trHeight w:val="203"/>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financing charges, net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(6,358)</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(11,024)</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(16,658)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7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160,919</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176,135</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202,412</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202,408</w:t>
            </w:r>
          </w:p>
        </w:tc>
        <w:tc>
          <w:tcPr>
            <w:tcW w:w="0" w:type="dxa"/>
            <w:vAlign w:val="bottom"/>
          </w:tcPr>
          <w:p>
            <w:pPr>
              <w:spacing w:after="0"/>
              <w:rPr>
                <w:sz w:val="1"/>
                <w:szCs w:val="1"/>
                <w:color w:val="auto"/>
              </w:rPr>
            </w:pPr>
          </w:p>
        </w:tc>
      </w:tr>
      <w:tr>
        <w:trPr>
          <w:trHeight w:val="203"/>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46,151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57,903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55,651</w:t>
            </w:r>
          </w:p>
        </w:tc>
        <w:tc>
          <w:tcPr>
            <w:tcW w:w="0" w:type="dxa"/>
            <w:vAlign w:val="bottom"/>
          </w:tcPr>
          <w:p>
            <w:pPr>
              <w:spacing w:after="0"/>
              <w:rPr>
                <w:sz w:val="1"/>
                <w:szCs w:val="1"/>
                <w:color w:val="auto"/>
              </w:rPr>
            </w:pPr>
          </w:p>
        </w:tc>
      </w:tr>
      <w:tr>
        <w:trPr>
          <w:trHeight w:val="196"/>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127,380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144,509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146,757</w:t>
            </w:r>
          </w:p>
        </w:tc>
        <w:tc>
          <w:tcPr>
            <w:tcW w:w="0" w:type="dxa"/>
            <w:vAlign w:val="bottom"/>
          </w:tcPr>
          <w:p>
            <w:pPr>
              <w:spacing w:after="0"/>
              <w:rPr>
                <w:sz w:val="1"/>
                <w:szCs w:val="1"/>
                <w:color w:val="auto"/>
              </w:rPr>
            </w:pPr>
          </w:p>
        </w:tc>
      </w:tr>
      <w:tr>
        <w:trPr>
          <w:trHeight w:val="203"/>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Loss attributable to noncontrolling interests</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(260)</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0" w:type="dxa"/>
            <w:vAlign w:val="bottom"/>
          </w:tcPr>
          <w:p>
            <w:pPr>
              <w:spacing w:after="0"/>
              <w:rPr>
                <w:sz w:val="1"/>
                <w:szCs w:val="1"/>
                <w:color w:val="auto"/>
              </w:rPr>
            </w:pPr>
          </w:p>
        </w:tc>
      </w:tr>
      <w:tr>
        <w:trPr>
          <w:trHeight w:val="196"/>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income attributable to G-III Apparel Group, Ltd.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114,768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127,640</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144,782</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147,314</w:t>
            </w:r>
          </w:p>
        </w:tc>
        <w:tc>
          <w:tcPr>
            <w:tcW w:w="0" w:type="dxa"/>
            <w:vAlign w:val="bottom"/>
          </w:tcPr>
          <w:p>
            <w:pPr>
              <w:spacing w:after="0"/>
              <w:rPr>
                <w:sz w:val="1"/>
                <w:szCs w:val="1"/>
                <w:color w:val="auto"/>
              </w:rPr>
            </w:pPr>
          </w:p>
        </w:tc>
      </w:tr>
      <w:tr>
        <w:trPr>
          <w:trHeight w:val="20"/>
        </w:trPr>
        <w:tc>
          <w:tcPr>
            <w:tcW w:w="4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COMMON SHARE ATTRIBUTABLE</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9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TO G-III APPAREL GROUP, LTD.: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900" w:type="dxa"/>
            <w:vAlign w:val="bottom"/>
            <w:gridSpan w:val="4"/>
            <w:shd w:val="clear" w:color="auto" w:fill="CCEEFF"/>
          </w:tcPr>
          <w:p>
            <w:pPr>
              <w:ind w:left="120"/>
              <w:spacing w:after="0" w:line="163" w:lineRule="exact"/>
              <w:rPr>
                <w:sz w:val="20"/>
                <w:szCs w:val="20"/>
                <w:color w:val="auto"/>
              </w:rPr>
            </w:pPr>
            <w:r>
              <w:rPr>
                <w:rFonts w:ascii="Times New Roman" w:cs="Times New Roman" w:eastAsia="Times New Roman" w:hAnsi="Times New Roman"/>
                <w:sz w:val="17"/>
                <w:szCs w:val="17"/>
                <w:color w:val="auto"/>
              </w:rPr>
              <w:t>Basic:</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47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478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43,885</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45,723</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44,640</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45,904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00" w:type="dxa"/>
            <w:vAlign w:val="bottom"/>
            <w:gridSpan w:val="4"/>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Diluted:</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47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478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44,954</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46,560</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45,719</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46,992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127,380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144,509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146,757</w:t>
            </w:r>
          </w:p>
        </w:tc>
        <w:tc>
          <w:tcPr>
            <w:tcW w:w="0" w:type="dxa"/>
            <w:vAlign w:val="bottom"/>
          </w:tcPr>
          <w:p>
            <w:pPr>
              <w:spacing w:after="0"/>
              <w:rPr>
                <w:sz w:val="1"/>
                <w:szCs w:val="1"/>
                <w:color w:val="auto"/>
              </w:rPr>
            </w:pPr>
          </w:p>
        </w:tc>
      </w:tr>
      <w:tr>
        <w:trPr>
          <w:trHeight w:val="203"/>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47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(11,391)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tcPr>
          <w:p>
            <w:pPr>
              <w:spacing w:after="0"/>
              <w:rPr>
                <w:sz w:val="17"/>
                <w:szCs w:val="17"/>
                <w:color w:val="auto"/>
              </w:rPr>
            </w:pPr>
          </w:p>
        </w:tc>
        <w:tc>
          <w:tcPr>
            <w:tcW w:w="478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15,489</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(11,391)</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6,589</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(4,317)</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130,257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115,989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151,098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142,440</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4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0" w:type="dxa"/>
            <w:vAlign w:val="bottom"/>
            <w:vMerge w:val="continue"/>
          </w:tcPr>
          <w:p>
            <w:pPr>
              <w:spacing w:after="0"/>
              <w:rPr>
                <w:sz w:val="15"/>
                <w:szCs w:val="15"/>
                <w:color w:val="auto"/>
              </w:rPr>
            </w:pPr>
          </w:p>
        </w:tc>
        <w:tc>
          <w:tcPr>
            <w:tcW w:w="47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0" w:type="dxa"/>
            <w:vAlign w:val="bottom"/>
            <w:shd w:val="clear" w:color="auto" w:fill="CCEEFF"/>
          </w:tcPr>
          <w:p>
            <w:pPr>
              <w:spacing w:after="0"/>
              <w:rPr>
                <w:sz w:val="17"/>
                <w:szCs w:val="17"/>
                <w:color w:val="auto"/>
              </w:rPr>
            </w:pPr>
          </w:p>
        </w:tc>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(260)</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61"/>
        </w:trPr>
        <w:tc>
          <w:tcPr>
            <w:tcW w:w="120" w:type="dxa"/>
            <w:vAlign w:val="bottom"/>
            <w:tcBorders>
              <w:top w:val="single" w:sz="8" w:color="CCEEFF"/>
            </w:tcBorders>
            <w:shd w:val="clear" w:color="auto" w:fill="CCEEFF"/>
          </w:tcPr>
          <w:p>
            <w:pPr>
              <w:spacing w:after="0"/>
              <w:rPr>
                <w:sz w:val="13"/>
                <w:szCs w:val="13"/>
                <w:color w:val="auto"/>
              </w:rPr>
            </w:pPr>
          </w:p>
        </w:tc>
        <w:tc>
          <w:tcPr>
            <w:tcW w:w="4780" w:type="dxa"/>
            <w:vAlign w:val="bottom"/>
            <w:tcBorders>
              <w:top w:val="single" w:sz="8" w:color="CCEEFF"/>
            </w:tcBorders>
            <w:gridSpan w:val="3"/>
            <w:shd w:val="clear" w:color="auto" w:fill="CCEEFF"/>
          </w:tcPr>
          <w:p>
            <w:pPr>
              <w:ind w:left="320"/>
              <w:spacing w:after="0" w:line="161" w:lineRule="exact"/>
              <w:rPr>
                <w:sz w:val="20"/>
                <w:szCs w:val="20"/>
                <w:color w:val="auto"/>
              </w:rPr>
            </w:pPr>
            <w:r>
              <w:rPr>
                <w:rFonts w:ascii="Times New Roman" w:cs="Times New Roman" w:eastAsia="Times New Roman" w:hAnsi="Times New Roman"/>
                <w:sz w:val="17"/>
                <w:szCs w:val="17"/>
                <w:color w:val="auto"/>
              </w:rPr>
              <w:t>Comprehensive loss attributable to noncontrolling</w:t>
            </w: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(261)</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(235)</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196"/>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G-III Apparel Group, Ltd.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130,257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115,728</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150,863</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141,858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80"/>
          </w:cols>
          <w:pgMar w:left="1440" w:top="513" w:right="127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center"/>
              <w:ind w:left="132"/>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$ 451,005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1,190,126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(116,691)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$ 1,512,635</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0" w:type="dxa"/>
            <w:vAlign w:val="bottom"/>
          </w:tcPr>
          <w:p>
            <w:pPr>
              <w:spacing w:after="0"/>
              <w:rPr>
                <w:sz w:val="1"/>
                <w:szCs w:val="1"/>
                <w:color w:val="auto"/>
              </w:rPr>
            </w:pPr>
          </w:p>
        </w:tc>
      </w:tr>
      <w:tr>
        <w:trPr>
          <w:trHeight w:val="198"/>
        </w:trPr>
        <w:tc>
          <w:tcPr>
            <w:tcW w:w="3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2024</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$ 456,839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1,304,894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$ 1,648,726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$ 448,762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1,003,618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$ 1,382,115</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(11,392)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0" w:type="dxa"/>
            <w:vAlign w:val="bottom"/>
          </w:tcPr>
          <w:p>
            <w:pPr>
              <w:spacing w:after="0"/>
              <w:rPr>
                <w:sz w:val="1"/>
                <w:szCs w:val="1"/>
                <w:color w:val="auto"/>
              </w:rPr>
            </w:pPr>
          </w:p>
        </w:tc>
      </w:tr>
      <w:tr>
        <w:trPr>
          <w:trHeight w:val="198"/>
        </w:trPr>
        <w:tc>
          <w:tcPr>
            <w:tcW w:w="3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127,640</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$ 453,504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1,131,258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$ 1,503,220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$ 458,841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1,160,112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(65,750)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$ 1,550,260</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(9,668)</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(59,973)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 on stock repurchases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of noncontrolling interest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(2,742)</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144,782</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October 31,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$ 456,839</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1,304,894</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(116,691)</w:t>
            </w:r>
          </w:p>
        </w:tc>
        <w:tc>
          <w:tcPr>
            <w:tcW w:w="1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$ 1,648,726</w:t>
            </w: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$ 468,712</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(11,653)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$ 1,385,448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awards vested,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(16,108)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(10,828)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0" w:type="dxa"/>
            <w:vAlign w:val="bottom"/>
          </w:tcPr>
          <w:p>
            <w:pPr>
              <w:spacing w:after="0"/>
              <w:rPr>
                <w:sz w:val="1"/>
                <w:szCs w:val="1"/>
                <w:color w:val="auto"/>
              </w:rPr>
            </w:pPr>
          </w:p>
        </w:tc>
      </w:tr>
      <w:tr>
        <w:trPr>
          <w:trHeight w:val="198"/>
        </w:trPr>
        <w:tc>
          <w:tcPr>
            <w:tcW w:w="3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147,314</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$ 453,504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1,131,258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$ 1,503,220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1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vMerge w:val="continue"/>
          </w:tcPr>
          <w:p>
            <w:pPr>
              <w:spacing w:after="0"/>
              <w:rPr>
                <w:sz w:val="11"/>
                <w:szCs w:val="11"/>
                <w:color w:val="auto"/>
              </w:rPr>
            </w:pPr>
          </w:p>
        </w:tc>
        <w:tc>
          <w:tcPr>
            <w:tcW w:w="940" w:type="dxa"/>
            <w:vAlign w:val="bottom"/>
            <w:gridSpan w:val="2"/>
          </w:tcPr>
          <w:p>
            <w:pPr>
              <w:jc w:val="right"/>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attributable to G-III Apparel Group, Ltd.</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144,782</w:t>
            </w:r>
          </w:p>
        </w:tc>
        <w:tc>
          <w:tcPr>
            <w:tcW w:w="200" w:type="dxa"/>
            <w:vAlign w:val="bottom"/>
          </w:tcPr>
          <w:p>
            <w:pPr>
              <w:spacing w:after="0"/>
              <w:rPr>
                <w:sz w:val="17"/>
                <w:szCs w:val="17"/>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Extinguishment of deferred financing costs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gain in unconsolidated affiliates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equity securities</w:t>
            </w:r>
          </w:p>
        </w:tc>
        <w:tc>
          <w:tcPr>
            <w:tcW w:w="160" w:type="dxa"/>
            <w:vAlign w:val="bottom"/>
          </w:tcPr>
          <w:p>
            <w:pPr>
              <w:spacing w:after="0"/>
              <w:rPr>
                <w:sz w:val="17"/>
                <w:szCs w:val="17"/>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financing charges and debt discount amortization</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(317,318)</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7"/>
                <w:szCs w:val="17"/>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(12,037)</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net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 net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(730)</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Customer refund liabilities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(44,270)</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80,629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assets initial direct costs</w:t>
            </w:r>
          </w:p>
        </w:tc>
        <w:tc>
          <w:tcPr>
            <w:tcW w:w="160" w:type="dxa"/>
            <w:vAlign w:val="bottom"/>
          </w:tcPr>
          <w:p>
            <w:pPr>
              <w:spacing w:after="0"/>
              <w:rPr>
                <w:sz w:val="17"/>
                <w:szCs w:val="17"/>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(1,757)</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 equity interest of private company</w:t>
            </w:r>
          </w:p>
        </w:tc>
        <w:tc>
          <w:tcPr>
            <w:tcW w:w="160" w:type="dxa"/>
            <w:vAlign w:val="bottom"/>
          </w:tcPr>
          <w:p>
            <w:pPr>
              <w:spacing w:after="0"/>
              <w:rPr>
                <w:sz w:val="17"/>
                <w:szCs w:val="17"/>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(84,832)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(31,757)</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(117,613)</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borrowings - revolving facility</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(228,756)</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borrowings - revolving facility</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borrowings - LVMH Note</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borrowings - foreign facilities</w:t>
            </w:r>
          </w:p>
        </w:tc>
        <w:tc>
          <w:tcPr>
            <w:tcW w:w="160" w:type="dxa"/>
            <w:vAlign w:val="bottom"/>
          </w:tcPr>
          <w:p>
            <w:pPr>
              <w:spacing w:after="0"/>
              <w:rPr>
                <w:sz w:val="17"/>
                <w:szCs w:val="17"/>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(103,635)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borrowings - foreign facilities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97,338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borrowings - senior secured notes</w:t>
            </w:r>
          </w:p>
        </w:tc>
        <w:tc>
          <w:tcPr>
            <w:tcW w:w="160" w:type="dxa"/>
            <w:vAlign w:val="bottom"/>
          </w:tcPr>
          <w:p>
            <w:pPr>
              <w:spacing w:after="0"/>
              <w:rPr>
                <w:sz w:val="17"/>
                <w:szCs w:val="17"/>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(400,000)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of financing costs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(3,785)</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treasury shares</w:t>
            </w:r>
          </w:p>
        </w:tc>
        <w:tc>
          <w:tcPr>
            <w:tcW w:w="160" w:type="dxa"/>
            <w:vAlign w:val="bottom"/>
          </w:tcPr>
          <w:p>
            <w:pPr>
              <w:spacing w:after="0"/>
              <w:rPr>
                <w:sz w:val="17"/>
                <w:szCs w:val="17"/>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(59,973)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Taxes paid for net share settlements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(7,534)</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(267,534)</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Pr>
          <w:p>
            <w:pPr>
              <w:spacing w:after="0"/>
              <w:rPr>
                <w:sz w:val="17"/>
                <w:szCs w:val="17"/>
                <w:color w:val="auto"/>
              </w:rPr>
            </w:pP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(980)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(403,143)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507,829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104,686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payments: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net</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 payments, net</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29,691</w:t>
            </w:r>
          </w:p>
        </w:tc>
        <w:tc>
          <w:tcPr>
            <w:tcW w:w="200" w:type="dxa"/>
            <w:vAlign w:val="bottom"/>
          </w:tcPr>
          <w:p>
            <w:pPr>
              <w:spacing w:after="0"/>
              <w:rPr>
                <w:sz w:val="17"/>
                <w:szCs w:val="17"/>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Excise tax liability related to stock repurchases</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r>
        <w:rPr>
          <w:rFonts w:ascii="Times New Roman" w:cs="Times New Roman" w:eastAsia="Times New Roman" w:hAnsi="Times New Roman"/>
          <w:sz w:val="17"/>
          <w:szCs w:val="17"/>
          <w:i w:val="1"/>
          <w:iCs w:val="1"/>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consolidates the accounts of its wholly-owned and majority-owned subsidiaries. The Company’s DKNY and Donna Karan business in China is operated by Fabco Holding B.V. (“Fabco”), a Dutch joint venture limited liability company that was 75% owned by the Company through April 16, 2024 and was treated as a consolidated majority-owned subsidiary. Effective April 17, 2024, the Company acquired the remaining 25% interest in Fabco that it did not previously own and, as a result, Fabco began being treated as a wholly-owned subsidiary. AWWG Investments B.V. (“AWWG”) is a Dutch corporation that was 12.1% owned by the Company from May 3, 2024 through July 18, 2024 and was accounted for using the cost method. Effective July 19, 2024, the Company acquired an additional 6.6% minority interest in AWWG, increasing its total ownership interest to 18.7% and, as a result, AWWG began being accounted for under the equity method of accounting. All material intercompany balances and transactions have been eliminated.</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Karl Lagerfeld Holding B.V. (“KLH”), a Dutch limited liability company that is wholly-owned by the Company, Vilebrequin International SA (“Vilebrequin”), a Swiss corporation that is wholly-owned by the Company, Sonia Rykiel, a Swiss corporation that is wholly-owned by the Company, Fabco and AWWG report results on a calendar year basis rather than on the January 31 fiscal year basis used by the Company. Accordingly, the results of KLH, Vilebrequin, Sonia Rykiel, Fabco and AWWG are included in the financial statements for the quarter ended or ending closest to the Company’s fiscal quarter end. For example, with respect to the Company’s results for the nine-month period ended October 31, 2024, the results of KLH, Vilebrequin, Sonia Rykiel, Fabco and AWWG are included for the nine-month period ended September 30, 2024. The Company’s retail operations segment reports on a 52/53 week fiscal year. For fiscal 2025 and 2024, the three and nine-month periods for the retail operations segment were each 13-week and 39-week periods, respectively, and ended on November 2, 2024 and October 28, 2023, respectively.</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results for the three and nine months ended October 31, 2024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should be read in conjunction with the financial statements and notes included in the Company’s Annual Report on Form 10-K for the fiscal year ended January 31, 2024 filed with the Securities and Exchange Commission (the “SEC”).</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ALLOWANCE FOR DOUBTFUL ACCOUNTS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60 days. Retail trade receivables primarily relate to amounts due from third-party credit card processors for the settlement of debit and credit card transactions and are typically collected within 3 to 5 days.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accounts receivable and allowance for doubtful accounts as of October 31, 2024, October 31, 2023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2024 were: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October 31,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10"/>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39"/>
              <w:spacing w:after="0" w:line="11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879,572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881,036</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(1,355)</w:t>
            </w:r>
          </w:p>
        </w:tc>
      </w:tr>
      <w:tr>
        <w:trPr>
          <w:trHeight w:val="209"/>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878,355</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879,681</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78"/>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880,827</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881,633</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(18,349)</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(18,412)</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862,478</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863,221</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78"/>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563,130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563,834</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(1,471)</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561,722</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562,363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-2433955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-2159635</wp:posOffset>
            </wp:positionV>
            <wp:extent cx="56489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-1165225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-445135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280" w:space="720"/>
            <w:col w:w="5019"/>
          </w:cols>
          <w:pgMar w:left="1440" w:top="513" w:right="1440" w:bottom="1440" w:gutter="0" w:footer="0" w:header="0"/>
          <w:type w:val="continuous"/>
        </w:sect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the following activity in its allowance for doubtful accounts: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5"/>
                <w:szCs w:val="15"/>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October 31, 2024</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(18,237)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2023</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(18,237)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Wholesale inventories, which comprise a significant portion of the Company’s inventory, and KLH inventories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inventory return asset, which consists of the amount of goods that are anticipated to be returned by customers, was $10.6 million, $15.6 million and $16.5 million as of October 31, 2024, October 31, 2023 and January 31, 2024, respectively. The inventory return asset is recorded within prepaid expenses and other current assets on the condensed consolidated balance sheets.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Inventory held on consignment by the Company’s customers totaled $5.6 million, $7.9 million and $6.6 million at October 31, 2024, October 31, 2023 and January 31, 2024, respectively. The Company reflects this inventory on its condensed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FAIR VALUE OF FINANCIAL INSTRUMENTS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66"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based on quoted prices (unadjusted) for identical assets or liabilities in active markets.</w:t>
      </w:r>
    </w:p>
    <w:p>
      <w:pPr>
        <w:spacing w:after="0" w:line="40"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5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based on unobservable prices or valuation techniques that are significant to the fair value measurement.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60" w:type="dxa"/>
            <w:vAlign w:val="bottom"/>
          </w:tcPr>
          <w:p>
            <w:pPr>
              <w:spacing w:after="0"/>
              <w:rPr>
                <w:sz w:val="11"/>
                <w:szCs w:val="11"/>
                <w:color w:val="auto"/>
              </w:rPr>
            </w:pPr>
          </w:p>
        </w:tc>
        <w:tc>
          <w:tcPr>
            <w:tcW w:w="8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9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7"/>
        </w:trPr>
        <w:tc>
          <w:tcPr>
            <w:tcW w:w="2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400,000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396,340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401,080</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210,055</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210,055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issued to LVMH</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49,787</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9,097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credit facility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4,161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fair value of the Company’s secured notes was based on their market price at each fiscal quarter end. The Company redeemed the entire $400 million principal amount of its 7.875% Senior Secured Notes due August 2025 (the “Notes”) at a redemption price equal to 100% of the principal amount of the Notes plus accrued and unpaid interest in August 2024.</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2% note in the original principal amount of $125 million (the “LVMH Note”) issued to LVMH Moet Hennessy Louis Vuitton Inc. (“LVMH”) in connection with the acquisition of DKNY and Donna Karan was recorded on the balance sheet at a discount of $40.0 million in accordance with Accounting Standards Codification (“ASC”)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(“ASC 820”). For purposes of this fair value disclosure, the Company based its fair value estimate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LVMH Note on the initial fair value as determined at the date of the acquisition of DKNY and Donna Karan and recorded amortization using the effective interest method over the term of the LVMH Note. The Company repaid $75.0 million of the principal amount of the LVMH Note on June 1, 2023 and the remaining $50.0 million of such principal amount on December 1, 2023.</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the LVMH Note was considered a Level 3 valuation in the fair value hierarchy.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Non-Financial Assets and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r>
        <w:rPr>
          <w:rFonts w:ascii="Times New Roman" w:cs="Times New Roman" w:eastAsia="Times New Roman" w:hAnsi="Times New Roman"/>
          <w:sz w:val="18"/>
          <w:szCs w:val="18"/>
          <w:color w:val="212529"/>
        </w:rPr>
        <w:t>During fiscal 2024, the Company recorded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$1.3 million impairment charge primarily related to leasehold improvements, furniture and fixtures, computer hardware and operating lease assets at certain DKNY, Karl Lagerfeld and Vilebrequin stores as a result of the performance of these stores.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Company’s sole discretion. The exercise of lease termination options is generally by mutual agreement between the Company and the lessor.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operating lease assets and liabilities as of October 31, 2024, October 31, 2023 and January 31, 2024 consist of the following:</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8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0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142"/>
        </w:trPr>
        <w:tc>
          <w:tcPr>
            <w:tcW w:w="1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286,232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221,474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216,886</w:t>
            </w:r>
          </w:p>
        </w:tc>
      </w:tr>
      <w:tr>
        <w:trPr>
          <w:trHeight w:val="216"/>
        </w:trPr>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56,587</w:t>
            </w:r>
          </w:p>
        </w:tc>
      </w:tr>
      <w:tr>
        <w:trPr>
          <w:trHeight w:val="216"/>
        </w:trPr>
        <w:tc>
          <w:tcPr>
            <w:tcW w:w="1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2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183,522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178,247</w:t>
            </w:r>
          </w:p>
        </w:tc>
      </w:tr>
      <w:tr>
        <w:trPr>
          <w:trHeight w:val="20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302,313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234,834</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operating lease assets and operating lease liabilities increased during fiscal 2025 primarily due to the renewal of the Company’s corporate office lease. The Company recorded lease costs of $19.0 million and $55.2 million during the three and nine months ended October 31, 2024. The Company recorded lease costs of $18.1 million and $55.1 million during the three and nine months ended October 31, 2023. Lease costs are recorded within selling, general and administrative expenses in the Company’s condensed consolidated statements of operations and comprehensive income. The Company recorded variable lease costs and short-term lease costs of $5.0 million and $16.1 million for the three and nine months ended October 31, 2024. The Company recorded variable lease costs and short-term lease costs of $6.7 million and $18.1 million for the three and nine months ended October 31, 2023. Short-term lease costs are immaterial.</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October 31, 2024, the Company’s maturity of operating lease liabilities in the years ending up to January 31, 2029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72,868</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51,862</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42,716</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2029</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130,897</w:t>
            </w: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378,161</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75,848</w:t>
            </w: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302,313</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October 31, 2024, there are no material leases that are legally binding but have not yet commenced.</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October 31, 2024, the weighted average remaining lease term related to operating leases is 6.7 years. The weighted average discount rate related to operating leases is 6.8%.</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$58.9 million and $53.2 million during the nine months ended October 31, 2024 and 2023, respectively. Right-of-use assets obtained in exchange for lease obligations were $108.7 million and $26.8 million during the nine months ended October 31,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NET INCOME PER COMMON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outstanding during the period. There were no shares of common stock excluded from the diluted net income per share calculation for the three and nine months ended October 31, 2024. Approximately 8,200 and 59,200 shares of common stock have been excluded from the diluted net income per share calculation for the three and nine months ended October 31, 2023. All share-based payments outstanding that vest based on the achievement of performance conditions, and for which the respective performance conditions have not been achieved, have been excluded from the diluted per share calculation.</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calculation of basic and diluted net income per share: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gridSpan w:val="1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147,314</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45,723</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44,640</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45,904</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44,640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45,904</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Dilutive restricted stock unit awards and stock options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common shares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46,560</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45,719</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0" w:type="dxa"/>
            <w:vAlign w:val="bottom"/>
          </w:tcPr>
          <w:p>
            <w:pPr>
              <w:spacing w:after="0"/>
              <w:rPr>
                <w:sz w:val="1"/>
                <w:szCs w:val="1"/>
                <w:color w:val="auto"/>
              </w:rPr>
            </w:pPr>
          </w:p>
        </w:tc>
      </w:tr>
      <w:tr>
        <w:trPr>
          <w:trHeight w:val="210"/>
        </w:trPr>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7 – NOTES PAYABLE</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5"/>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300" w:type="dxa"/>
            <w:vAlign w:val="bottom"/>
          </w:tcPr>
          <w:p>
            <w:pPr>
              <w:spacing w:after="0"/>
              <w:rPr>
                <w:sz w:val="23"/>
                <w:szCs w:val="23"/>
                <w:color w:val="auto"/>
              </w:rPr>
            </w:pPr>
          </w:p>
        </w:tc>
        <w:tc>
          <w:tcPr>
            <w:tcW w:w="144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5"/>
          </w:tcPr>
          <w:p>
            <w:pPr>
              <w:jc w:val="right"/>
              <w:ind w:right="17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w:t>
            </w:r>
          </w:p>
        </w:tc>
        <w:tc>
          <w:tcPr>
            <w:tcW w:w="5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LVMH Note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credit facility</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224,175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465,130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420,381</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Net debt issuance costs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 discount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(59,099)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213,898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402,846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402,807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380" w:right="79" w:hanging="330"/>
        <w:spacing w:after="0" w:line="243"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Does not include debt issuance costs, net of amortization, totaling $5.2 million, $2.8 million and $2.4 million as of October 31, 2024, October 31, 2023 and January 31, 2024, respectively, related to the revolving credit facility. These debt issuance costs have been deferred and are classified in assets in the accompanying condensed consolidated balance sheets in accordance with ASC 835.</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previously completed a private debt offering of $400 million aggregate principal amount of the Notes.</w:t>
      </w:r>
    </w:p>
    <w:p>
      <w:pPr>
        <w:spacing w:after="0" w:line="225" w:lineRule="exact"/>
        <w:rPr>
          <w:sz w:val="20"/>
          <w:szCs w:val="20"/>
          <w:color w:val="auto"/>
        </w:rPr>
      </w:pPr>
    </w:p>
    <w:p>
      <w:pPr>
        <w:ind w:left="60" w:right="59"/>
        <w:spacing w:after="0" w:line="312" w:lineRule="auto"/>
        <w:rPr>
          <w:sz w:val="20"/>
          <w:szCs w:val="20"/>
          <w:color w:val="auto"/>
        </w:rPr>
      </w:pPr>
      <w:r>
        <w:rPr>
          <w:rFonts w:ascii="Times New Roman" w:cs="Times New Roman" w:eastAsia="Times New Roman" w:hAnsi="Times New Roman"/>
          <w:sz w:val="17"/>
          <w:szCs w:val="17"/>
          <w:color w:val="auto"/>
        </w:rPr>
        <w:t>In August 2024, the Company used cash on hand and borrowings from its revolving credit facility to make a $400.7 million payment to voluntarily redeem the entire $400 million principal amount of the Notes at a redemption price equal to 100%</w:t>
      </w:r>
    </w:p>
    <w:p>
      <w:pPr>
        <w:sectPr>
          <w:pgSz w:w="11900" w:h="16838" w:orient="portrait"/>
          <w:cols w:equalWidth="0" w:num="1">
            <w:col w:w="9019"/>
          </w:cols>
          <w:pgMar w:left="1440" w:top="513"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the principal amount of the Notes plus accrued and unpaid interest. At the date of redemption, the Company had unamortized debt issuance costs of $1.6 million associated with the Notes. These debt issuance costs were fully extinguished and charged to interest expense in the Company’s results of operations.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Third Amended and Restated ABL Credit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June 4, 2024, the Company’s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 million. The Company and certain of its wholly-owned domestic subsidiaries, as well as G-III Apparel Canada ULC (collectively, the “Guarantors”), are guarantors under the Third ABL Credit Agreement.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As of October 31, 2024, interest under the Third ABL Credit Agreement was being paid at an average rate of 6.57% per annum.</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Third ABL Credit Agreement is secured by specified assets of the Borrowers and the Guarantors. In addition to paying interest on any outstanding borrowings under the Third ABL Credit Agreement, the Company is required to pay a commitment fee to the lenders under the credit agreement with respect to the unutilized commitments. The commitment fee accrues at a tiered rate equal to 0.375% per annum on the average daily amount of the available commitments when the average usage is less than 50% of the total available commitments and decreases to 0.25% per annum on the average daily amount of the available commitments when the average usage is greater than or equal to 50% of the total available commitments.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October 31, 2024, the Company was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October 31, 2024, the Company had $210.1 million borrowings outstanding under the Third ABL Credit Agreement. The Third ABL Credit Agreement also includes amounts available for letters of credit. As of October 31, 2024, there were outstanding trade and standby letters of credit amounting to $6.2 million and $2.9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Second ABL Credit Agreement, the Company had $1.9 million of unamortized debt issuance costs remaining from the Second ABL Credit Agreement. There was no extinguishment of any amount of the unamortized debt issuance costs remaining from the Second ABL Credit Agreement. The Company incurred new debt issuance costs totaling $3.8 million related to the Third ABL Credit Agreement. The Company has a total of $5.6 million debt issuance costs related to its Third ABL Credit Agreement. As permitted under ASC 835, the debt issuance costs have been deferred and are presented as an asset which is amortized ratably over the term of the Third ABL Credit Agreement.</w:t>
      </w:r>
    </w:p>
    <w:p>
      <w:pPr>
        <w:sectPr>
          <w:pgSz w:w="11900" w:h="16838" w:orient="portrait"/>
          <w:cols w:equalWidth="0" w:num="1">
            <w:col w:w="9019"/>
          </w:cols>
          <w:pgMar w:left="1440" w:top="513" w:right="1440"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a portion of the consideration for the acquisition of DKNY and Donna Karan, the Company issued to LVMH a junior lien secured promissory note in the principal amount of $125.0 million that bore interest at the rate of 2% per year. $75.0 million of the principal amount of the LVMH Note was paid on June 1, 2023 and the remaining $50.0 million of such principal amount was paid on December 1, 2023.</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ASC 820 required the LVMH Note to be recorded at fair value at issuance. As a result, the Company recorded a $40.0 million debt discount. This discount was amortized as interest expense using the effective interest method over the term of the LVMH Note.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the Company’s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€0.6 million under these loans. Interest on the outstanding principal amount of the unsecured loans accrues at a fixed rate equal to 0% to 5.0% per annum, payable on either a quarterly or monthly basis. As of October 31, 2024, the Company had an aggregate outstanding balance of €6.0 million ($7.3 million) under these unsecured loans.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2021 and 2025, certain of the Company’s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plus a margin of 1.75% per annum, payable quarterly. The facility may be cancelled at any time by the Company or HSBC Bank. As part of a COVID-19 relief program, certain of the Company’s foreign entities entered into several state backed overdraft facilities with UBS Bank in Switzerland for an aggregate of CHF 4.7 million at varying interest rates of 0% to 0.5%. As of October 31, 2024, the Company had an aggregate of €4.1 million ($4.6 million) drawn under these various facilities.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Credit Facility</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plus a margin of 1.7%. As of October 31, 2024, KLH had an aggregate outstanding balance of €2.0 million ($2.2 million) borrowings outstanding under this credit facility.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Wholesale Operations Segment. </w:t>
      </w:r>
      <w:r>
        <w:rPr>
          <w:rFonts w:ascii="Times New Roman" w:cs="Times New Roman" w:eastAsia="Times New Roman" w:hAnsi="Times New Roman"/>
          <w:sz w:val="18"/>
          <w:szCs w:val="18"/>
          <w:color w:val="auto"/>
        </w:rPr>
        <w:t>Wholesale revenues include sales of products to retailers under owned, licensed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w:t>
      </w:r>
    </w:p>
    <w:p>
      <w:pPr>
        <w:sectPr>
          <w:pgSz w:w="11900" w:h="16838" w:orient="portrait"/>
          <w:cols w:equalWidth="0" w:num="1">
            <w:col w:w="9019"/>
          </w:cols>
          <w:pgMar w:left="1440" w:top="513"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consideration arising from implicit or explicit obligations. Wholesale revenues also include revenues from license agreements related to the DKNY, Donna Karan, Karl Lagerfeld, G.H. Bass, Andrew Marc, Vilebrequin and Sonia Rykiel trademarks owned by the Company.</w:t>
      </w:r>
    </w:p>
    <w:p>
      <w:pPr>
        <w:spacing w:after="0" w:line="17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Retail Operations Segment. </w:t>
      </w:r>
      <w:r>
        <w:rPr>
          <w:rFonts w:ascii="Times New Roman" w:cs="Times New Roman" w:eastAsia="Times New Roman" w:hAnsi="Times New Roman"/>
          <w:sz w:val="18"/>
          <w:szCs w:val="18"/>
          <w:color w:val="auto"/>
        </w:rPr>
        <w:t>Retail store revenues are generated by direct sales to consumers through Company-operated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product sales through the Company’s digital channels for the DKNY, Donna Karan, Karl Lagerfeld Paris, G.H. Bass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$4.6 million, $3.3 million and $5.2 million at October 31, 2024, October 31, 2023 and January 31, 2024, respectively. The Company recognized $3.6 million in revenue for the three months ended October 31, 2024 related to contract liabilities that existed at July 31, 2024. The Company recognized $4.5 million in revenue for the nine months ended October 31, 2024 related to contract liabilities that existed at January 31, 2024. There were no contract assets recorded as of October 31, 2024, October 31, 2023 and January 31, 2024. Substantially all of the advance payments from licensees as of October 31, 2024 are expected to be recognized as revenue within the next twelve months.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SEGMENTS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also include royalty revenues from license agreements related to the DKNY, Donna Karan, Karl Lagerfeld, Vilebrequin, G.H. Bass, Andrew Marc and Sonia Rykiel trademarks owned by the Company. The retail operations segment consists primarily of direct sales to consumers through Company-operated stores, which consists primarily of DKNY and Karl Lagerfeld Paris stores, as well as the digital channels for DKNY, Donna Karan, Karl Lagerfeld Paris, G.H. Bass and Wilsons Leather. Substantially all DKNY and Karl Lagerfeld Paris stores are operated as outlet stores.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segment information is presented for the three and nine month periods indicated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October 31, 2024</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1,066,635</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(22,209)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1,086,759</w:t>
            </w:r>
          </w:p>
        </w:tc>
        <w:tc>
          <w:tcPr>
            <w:tcW w:w="2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(22,209)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654,628</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409,976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432,131</w:t>
            </w:r>
          </w:p>
        </w:tc>
        <w:tc>
          <w:tcPr>
            <w:tcW w:w="20" w:type="dxa"/>
            <w:vAlign w:val="bottom"/>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259,240</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20" w:type="dxa"/>
            <w:vAlign w:val="bottom"/>
          </w:tcPr>
          <w:p>
            <w:pPr>
              <w:spacing w:after="0"/>
              <w:rPr>
                <w:sz w:val="18"/>
                <w:szCs w:val="18"/>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168,674</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166,335</w:t>
            </w:r>
          </w:p>
        </w:tc>
        <w:tc>
          <w:tcPr>
            <w:tcW w:w="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4300" w:type="dxa"/>
            <w:vAlign w:val="bottom"/>
          </w:tcPr>
          <w:p>
            <w:pPr>
              <w:spacing w:after="0"/>
              <w:rPr>
                <w:sz w:val="24"/>
                <w:szCs w:val="24"/>
                <w:color w:val="auto"/>
              </w:rPr>
            </w:pPr>
          </w:p>
        </w:tc>
        <w:tc>
          <w:tcPr>
            <w:tcW w:w="1000" w:type="dxa"/>
            <w:vAlign w:val="bottom"/>
            <w:gridSpan w:val="2"/>
          </w:tcPr>
          <w:p>
            <w:pPr>
              <w:jc w:val="right"/>
              <w:ind w:right="653"/>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2023</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1,054,303</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32,711</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1,067,110</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636,961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633,697</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433,413</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31, 2024</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2,284,710</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110,060</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(53,509)</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2,341,261</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1,374,544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(53,509)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1,374,363</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910,166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966,898</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724,891</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20,704</w:t>
            </w:r>
          </w:p>
        </w:tc>
        <w:tc>
          <w:tcPr>
            <w:tcW w:w="20" w:type="dxa"/>
            <w:vAlign w:val="bottom"/>
          </w:tcPr>
          <w:p>
            <w:pPr>
              <w:spacing w:after="0"/>
              <w:rPr>
                <w:sz w:val="18"/>
                <w:szCs w:val="18"/>
                <w:color w:val="auto"/>
              </w:rPr>
            </w:pPr>
          </w:p>
        </w:tc>
      </w:tr>
      <w:tr>
        <w:trPr>
          <w:trHeight w:val="210"/>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221,303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31, 2023</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2,280,391</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97,268</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(44,199)</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2,333,460</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(44,199)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1,373,594</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911,076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959,866</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703,476</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r>
      <w:tr>
        <w:trPr>
          <w:trHeight w:val="209"/>
        </w:trPr>
        <w:tc>
          <w:tcPr>
            <w:tcW w:w="43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 w:lineRule="exact"/>
        <w:rPr>
          <w:sz w:val="20"/>
          <w:szCs w:val="20"/>
          <w:color w:val="auto"/>
        </w:rPr>
      </w:pPr>
    </w:p>
    <w:p>
      <w:pPr>
        <w:ind w:left="320" w:hanging="270"/>
        <w:spacing w:after="0"/>
        <w:tabs>
          <w:tab w:leader="none" w:pos="3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intersegment sales to the Company’s retail operations segment.</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by licensed and proprietary product sales for each of the Company’s reportable segments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14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gridSpan w:val="4"/>
          </w:tcPr>
          <w:p>
            <w:pPr>
              <w:jc w:val="right"/>
              <w:ind w:right="6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1,261,894</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505,855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429,072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1,175,080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1,018,497</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net sales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1,066,635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1,054,303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2,284,710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2,280,391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97,268</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sales</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assets for each of the Company’s reportable segments, as well as assets not allocated to a segment, are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155"/>
        </w:trPr>
        <w:tc>
          <w:tcPr>
            <w:tcW w:w="49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1,700,179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1,562,203</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104,272</w:t>
            </w: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1,057,064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929,074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1,014,689</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2,783,611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2,749,333</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2,681,164</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the three months ended October 31, 2024, the Company issued no shares of common stock and utilized no shares of treasury stock in connection with the vesting of equity awards. For the three months ended October 31, 2023, the Company issued no shares of common stock and utilized 4,354 shares of treasury stock in connection with the vesting of equity awards. For the nine months ended October 31, 2024, the Company issued no shares of common stock and utilized 366,714 shares of treasury stock in connection with the vesting of equity awards. For the nine months ended October 31, 2023, the Company issued no shares of common stock and utilized 608,325 shares of treasury stock in connection with the vesting of equity awards.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FABCO</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17, 2024, the Company acquired from Amlon Capital B.V. (“Amlon”) the remaining 25% interest in Fabco that it did not previously own for $0.2 million. Additionally, at the date of the transaction, there were $1.2 million of payables due from Fabco to Amlon. As settlement of a portion of the outstanding payables, the Company issued a non-interest bearing promissory note to Amlon in the principal amount of $0.6 million of which $0.4 million of the principal amount is due and payable on April 17, 2025 and $0.2 million of the principal amount is due and payable on April 17, 2026. The promissory note is classified in notes payable in the Company’s condensed consolidated balance sheet as of October 31, 2024. The remaining $0.6 million of payables due to Amlon was forgiven, resulting in the Company recognizing a gain of $0.6 million within other income (loss) in the Company’s condensed consolidated statements of income and comprehensive income.</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Since the Company controlled Fabco prior to this transaction and continues to control Fabco after the transaction, the Company accounted for the change in its ownership interest in Fabco as an equity transaction, which was reflected as a reduction of the noncontrolling interest with a corresponding decrease to additional paid in capital as a result of losses incurred by Fabco. No gain or loss was recognized in the Company’s condensed consolidated statements of income and comprehensive income as a result of this transaction.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AWWG INVESTMENT</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May 2024, the Company acquired a 12.1% minority interest in AWWG for €50 million ($53.6 million). AWWG is a global fashion group and premier platform for international brands. AWWG owns a portfolio of brands including Hackett, Pepe Jeans and Façonnable. This investment is intended to leverage AWWG’s expertise and provide for synergies to support the Company’s international expansion priority through the development of its operational platform in Europe.</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July 2024, the Company acquired an additional 6.6% minority interest in AWWG for €27.1 million ($29.1 million), increasing its total ownership interest to 18.7%. The investment in AWWG is owned by G-III Foreign Holdings B.V., a wholly-owned subsidiary of the Company. G-III Foreign Holdings B.V. reports results on a calendar year basis rather than on the January 31 fiscal year basis used by the Company.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the additional investment made in July 2024, the Company accounted for its investment in AWWG using the cost method and the investment was classified in other assets, net in the Company’s condensed consolidated balance sheet. As of the date of the additional investment made in July 2024, the Company determined it has significant influence in accordance with ASC 323 and, as a result, converted the accounting for the investment from the cost method to the equity method of accounting. The investment is classified in investments in unconsolidated affiliates in the Company’s condensed consolidated balance sheet as of October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RECENT ADOPTED AND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accounting guidance adopted during the three months ended October 31, 2024.</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Issued Accounting Guidance Being Evaluated for Adoption</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2023-07, “Segment Reporting (Topic 280): Improvements to Reportable Segment Disclosures”. The ASU expands the scope and frequency of segment disclosures and introduces the concept of a “significant expense principle,” which requires entities to disclose significant expense categories and amounts that are regularly provided to the chief operating decision maker (“CODM”) and included within the reported measure of a segment’s profit or loss. The ASU also changes current disclosure requirements by allowing entities to report multiple measures of a segment’s profit or loss, provided the reported measures are used by the CODM to assess performance and allocate resources and that the measure closest to GAAP is also provided. Finally, the ASU requires all segment profit or loss and assets disclosures to be provided on both an annual and interim basis and requires entities to disclose the title and position of the individual identified as the CODM. ASU 2023-07 is effective for fiscal years beginning after December 15, 2023, and interim periods within fiscal years beginning after December 15, 2024 and shall be applied retrospectively to all periods presented in the financial statements. The Company is currently evaluating the standard and determining the extent of additional interim and annual segment disclosures that may be required.</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requires public companies to disclose, on an annual basis, a tabular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the ASU requires public companies to disclose their income tax payments (net of refunds received), disaggregated between federal, state/local and foreign jurisdictions. ASU 2023-09 is effective for fiscal years beginning after December 15, 2024. Early adoption is permitted. The Company is currently evaluating the standard and determining the extent of additional disclosures that may be required.</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ASU requires public entities to disclose more detailed information about certain costs and expenses presented in the income statement, including inventory purchases, employee compensation, selling expenses, depreciation and intangible asset amortization. ASU 2024-03 is effective for fiscal years beginning after December 15, 2026, and interim periods within fiscal years beginning after December 15, 2027, with early adoption permitted. The amendments in this ASU should be applied prospectively; however, retrospective application is permitted. The Company is currently evaluating the impact of ASU 2024-03 on its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fiscal years refer to the year ended or ending on January 31 of that year. For example, our fiscal year ending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2025 is referred to as “fiscal 2025.”</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KLH, Vilebrequin, Sonia Rykiel, Fabco and AWWG report results on a calendar year basis rather than on the January 31 fiscal year basis used by G-III. Accordingly, the results of KLH, Vilebrequin, Sonia Rykiel, Fabco and AWWG are included in the financial statements for the quarter ended or ending closest to G-III’s fiscal quarter end. For example, with respect to our results for the nine-month period ended October 31, 2024, the results of KLH, Vilebrequin, Sonia Rykiel, Fabco and AWWG are included for the nine-month period ended September 30, 2024. Our retail operations segment uses a 52/53-week fiscal year. For fiscal 2025 and 2024, the three and nine-month periods for the retail operations segment were each 13-week and 39-week periods and ended on November 2, 2024 and October 28, 2023, respectively.</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8" w:lineRule="exact"/>
        <w:rPr>
          <w:sz w:val="20"/>
          <w:szCs w:val="20"/>
          <w:color w:val="auto"/>
        </w:rPr>
      </w:pPr>
    </w:p>
    <w:p>
      <w:pPr>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material license agreements could cause us to lose significant revenues and have a material adverse effect on our results of operations;</w:t>
      </w:r>
    </w:p>
    <w:p>
      <w:pPr>
        <w:jc w:val="both"/>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able to increase the sales of our other products, acquire new businesses and/or enter into other license agreements covering different products, the limited extension period of the amended Calvin Klein and Tommy Hilfiger license agreements could cause a significant decrease in our net sales and have a material adverse effect on our results of operations;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our relationship with PVH Corp. and its Calvin Klein or Tommy Hilfiger brands would have a material adverse effect on our results of operations;</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strategies and reputation of our licensors;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wholesale operations including, among others, maintaining the image of our proprietary brands and business practices of our customers that could adversely affect us;</w:t>
      </w: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customer concentration, and the risk that the loss of one of our largest customers could adversely affect our business;</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retail operations segment;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operating enhancements and cost reductions from our retail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existing management;</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possible disruptions from acquisitions, including our ownership of the entire Karl Lagerfeld business, and the risks associated with such acquisitions on our ability to maintain an effective internal control environment;</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additional financing;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our business and effect of unseasonable or extreme weather on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from disruptions to the worldwide supply chain;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availability and quality of materials used in our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trademarks and other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licensees may not generate expected sales or maintain the value of our brands;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economic and credit environment on us, our customers, suppliers and vendors, including without limitation, the effects of inflationary cost pressures and higher interest rates;</w:t>
      </w: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war, acts of terrorism, natural disasters or public health crises could adversely affect our business and results of operations, including the wars in Ukraine and the Middle East;</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foreign manufacturers;</w:t>
      </w:r>
    </w:p>
    <w:p>
      <w:pPr>
        <w:sectPr>
          <w:pgSz w:w="11900" w:h="16838" w:orient="portrait"/>
          <w:cols w:equalWidth="0" w:num="1">
            <w:col w:w="9019"/>
          </w:cols>
          <w:pgMar w:left="1440" w:top="513"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expansion into foreign markets, conducting business internationally and exposures to foreign currencies;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implementation of the national security law in Hong Kong;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upgrade, maintain and secure our information systems;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consumer privacy, cybersecurity and fraud concerns, including as a result of a remote working environment;</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of data security or privacy breaches;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or exposure to additional tax liabilities that could impact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regulations applicable to us as a U.S. public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corporate responsibility issues by stakeholders;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trademarks or other intangibles may require us to record charges against earnings;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2024. We undertake no obligation to publicly update or revise any forward-looking statements, whether as a result of new information, future events or otherwise, except as required by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key brands: DKNY, Donna Karan, Karl Lagerfeld, Nautica and Halston, as well as other major brands that currently drive our business, including Calvin Klein and Tommy Hilfiger. We distribute our products through multiple channels and in markets located in a variety of geographies.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own proprietary brands include DKNY, Donna Karan, Karl Lagerfeld, Karl Lagerfeld Paris, Vilebrequin, G.H. Bass, Eliza J, Jessica Howard, Andrew Marc, Marc New York, Wilsons Leather and Sonia Rykiel. We have an extensive portfolio of well-known licensed brands, including Calvin Klein, Tommy Hilfiger, Nautica, Halston, Levi’s, Kenneth Cole, Cole Haan, Vince Camuto, Dockers, Champion, Converse and BCBG. Through our team sports business, we have licenses with the National Football League, National Basketball Association, Major League Baseball, National Hockey League and over 150 U.S. colleges and universities. We also source and sell products to major retailers for their own private label programs.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products are sold through a cross section of leading retailers such as Macy’s, including its Bloomingdale’s division, Dillard’s, Hudson’s Bay Company, including its Saks Fifth Avenue division, Nordstrom, Kohl’s, TJX Companies, Ross Stores, Burlington and Costco. We also sell our products using digital channels through retail partners such as macys.com, nordstrom.com and dillards.com, each of which operates significant digital businesses. In addition, we sell to leading online retail partners such as Amazon, Fanatics, Zalando and Zappos.</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also distribute apparel and other products directly to consumers through our own DKNY, Karl Lagerfeld, Karl Lagerfeld Paris and Vilebrequin retail stores, as well as through our digital sites for our DKNY, Donna Karan, Karl Lagerfeld, Karl Lagerfeld Paris, Vilebrequin, G.H. Bass, Wilsons Leather and Sonia Rykiel brands.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continued success depends on our ability to design products</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that are accepted in the marketplace, source the manufacture of our products on a competitive basis and continue to diversify our product portfolio and the markets we serve.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Repositioning and Expansion of Donna Karan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acquired the DKNY and Donna Karan brands, two of the most iconic American fashion brands, in December 2016. We initially repositioned and relaunched DKNY and we have successfully grown the brand. In February 2024, we relaunched the Donna Karan brand with new designs supported by a powerful ad campaign and an updated digital experience. Our new Donna Karan product is currently being distributed in the United States through our diversified distribution network, including better department stores, digital channels and our own Donna Karan website.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intend to continue to focus on several initiatives to continue the momentum and invest in marketing to further drive awareness of the Donna Karan brand, as well as to expand the brand into complementary categories through licensing. Donna Karan is widely considered to be a top fashion brand and is recognized as one of the most famous designer names in American fashion. We believe that the strength of the Donna Karan brand, along with our success with the DKNY brand, demonstrates the potential for our new Donna Karan products.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AWWG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May 2024, we acquired a 12.1% minority interest in AWWG Investments B.V. (“AWWG”) for €50 million ($53.6 million). AWWG is a global fashion group and premier platform for international brands. AWWG owns a portfolio of brands including Hackett, Pepe Jeans and Façonnable. In July 2024, we acquired an additional 6.6% minority interest in AWWG for €27.1 million ($29.1 million), increasing our total ownership interest to approximately 18.7%. This investment is intended to leverage AWWG’s expertise and provide for synergies to support our international expansion priority through the development of our operational platform in Europe.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fiscal 2025, we entered into license agreements for (i) men’s and women’s apparel under the Converse brand and (ii) women’s apparel under the BCBG brand. In fiscal 2024, we entered into license agreements (i) for women’s apparel under the Nautica brand, (ii) to design and produce all categories of men’s and women’s product for the Halston brand and (iii) to design and produce men’s and women’s outerwear collections for the Champion brand.</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Each of these license agreements include an initial term of five-years with certain renewal options. The products produced under these license agreements is distributed, or expected to be distributed, in North America through our diversified distribution network, including better department stores, digital channels, as well as other channels. Additionally, our Halston and Converse product is expected to be distributed globally. First deliveries of our Converse and BCBG products are expected to begin in Fall 2025. First deliveries of our Nautica product began in Spring 2024, and Halston and Champion product began in Fall 2024.</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that significant opportunity exists in the categories subject to these license agreements where we have strong expertise, and the products produced, or expected to be produced, under these license agreements align with G-III’s core competencies.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Third Amended and Restated ABL Credit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June 2024, our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 million. We and certain of our wholly-owned domestic subsidiaries, as well as G-III Apparel Canada ULC (collectively, the “Guarantors”), are guarantors under the Third ABL Credit Agreement.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The Third ABL Credit Agreement is secured by specified assets of the Borrowers and the Guarantors.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 Redemption</w:t>
      </w:r>
    </w:p>
    <w:p>
      <w:pPr>
        <w:spacing w:after="0" w:line="227"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In August 2024, we used cash on hand and borrowings from our revolving credit facility to make a $400.7 million payment to voluntarily redeem the entire $400 million principal amount of our 7.875% Senior Secured Notes due August 2025 (the “Notes”) at a redemption price equal to 100% of the principal amount of the Notes plus accrued and unpaid interest.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Karl Lagerfeld and Vilebrequin businesses, including from retail stores operated by Vilebrequin and Karl Lagerfeld, other than sales of product under the Karl Lagerfeld Paris brand generated by our retail stores and digital sites. Wholesale revenues also include royalty revenues from license agreements related to our owned trademarks including DKNY, Donna Karan, Karl Lagerfeld, G.H. Bass, Andrew Marc, Vilebrequin and Sonia Rykiel.</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retail operations segment consists primarily of direct sales to consumers through our company-operated stores and product sales through our digital sites for the DKNY, Donna Karan, Karl Lagerfeld Paris, G.H. Bass and Wilsons Leather brands. Our company-operated stores primarily consist of DKNY and Karl Lagerfeld Paris retail stores, substantially all of which are operated as outlet stores.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online through retail partners such as macys.com, nordstrom.com and dillards.com, each of which has a substantial online business. As sales of apparel through digital channels continue to increase, we are developing additional digital marketing initiatives on both our web sites and third party web 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www.wilsonsleather.com, www.soniarykiel.com, www.karllagerfeldparis.com and www.karl.com. In addition, we sell to leading online retail partners such as Amazon, Fanatics, Zalando and Zappos.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As a result, customers loyal to their brands can only find them in the stores of that retailer.</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purchase of the interests not previously owned by us that resulted in Karl Lagerfeld becoming our wholly-owned subsidiary, new license agreements entered into by us, such as our recent license agreements for the Nautica, Halston, Champion and Converse brands and investments to accelerate our strategic priorities, such as our investment in AWWG. Our actions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Political Environment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2024, the U.S. presidential election resulted in the election of a new president and administration that will take effect in January 2025. The potential impact of new policies that may be implemented as a result of the new administration is currently uncertain. Any resulting changes in international trade relations, legislation and regulations (including those related to taxation and importation), economic and monetary policies, heightened diplomatic tensions or political and civil unrest, among other potential impacts, could adversely impact the global economy and our operating results.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Tax Laws and Regulations</w:t>
      </w:r>
    </w:p>
    <w:p>
      <w:pPr>
        <w:spacing w:after="0" w:line="227"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In December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effective for fiscal 2025. While we do not expect these rules to have a material impact on our effective tax rate or financial results, we will continue to monitor evolving tax legislation in the jurisdictions in which we operate.</w:t>
      </w:r>
    </w:p>
    <w:p>
      <w:pPr>
        <w:spacing w:after="0" w:line="18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which contains several tax-related provisions. Among other effects, the IRA created an excise tax of 1% on stock repurchases by publicly traded U.S. corporations effective after December 31, 2022. The excise tax on common stock repurchases is classified as an additional cost of the stock acquired included in treasury stock in shareholders' equity. The excise tax did not have a material impact on our results of operations and cash flows as of and for the nine months ended October 31, 2024.</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 and Interest Rates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Inflationary pressures have impacted the entire economy, including our industry. Recent high rates of inflation, including increased fuel and food prices, have led to a softening of consumer demand and increased promotional activity in the apparel categories we sell. Ongoing inflation may lead to further challenges to increase our sales and may also negatively impact our cost structure and labor costs in the future.</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Federal Reserve raised interest rates several times in fiscal 2024 in response to concerns about inflation. The Federal Reserve recently decreased interest rates in the third quarter of fiscal 2025, however it is unclear whether the Federal Reserve will further reduce interest rates, maintain the current rates or raise interest rates in the future. Higher interest rates increase the cost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Fluctuation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consolidated operations are impacted by the relationships between our reporting currency, the U.S. Dollar, and those of our non-United States subsidiaries whose functional/local currency is other than the U.S. Dollar, primarily the Euro. Volatility in the global foreign currency exchange rates may have a negative impact on the reported results of certain of our non-United States subsidiaries in the future, when translated to the U.S. Dollar.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global supply chain continues to be negatively impacted by various factors, including the ongoing disruptions in the Red Sea, port congestion and capacity shortages in Asia and recent and threatened port strikes on the U.S. East and Gulf coasts and in Canada . Although our business has not been significantly impacted by such disruptions, we have experienced some shipping delays impacting the timing of inventory receipts. These delays have not yet resulted in a significant loss of customer sales and the increase in transportation costs to North America has not yet been significant. We have incurred and will continue to incur increased shipping costs to North America and Europe in the second half of fiscal 2025. We continue to monitor supply chain challenges and coordinate with our partners to divert or adjust routes and destinations accordingly to ensure timely delivery of our product.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Conflicts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monitoring the direct and indirect impacts from the military conflicts between Russia and Ukraine and between Israel and Hamas, as well as other confrontations in the Middle East related to the Israel and Hamas conflict. These international conflicts and the continued threat of terrorism, heightened security measures and military action in response to acts of terrorism or civil unrest have disrupted commerce and intensified concerns regarding the United States and world economies. Our sales in Russia, Ukraine and Israel are not material to our financial results. However, the imposition of additional sanctions by the United States and/or foreign governments, as well as the sanctions already in place, could lead to restrictions related to sales and our supply chain for which the financial impact is uncertain. In addition, the continuation or escalation of these international conflicts, including the potential for additional countries to declare war against each other, may lead to further, broader unfavorable macroeconomic conditions, including unfavorable foreign exchange rates, increases in fuel prices, food shortages, a weakening of the worldwide economy, lower consumer demand and volatility in financial markets. The possible effects of these international conflicts could have a material adverse effect on our business and our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2024 compared to three months ended October 31, 2023</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October 31, 2024 increased to $1.09 billion from $1.07 billion in the same period last year. Net sales of our segments are reported before intercompany eliminations.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of our wholesale operations segment increased to $1.07 billion for the three months ended October 31, 2024 from $1.05 billion in the comparable period last year. This increase was primarily the result of an increase in net sales of our DKNY and Karl Lagerfeld products, as well as our Donna Karan products and Nautica denim licensed products that primarily started shipping during the current year. The increase in sales of DKNY products was primarily related to performance wear, sportswear and denim categories. The increase in sales of Karl Lagerfeld products was primarily related to women’s suits, shoes, handbags and outerwear. These increases were partially offset by decreases in net sales of Calvin Klein and Tommy Hilfiger licensed products.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of our retail operations segment were $42.3 million for the three months ended October 31, 2024 compared to $32.7 million in the same period last year. The number of retail stores operated by us decreased from 62 at October 31, 2023 to 51 at October 31, 2024. The increase in sales in our retail operations segment was the result of increased sales at our Karl Lagerfeld Paris and DKNY stores. Comparable store sales, which include both stores and digital channels, increased by high double digits at our Karl Lagerfeld Paris and DKNY stores compared to the same period in the prior year.</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Gross profit was $432.1 million, or 39.8% of net sales, for the three months ended October 31, 2024, compared to $433.4 million, or 40.6% of net sales, in the same period last year. The gross profit percentage in our wholesale operations segment was 38.4% in the three months ended October 31, 2024 compared to 39.6% in the same period last year. The gross profit percentage in the current year period decreased due to product mix, partially offset by an increased proportion of sales of product related to our owned brands which have no royalty costs and thus result in a higher gross profit percentage. The gross profit percentage in our retail operations segment was 52.3% for the three months ended October 31, 2024 compared to 49.1% for the same period last year. The gross profit percentage in the current year period was positively impacted by product mix with a higher gross profit percentage.</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to $259.2 million in the three months ended October 31, 2024 from $236.3 million in the same period last year. The increase in expenses was primarily due to increases of $12.0 million in compensation expenses, primarily due to an increase in salaries and bonus expense accruals, $9.0 million in advertising expenses, primarily due to the relaunch of the Donna Karan brand and higher spending on the DKNY brand which was partially offset by reduced royalty advertising expenses resulting from lower net sales of licensed product, and $1.6 million in third-party warehouse and facility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was $6.6 million for both the three months ended October 31, 2024 and 2023.</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income was $0.9 million in the three months ended October 31, 2024 compared to other loss of $3.1 million in the same period last year. Other income in the current period was impacted by $0.3 million of income from unconsolidated affiliates during the current year period compared to $2.7 million of losses from unconsolidated affiliates in the same period last year. Additionally, other income in the current period was impacted by $0.5 million of foreign currency income during the current year period compared to $0.4 million of foreign currency losses in the same period last year.</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Interest and financing charges, net, for the three months ended October 31, 2024 were $6.4 million compared to $11.0 million in the same period last year. The decrease in interest and financing charges was primarily due to a $4.3 million decrease in interest charges resulting from the redemption of the entire $400 million principal amount of the Notes in August 2024 that was partially offset by increased interest charges from higher average borrowings under our revolving credit facility in the current year period. Additionally, there was a decrease of $0.7 million in interest charges related to the LVMH Note as a result of the repayment of $125 million in principal of this Note in fiscal 2024. These decreases were partially offset by a $1.6 million charge to interest expense from extinguished debt issuance costs upon the redemption of the Notes.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tax expense was $46.2 million for the three months ended October 31, 2024 compared to $48.8 million for the same period last year. Our effective tax rate increased to 28.7% in the current year’s quarter from 27.7% in last year’s comparable quarter. The higher effective tax rate in the current year period is primarily due to the impact of permanent tax adjustments on the annual effective tax 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October 31, 2024 compared to nine months ended October 31, 2023</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sales for the nine months ended October 31, 2024 increased to $2.34 billion from $2.33 billion in the same period last year. Net sales of our segments are reported before intercompany eliminations.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of our wholesale operations segment was $2.28 billion for both the nine months ended October 31, 2024 and 2023. There was increases in net sales of our DKNY and Karl Lagerfeld products, as well as our Donna Karan products and Nautica denim licensed products that primarily started shipping during the current year. The increase in sales of DKNY products was primarily related to performance wear, sportswear and denim categories. The increase in sales of Karl Lagerfeld products was primarily related to women’s suits, shoes, handbags and sportswear. These increases were partially offset by decreases in net sales of Calvin Klein and Tommy Hilfiger licensed products.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of our retail operations segment were $110.1 million for the nine months ended October 31, 2024 compared to $97.3 million in the same period last year. The number of retail stores operated by us decreased from 62 at October 31, 2023 to 51 at October 31, 2024. The increase in sales in our retail operations segment was the result of increased sales at our Karl Lagerfeld Paris stores, partially offset by decreased sales at our DKNY stores. Comparable store sales, which include both stores and digital channels, increased by low double digits at our Karl Lagerfeld Paris and DKNY stores compared to the same period in the prior year.</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Gross profit was $966.9 million, or 41.3% of net sales, for the nine months ended October 31, 2024, compared to $959.9 million, or 41.1% of net sales, in the same period last year. The gross profit percentage in our wholesale operations segment was 39.8% in the nine months ended October 31, 2024 compared to 40.0% in the same period last year. The gross profit percentage in our retail operations segment was 51.5% for the nine months ended October 31, 2024 compared to 50.2% for the same period last year. The gross profit percentage in the current year period was positively impacted by product mix with a higher gross profit percentage.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to $724.9 million in the nine months ended October 31, 2024 from $703.5 million in the same period last year. The increase in expenses was primarily due increases of $15.5 million in advertising expenses, primarily due to the relaunch of the Donna Karan brand and higher spending on the DKNY brand that was partially offset by reduced royalty advertising expenses resulting from lower net sales of licensed product, and $13.2 million in compensation expenses, primarily due to an increase in salaries. These increases were partially offset by a decrease of $8.3 million in third-party warehouse and facility expenses associated with carrying lower levels of inventory.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$20.7 million for the nine months ended October 31, 2024 compared to $19.1 million in the same period last year. This increase primarily results from higher depreciation and amortization related to information technology expenditures and fixturing costs at department stores.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loss was $2.2 million in the nine months ended October 31, 2024 compared to $2.0 million in the same period last year.</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Interest and financing charges, net, for the nine months ended October 31, 2024 were $16.7 million compared to $32.7 million in the same period last year. The decrease in interest and financing charges was primarily due to a $7.9 million increase in investment income from having a larger average cash position in fiscal 2025 compared to fiscal 2024. Additionally, there was a $4.5 million decrease in interest charges resulting from the redemption of the entire $400 million principal amount of the Notes in August 2024 that was partially offset by increased interest charges from higher average borrowings under our revolving credit facility in the current year as well as a decrease of $3.6 million in interest charges related to the LVMH Note as a result of the repayment of $125 million in principal of this Note in fiscal 2024. These decreases were partially offset by a $1.6 million charge to interest expense from extinguished debt issuance costs upon the redemption of the Notes.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tax expense was $57.9 million for the nine months ended October 31, 2024 compared to $55.7 million for the same period last year. Our effective tax rate increased to 28.6% in the current year’s period from 27.5% in last year’s comparable period. The higher effective tax rate in the current year period is due to the impact of permanent tax adjustments on the annual effective tax rate.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Availability</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occupancy, payments to vendors in the normal course of business, capital expenditures, interest payments on debt obligations and income tax payments. We have also used cash to repurchase our shares, make investments and redeem the Notes.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October 31, 2024, we had cash and cash equivalents of $104.7 million and availability under our revolving credit facility of approximately $480 million. As of October 31, 2024, we were in compliance with covenants under our revolving credit facility. In August 2024, we used our cash and borrowings from our revolving credit facility to make a $400.7 million payment to voluntarily redeem the entire principal amount of the Notes plus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-362585</wp:posOffset>
            </wp:positionV>
            <wp:extent cx="28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had previously completed a private debt offering of $400 million aggregate principal amount of the Notes.</w:t>
      </w:r>
    </w:p>
    <w:p>
      <w:pPr>
        <w:spacing w:after="0" w:line="225"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 August 2024, we used cash on hand and borrowings from our revolving credit facility to make a $400.7 million payment to voluntarily redeem the entire $400 million principal amount of the Notes at a redemption price equal to 100% of the principal amount of the Notes plus accrued and unpaid interest. At the date of redemption, we had unamortized debt issuance costs of $1.6 million associated with the Notes. These debt issuance costs were fully extinguished and charged to interest expense in our results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Third Amended and Restated ABL Credit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June 4, 2024, our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 million. We and certain of our wholly-owned domestic subsidiaries, as well as G-III Apparel Canada ULC (collectively, the “Guarantors”), are guarantors under the Third ABL Credit Agreement.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The Third ABL Credit Agreement is secured by specified assets of the Borrowers and the Guarantors. As of October 31, 2024, interest under the Third ABL Credit Agreement was being paid at an average rate of 6.57% per annum.</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Third ABL Credit Agreement is secured by specified assets of the Borrowers and the Guarantors. In addition to paying interest on any outstanding borrowings under the Third ABL Credit Agreement, we are required to pay a commitment fee to the lenders under the credit agreement with respect to the unutilized commitments. The commitment fee accrues at a tiered rate equal to 0.375% per annum on the average daily amount of the available commitments when the average usage</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is less than 50% of the total available commitments and decreases to 0.25% per annum on the average daily amount of the available commitments when the average usage is greater than or equal to 50% of the total available commitments.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contains covenants that, among other things, restricts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As of October 31, 2024, we were in compliance with these covenants.</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October 31, 2024, we had $210.1 million in borrowings outstanding under the Third ABL Credit Agreement. The Third ABL Credit Agreement also includes amounts available for letters of credit. As of October 31, 2024, there were outstanding trade and standby letters of credit amounting to $6.2 million and $2.9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Second ABL Credit Agreement, we had $1.9 million of unamortized debt issuance costs remaining from the Second ABL Credit Agreement. There was no extinguishment of any amount of the unamortized debt issuance costs remaining from the Second ABL Credit Agreement. We incurred new debt issuance costs totaling $3.8 million related to the Third ABL Credit Agreement. We have a total of $5.6 million debt issuance costs related to our Third ABL Credit Agreement. As permitted under ASC 835, the debt issuance costs have been deferred and are presented as an asset which is amortized ratably over the term of the Third ABL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issued to LVMH, as a portion of the consideration for the acquisition of DKI, a junior lien secured promissory note in favor of LVMH in the principal amount of $125 million (the “LVMH Note”) that bore interest at the rate of 2% per year. $75 million of the principal amount of the LVMH Note was paid on June 1, 2023 and the remaining $50 million of such principal amount was paid on December 1, 2023.</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Based on an independent valuation, it was determined that the LVMH Note should be treated as having been issued at a discount of $40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This discount was amortized as interest expense using the effective interest method over the term of the LVMH Note.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our foreign entities borrow funds under various unsecured loans of which a portion is to provide funding for operations in the normal course of business while other loans are European state backed loans that were part of COVID-19 relief programs. In the aggregate, we are currently required to make quarterly installment payments of principal in the amount of €0.6 million. Interest on the outstanding principal amount of the unsecured loans accrues at a fixed rate equal to 0% to 5.0% per annum, payable on either a quarterly or monthly basis. As of October 31, 2024, the Company had an aggregate outstanding balance of €6.0 million ($7.3 million) under these various unsecured loans.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2021 and 2025, certain of the Company’s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plus a margin of 1.75% per annum, payable quarterly. The facility may be cancelled at any time by the Company or HSBC Bank. As part of a COVID-19 relief program, certain of the Company’s foreign entities have also entered into several state backed overdraft facilities with UBS Bank in Switzerland for an aggregate of CHF 4.7 million at varying interest rates of 0% to 0.5%. As of October 31, 2024, the Company had an aggregate of €4.1 million ($4.6 million) drawn under these various facilities.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Credit Facility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plus a margin of 1.7%. As of October 31, 2024, KLH had an aggregate balance of €2.0 million ($2.2 million) in borrowings outstanding under this credit facility.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Outstanding Borrowings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80"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We had $210.1 million in borrowings outstanding under our Third ABL Credit Agreement at October 31, 2024 and no borrowings outstanding under our Third ABL Credit Agreement at October 31, 2023. We redeemed the entire $400 million principal amount of the Notes in August 2024. We had $400 million in borrowings outstanding under the Notes at October 31, 2023. Our contingent liability under open letters of credit was approximately $9.0 million and $4.9 million at October 31, 2024 and 2023, respectively. At October 31, 2023, we had $50 million of face value principal amount outstanding under the LVMH Note. The amount outstanding under the LVMH Note was repaid during fiscal 2024. We had an aggregate of €6.0 million ($7.3 million) and €8.6 million ($9.1 million) outstanding under the Company’s various unsecured loans as of October 31, 2024 and 2023, respectively. We had €4.1 million ($4.6 million) and €1.8 million ($1.9 million) outstanding under our various overdraft facilities as of October 31, 2024 and 2023, respectively. We had €2.0 million ($2.2 million) and €3.9 million ($4.2 million) outstanding under our foreign credit facility as of October 31, 2024 and 2023, respectively.</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2023, our Board of Directors authorized an increase in the number of shares covered by our share repurchase program to an aggregate amount of 10,000,000 shares. Pursuant to this program, during the nine months ended October 2024, we acquired 2,209,832 of our shares of common stock for an aggregate purchase price of $60.0 million, excluding excise tax.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October 31, 2024, we had remaining 7,790,168 shares that are authorized for purchase under this program. As of December 5, 2024, we had 43,886,707 shares of common stock outstanding.</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Operating Activities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used $17.0 million in cash from operating activities during the nine months ended October 31, 2024, primarily as a result of increases of $317.3 million in accounts receivable and $12.0 million in inventories. These items were offset, in part, by our net income of $144.8 million, an increase of $80.6 million in accounts payable and accrued expenses, a decrease of $23.2 million in income taxes and non-cash charges relating primarily to depreciation and amortization of $20.7 million and share-based compensation of $17.9 million.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changes in operating cash flow items are generally consistent with our seasonal pattern of higher sales and building up inventory for the fall shipping season resulting in the increases in accounts receivable, inventory and accounts payable. The fall shipping season begins during the latter half of our second fiscal quarter. Our fiscal year ending January 31, 2023 experienced inventory levels that were unusually high due to supply chain challenges throughout the industry during fiscal 2023. This resulted in a reduction to our inventories as of October 31, 2023 as reflected in our condensed consolidated statement of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Investing Activities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used $117.6 million of cash in investing activities during the nine months ended October 31, 2024, primarily as a result of our $84.8 million investment in AWWG. We also had $31.8 million in capital expenditures primarily related to information technology expenditures and fixturing costs at department stores.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Financing Activities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cash used by financing activities was $267.5 million during nine months ended October 31, 2024 primarily as a result of $400 million of cash used to redeem the entire principal amount of the Notes, $60.0 million of cash used to repurchase 2,209,832 shares of our common stock under our share repurchase program, excluding excise tax, and $7.5 million for taxes paid in connection with net share settlements of stock grants that vested. These items were offset, in part, by net proceeds of $210.1 million under our revolving credit facility.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accounting policies and related estimates described in our Annual Report on Form 10-K for the year ended January 31, 2024 are those that depend most heavily on these judgments and estimates. As of October 31, 2024, there have been no material changes to our critical accounting policies.</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are no material changes to the disclosure made with respect to these matters in our Annual Report on Form 10-K for the year ended January 31, 2024.</w:t>
      </w:r>
    </w:p>
    <w:p>
      <w:pPr>
        <w:spacing w:after="0" w:line="158"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designed only to provide “reasonable assurance” that the controls and procedures will meet their objectives.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because of a material weakness in the Company’s internal control over financial reporting as described below, our disclosure controls and procedures that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were not effective in making known to them material information relating to G-III required to be included in this report.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Material Weakness in Internal Control</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Within the KLH subsidiary, which represents approximately 7.8% of the total net sales of the Company for the nine months ended October 31, 2024, the Company identified a material weakness in the operating effectiveness of controls related to information technology general controls (ITGCs) over business applications that support the Company’s financial reporting processes. Automated and manual business process controls that are dependent on the affected ITGCs were also deemed ineffective because they rely upon information and configurations from the affected IT systems.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concluded that the material weakness did not result in any material misstatements in our financial statements or disclosures in the current year.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Remediation Measures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with oversight from the Audit Committee of the Board of Directors, has begun remedial actions and is developing a full plan designed to remediate these deficiencies. This plan may include, among other items, additional risk assessment procedures over information technology, enhancements to controls, and additional training related to the operational effectiveness of control procedures. These deficiencies will not be considered remediated until the remediation plan is complete, and controls have been operational for a sufficient period of time and successfully tested.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described above, there were no changes in our internal control over financial reporting (as defined in Rules 13a-15(f) and 15d-15(f) under the Exchange Act) during the quarter ended October 31, 2024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contained in “Item 1A.-Risk Factors” in our Annual Report on Form 10-K for the year ended January 31, 2024 (the “Annual Report”), which could materially affect our business, financial condition and/or future results. As of October 31, 2024,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spacing w:after="0" w:line="171"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2024, no director or officer of the Company adopted or terminated a “Rule 10b5-1 trading arrangement” or “non-Rule 10b5-1 trading arrangement,” as each term is defined in Item 408(a) of Regulation 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0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Certificate of Incorporation (incorporated by reference to Exhibit 3.1 to the Company’s Registration Statement</w:t>
            </w:r>
          </w:p>
        </w:tc>
      </w:tr>
      <w:tr>
        <w:trPr>
          <w:trHeight w:val="216"/>
        </w:trPr>
        <w:tc>
          <w:tcPr>
            <w:tcW w:w="800" w:type="dxa"/>
            <w:vAlign w:val="bottom"/>
          </w:tcPr>
          <w:p>
            <w:pPr>
              <w:spacing w:after="0"/>
              <w:rPr>
                <w:sz w:val="18"/>
                <w:szCs w:val="18"/>
                <w:color w:val="auto"/>
              </w:rPr>
            </w:pP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on Form S-1, dated November 3, 1989).</w:t>
            </w:r>
          </w:p>
        </w:tc>
      </w:tr>
      <w:tr>
        <w:trPr>
          <w:trHeight w:val="194"/>
        </w:trPr>
        <w:tc>
          <w:tcPr>
            <w:tcW w:w="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3.1(a)</w:t>
            </w:r>
          </w:p>
        </w:tc>
        <w:tc>
          <w:tcPr>
            <w:tcW w:w="8100" w:type="dxa"/>
            <w:vAlign w:val="bottom"/>
            <w:gridSpan w:val="8"/>
          </w:tcPr>
          <w:p>
            <w:pPr>
              <w:spacing w:after="0" w:line="194"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Certificate of Amendment of Certificate of Incorporation, dated June 8, 2006 (incorporated by reference to</w:t>
              </w:r>
            </w:hyperlink>
          </w:p>
        </w:tc>
      </w:tr>
      <w:tr>
        <w:trPr>
          <w:trHeight w:val="196"/>
        </w:trPr>
        <w:tc>
          <w:tcPr>
            <w:tcW w:w="800" w:type="dxa"/>
            <w:vAlign w:val="bottom"/>
          </w:tcPr>
          <w:p>
            <w:pPr>
              <w:spacing w:after="0"/>
              <w:rPr>
                <w:sz w:val="17"/>
                <w:szCs w:val="17"/>
                <w:color w:val="auto"/>
              </w:rPr>
            </w:pPr>
          </w:p>
        </w:tc>
        <w:tc>
          <w:tcPr>
            <w:tcW w:w="80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Exhibit 3.1 to the Company’s Form 10-Q, dated September 13, 2006).</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8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Certificate of Amendment of Certificate of Incorporation, dated June 7, 2011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Exhibit 3.1 to the Company’s Form 8-K, dated June 9, 2011).</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24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3.1(c)</w:t>
            </w:r>
          </w:p>
        </w:tc>
        <w:tc>
          <w:tcPr>
            <w:tcW w:w="8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Certificate of Amendment of Certificate of Incorporation, dated June 30, 2015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Exhibit 3.1 to the Company’s Form 8-K, dated July 1, 2015).</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By-Laws, as amended, of G-III (incorporated by reference to Exhibit 3.1 to the Company’s Form 8-K, dated</w:t>
              </w:r>
            </w:hyperlink>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March 15, 2013).</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Morris Goldfarb, Chief Executive Officer of G-III Apparel Group, Ltd., pursuant to Rule 13a-</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14(a) or Rule 15d-14(a)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Group, Ltd.’s Quarterly Report on Form 10-Q for the fiscal quarter ended October 31, 2024.</w:t>
            </w:r>
          </w:p>
        </w:tc>
      </w:tr>
      <w:tr>
        <w:trPr>
          <w:trHeight w:val="20"/>
        </w:trPr>
        <w:tc>
          <w:tcPr>
            <w:tcW w:w="800" w:type="dxa"/>
            <w:vAlign w:val="bottom"/>
          </w:tcPr>
          <w:p>
            <w:pPr>
              <w:spacing w:after="0" w:line="20" w:lineRule="exact"/>
              <w:rPr>
                <w:sz w:val="1"/>
                <w:szCs w:val="1"/>
                <w:color w:val="auto"/>
              </w:rPr>
            </w:pPr>
          </w:p>
        </w:tc>
        <w:tc>
          <w:tcPr>
            <w:tcW w:w="66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Neal S. Nackman, Chief Financial Officer of G-III Apparel Group, Ltd., pursuant to Rule 13a-</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14(a) or Rule 15d-14(a)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Group, Ltd.’s Quarterly Report on Form 10-Q for the fiscal quarter ended October 31, 2024.</w:t>
            </w:r>
          </w:p>
        </w:tc>
      </w:tr>
      <w:tr>
        <w:trPr>
          <w:trHeight w:val="20"/>
        </w:trPr>
        <w:tc>
          <w:tcPr>
            <w:tcW w:w="800" w:type="dxa"/>
            <w:vAlign w:val="bottom"/>
          </w:tcPr>
          <w:p>
            <w:pPr>
              <w:spacing w:after="0" w:line="20" w:lineRule="exact"/>
              <w:rPr>
                <w:sz w:val="1"/>
                <w:szCs w:val="1"/>
                <w:color w:val="auto"/>
              </w:rPr>
            </w:pPr>
          </w:p>
        </w:tc>
        <w:tc>
          <w:tcPr>
            <w:tcW w:w="66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Morris Goldfarb, Chief Executive Officer of G-III Apparel Group, Ltd., pursuant to 18 U.S.C.</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2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Apparel Group, Ltd.’s Quarterly Report on Form 10-Q for the fiscal quarter ended October 31, 2024.</w:t>
            </w:r>
          </w:p>
        </w:tc>
        <w:tc>
          <w:tcPr>
            <w:tcW w:w="82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Neal S. Nackman, Chief Financial Officer of G-III Apparel Group, Ltd., pursuant to 18 U.S.C.</w:t>
            </w:r>
          </w:p>
        </w:tc>
      </w:tr>
      <w:tr>
        <w:trPr>
          <w:trHeight w:val="20"/>
        </w:trPr>
        <w:tc>
          <w:tcPr>
            <w:tcW w:w="800" w:type="dxa"/>
            <w:vAlign w:val="bottom"/>
          </w:tcPr>
          <w:p>
            <w:pPr>
              <w:spacing w:after="0" w:line="20" w:lineRule="exact"/>
              <w:rPr>
                <w:sz w:val="1"/>
                <w:szCs w:val="1"/>
                <w:color w:val="auto"/>
              </w:rPr>
            </w:pPr>
          </w:p>
        </w:tc>
        <w:tc>
          <w:tcPr>
            <w:tcW w:w="7260" w:type="dxa"/>
            <w:vAlign w:val="bottom"/>
            <w:gridSpan w:val="5"/>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2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Apparel Group, Ltd.’s Quarterly Report on Form 10-Q for the fiscal quarter ended October 31, 2024.</w:t>
            </w:r>
          </w:p>
        </w:tc>
        <w:tc>
          <w:tcPr>
            <w:tcW w:w="840" w:type="dxa"/>
            <w:vAlign w:val="bottom"/>
            <w:gridSpan w:val="3"/>
          </w:tcPr>
          <w:p>
            <w:pPr>
              <w:spacing w:after="0"/>
              <w:rPr>
                <w:sz w:val="17"/>
                <w:szCs w:val="17"/>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bl>
    <w:p>
      <w:pPr>
        <w:ind w:left="60"/>
        <w:spacing w:after="0"/>
        <w:rPr>
          <w:sz w:val="20"/>
          <w:szCs w:val="20"/>
          <w:color w:val="auto"/>
        </w:rPr>
      </w:pPr>
      <w:r>
        <w:rPr>
          <w:rFonts w:ascii="Times New Roman" w:cs="Times New Roman" w:eastAsia="Times New Roman" w:hAnsi="Times New Roman"/>
          <w:sz w:val="18"/>
          <w:szCs w:val="18"/>
          <w:color w:val="auto"/>
        </w:rPr>
        <w:t>101.SCH* Inline XBRL Schema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101.CAL* Inline XBRL Calculation Linkbase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 Inline XBRL Extension Definition.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101.LAB* Inline XBRL Label Linkbase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101.PRE* Inline XBRL Presentation Linkbase Document.</w:t>
      </w:r>
    </w:p>
    <w:p>
      <w:pPr>
        <w:spacing w:after="0" w:line="9"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60" w:right="139" w:hanging="10"/>
        <w:spacing w:after="0" w:line="255" w:lineRule="auto"/>
        <w:tabs>
          <w:tab w:leader="none" w:pos="2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G-III APPAREL GROUP, LTD.</w:t>
            </w:r>
          </w:p>
        </w:tc>
      </w:tr>
      <w:tr>
        <w:trPr>
          <w:trHeight w:val="234"/>
        </w:trPr>
        <w:tc>
          <w:tcPr>
            <w:tcW w:w="3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10, 2024</w:t>
            </w: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Morris Goldfarb</w:t>
            </w:r>
          </w:p>
        </w:tc>
      </w:tr>
      <w:tr>
        <w:trPr>
          <w:trHeight w:val="191"/>
        </w:trPr>
        <w:tc>
          <w:tcPr>
            <w:tcW w:w="3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Morris Goldfarb</w:t>
            </w:r>
          </w:p>
        </w:tc>
      </w:tr>
      <w:tr>
        <w:trPr>
          <w:trHeight w:val="234"/>
        </w:trPr>
        <w:tc>
          <w:tcPr>
            <w:tcW w:w="3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10, 2024</w:t>
            </w: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Neal S. Nackman</w:t>
            </w:r>
          </w:p>
        </w:tc>
      </w:tr>
      <w:tr>
        <w:trPr>
          <w:trHeight w:val="191"/>
        </w:trPr>
        <w:tc>
          <w:tcPr>
            <w:tcW w:w="3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Neal S. Nackman</w:t>
            </w:r>
          </w:p>
        </w:tc>
      </w:tr>
      <w:tr>
        <w:trPr>
          <w:trHeight w:val="234"/>
        </w:trPr>
        <w:tc>
          <w:tcPr>
            <w:tcW w:w="3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64"/>
        </w:trPr>
        <w:tc>
          <w:tcPr>
            <w:tcW w:w="3120" w:type="dxa"/>
            <w:vAlign w:val="bottom"/>
          </w:tcPr>
          <w:p>
            <w:pPr>
              <w:spacing w:after="0"/>
              <w:rPr>
                <w:sz w:val="24"/>
                <w:szCs w:val="24"/>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412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Morris Goldfarb, certify that:</w:t>
      </w:r>
    </w:p>
    <w:p>
      <w:pPr>
        <w:spacing w:after="0" w:line="171" w:lineRule="exact"/>
        <w:rPr>
          <w:sz w:val="20"/>
          <w:szCs w:val="20"/>
          <w:color w:val="auto"/>
        </w:rPr>
      </w:pPr>
    </w:p>
    <w:p>
      <w:pPr>
        <w:ind w:left="700" w:hanging="32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8"/>
          <w:szCs w:val="18"/>
          <w:color w:val="auto"/>
        </w:rPr>
      </w:pPr>
    </w:p>
    <w:p>
      <w:pPr>
        <w:ind w:left="1020" w:right="79" w:hanging="322"/>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Neal S. Nackman, certify that:</w:t>
      </w:r>
    </w:p>
    <w:p>
      <w:pPr>
        <w:spacing w:after="0" w:line="171" w:lineRule="exact"/>
        <w:rPr>
          <w:sz w:val="20"/>
          <w:szCs w:val="20"/>
          <w:color w:val="auto"/>
        </w:rPr>
      </w:pPr>
    </w:p>
    <w:p>
      <w:pPr>
        <w:ind w:left="700" w:hanging="32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8"/>
          <w:szCs w:val="18"/>
          <w:color w:val="auto"/>
        </w:rPr>
      </w:pPr>
    </w:p>
    <w:p>
      <w:pPr>
        <w:ind w:left="1020" w:right="79" w:hanging="322"/>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October 31, 2024,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October 31, 2024,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55" Type="http://schemas.openxmlformats.org/officeDocument/2006/relationships/hyperlink" Target="https://www.sec.gov/Archives/edgar/data/821002/000095013606007680/file2.htm" TargetMode="External"/><Relationship Id="rId56" Type="http://schemas.openxmlformats.org/officeDocument/2006/relationships/hyperlink" Target="https://www.sec.gov/Archives/edgar/data/821002/000095012311057737/y04932exv3w1.htm" TargetMode="External"/><Relationship Id="rId57" Type="http://schemas.openxmlformats.org/officeDocument/2006/relationships/hyperlink" Target="https://www.sec.gov/Archives/edgar/data/821002/000157104915005420/t1501536_ex3-1.htm" TargetMode="External"/><Relationship Id="rId58" Type="http://schemas.openxmlformats.org/officeDocument/2006/relationships/hyperlink" Target="https://www.sec.gov/Archives/edgar/data/821002/000119312513107874/d50321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2024-12-10T15:53:39Z</dcterms:created>
  <dcterms:modified xsi:type="dcterms:W3CDTF">2024-12-10T15:53:39Z</dcterms:modified>
</cp:coreProperties>
</file>